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487" w:rsidRDefault="003C4487" w:rsidP="003C4487">
      <w:pPr>
        <w:spacing w:line="480" w:lineRule="auto"/>
        <w:jc w:val="center"/>
        <w:rPr>
          <w:rFonts w:ascii="方正小标宋简体" w:eastAsia="方正小标宋简体" w:hAnsi="宋体" w:cs="Times New Roman"/>
          <w:bCs/>
          <w:sz w:val="36"/>
          <w:szCs w:val="36"/>
        </w:rPr>
      </w:pPr>
      <w:r>
        <w:rPr>
          <w:rFonts w:ascii="方正小标宋简体" w:eastAsia="方正小标宋简体" w:hAnsi="宋体" w:cs="Times New Roman" w:hint="eastAsia"/>
          <w:bCs/>
          <w:sz w:val="36"/>
          <w:szCs w:val="36"/>
        </w:rPr>
        <w:t>《</w:t>
      </w:r>
      <w:r w:rsidR="00DB748F" w:rsidRPr="0053202E">
        <w:rPr>
          <w:rFonts w:ascii="方正小标宋简体" w:eastAsia="方正小标宋简体" w:hAnsi="宋体" w:cs="Times New Roman" w:hint="eastAsia"/>
          <w:bCs/>
          <w:sz w:val="36"/>
          <w:szCs w:val="36"/>
        </w:rPr>
        <w:t>特应性皮炎治疗药物临床试验技术指导原则</w:t>
      </w:r>
      <w:r>
        <w:rPr>
          <w:rFonts w:ascii="方正小标宋简体" w:eastAsia="方正小标宋简体" w:hAnsi="宋体" w:cs="Times New Roman" w:hint="eastAsia"/>
          <w:bCs/>
          <w:sz w:val="36"/>
          <w:szCs w:val="36"/>
        </w:rPr>
        <w:t>》</w:t>
      </w:r>
    </w:p>
    <w:p w:rsidR="003C4487" w:rsidRPr="003C4487" w:rsidRDefault="00DB748F" w:rsidP="003C4487">
      <w:pPr>
        <w:spacing w:line="480" w:lineRule="auto"/>
        <w:jc w:val="center"/>
        <w:rPr>
          <w:rFonts w:ascii="方正小标宋简体" w:eastAsia="方正小标宋简体" w:hAnsi="Calibri" w:cs="Times New Roman"/>
          <w:sz w:val="36"/>
          <w:szCs w:val="36"/>
        </w:rPr>
      </w:pPr>
      <w:r w:rsidRPr="00D1261E">
        <w:rPr>
          <w:rFonts w:ascii="方正小标宋简体" w:eastAsia="方正小标宋简体" w:hAnsi="Calibri" w:cs="Times New Roman" w:hint="eastAsia"/>
          <w:sz w:val="36"/>
          <w:szCs w:val="36"/>
        </w:rPr>
        <w:t>起草说明</w:t>
      </w:r>
    </w:p>
    <w:p w:rsidR="003C4487" w:rsidRDefault="003C4487" w:rsidP="003C4487">
      <w:pPr>
        <w:ind w:firstLineChars="200" w:firstLine="640"/>
        <w:rPr>
          <w:rFonts w:ascii="黑体" w:eastAsia="黑体" w:hAnsi="黑体" w:cs="Times New Roman"/>
          <w:color w:val="000000"/>
          <w:szCs w:val="32"/>
        </w:rPr>
      </w:pPr>
    </w:p>
    <w:p w:rsidR="00DB748F" w:rsidRDefault="00DB748F" w:rsidP="003C4487">
      <w:pPr>
        <w:ind w:firstLineChars="200" w:firstLine="640"/>
        <w:rPr>
          <w:rFonts w:ascii="黑体" w:eastAsia="黑体" w:hAnsi="黑体" w:cs="Times New Roman"/>
          <w:color w:val="000000"/>
          <w:szCs w:val="32"/>
        </w:rPr>
      </w:pPr>
      <w:r w:rsidRPr="00D1261E">
        <w:rPr>
          <w:rFonts w:ascii="黑体" w:eastAsia="黑体" w:hAnsi="黑体" w:cs="Times New Roman" w:hint="eastAsia"/>
          <w:color w:val="000000"/>
          <w:szCs w:val="32"/>
        </w:rPr>
        <w:t>一、</w:t>
      </w:r>
      <w:r>
        <w:rPr>
          <w:rFonts w:ascii="黑体" w:eastAsia="黑体" w:hAnsi="黑体" w:cs="Times New Roman" w:hint="eastAsia"/>
          <w:color w:val="000000"/>
          <w:szCs w:val="32"/>
        </w:rPr>
        <w:t>起草背景</w:t>
      </w:r>
    </w:p>
    <w:p w:rsidR="003C4487" w:rsidRPr="003C4487" w:rsidRDefault="003C4487" w:rsidP="003C4487">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C4487">
        <w:rPr>
          <w:rFonts w:ascii="仿宋" w:eastAsia="仿宋" w:hAnsi="仿宋" w:cs="Times New Roman"/>
          <w:szCs w:val="32"/>
        </w:rPr>
        <w:t>特应性皮炎是一种慢性、复发性、炎症性皮肤病，以皮肤干燥、慢性湿疹样皮损和明显瘙痒为基本特征，严重影响患者精神状态和生活质量。AD大多初发于婴儿期，1岁前发病者约占全部患者的50%，部分患者病情可以迁延到成年，但也有成年发病者。发达国家儿童AD患病率约10-25%，成人患病率约2-8%，我国AD患病率近年来增长迅速。</w:t>
      </w:r>
    </w:p>
    <w:p w:rsidR="003C4487" w:rsidRPr="003C4487" w:rsidRDefault="003C4487" w:rsidP="003C4487">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C4487">
        <w:rPr>
          <w:rFonts w:ascii="仿宋" w:eastAsia="仿宋" w:hAnsi="仿宋" w:cs="Times New Roman"/>
          <w:szCs w:val="32"/>
        </w:rPr>
        <w:t>为鼓励研发特应性皮炎治疗药物，进一步规范和指导特应性皮炎治疗药物的临床科学开发，提供可参考的技术规范，药品审评中心组织起草了特应性皮炎治疗药物临床试验技术指导原则。</w:t>
      </w:r>
    </w:p>
    <w:p w:rsidR="00DB748F" w:rsidRPr="00D1261E" w:rsidRDefault="00DB748F" w:rsidP="00DB748F">
      <w:pPr>
        <w:numPr>
          <w:ilvl w:val="0"/>
          <w:numId w:val="1"/>
        </w:numPr>
        <w:ind w:firstLineChars="200" w:firstLine="640"/>
        <w:rPr>
          <w:rFonts w:ascii="黑体" w:eastAsia="黑体" w:hAnsi="黑体" w:cs="Times New Roman"/>
          <w:color w:val="000000"/>
          <w:szCs w:val="32"/>
        </w:rPr>
      </w:pPr>
      <w:r w:rsidRPr="00D1261E">
        <w:rPr>
          <w:rFonts w:ascii="黑体" w:eastAsia="黑体" w:hAnsi="黑体" w:cs="Times New Roman" w:hint="eastAsia"/>
          <w:color w:val="000000"/>
          <w:szCs w:val="32"/>
        </w:rPr>
        <w:t>起草过程</w:t>
      </w:r>
    </w:p>
    <w:p w:rsidR="003C4487" w:rsidRPr="003C4487"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C4487">
        <w:rPr>
          <w:rFonts w:ascii="仿宋" w:eastAsia="仿宋" w:hAnsi="仿宋" w:cs="Times New Roman"/>
          <w:szCs w:val="32"/>
        </w:rPr>
        <w:t>为保障本技术指导原则顺利完成，本指导原则由化药临床二部负责制定，成立了起草小组有序开展工作。本指导原则根据2项FDA发布的儿科特应性皮炎研发相关指导原则、中国特应性皮炎诊疗指南、以及在研药物的临床进展，对包括成人在内的特应性皮炎治疗药物进行了系统性的研发指导。</w:t>
      </w:r>
    </w:p>
    <w:p w:rsidR="003C4487" w:rsidRPr="003C4487" w:rsidRDefault="003C4487" w:rsidP="003C4487">
      <w:pPr>
        <w:ind w:firstLineChars="200" w:firstLine="640"/>
        <w:rPr>
          <w:rFonts w:ascii="仿宋" w:eastAsia="仿宋" w:hAnsi="仿宋" w:cs="Times New Roman"/>
          <w:szCs w:val="32"/>
        </w:rPr>
      </w:pPr>
      <w:r w:rsidRPr="003C4487">
        <w:rPr>
          <w:rFonts w:ascii="仿宋" w:eastAsia="仿宋" w:hAnsi="仿宋" w:cs="Times New Roman"/>
          <w:szCs w:val="32"/>
        </w:rPr>
        <w:lastRenderedPageBreak/>
        <w:t>本项指导于2021年10月形成初稿，2021年12月召开专家咨询会，2022年7月4日-7月11日在药审中心内部征求意见，2022年7月19日召开部门技术委员会，对指导原则进行修订完善，形成本指导原则征求意见稿。</w:t>
      </w:r>
    </w:p>
    <w:p w:rsidR="00DB748F" w:rsidRPr="00D1261E" w:rsidRDefault="00DB748F" w:rsidP="00DB748F">
      <w:pPr>
        <w:ind w:firstLineChars="196" w:firstLine="627"/>
        <w:rPr>
          <w:rFonts w:ascii="黑体" w:eastAsia="黑体" w:hAnsi="黑体" w:cs="Times New Roman"/>
          <w:color w:val="000000"/>
          <w:szCs w:val="32"/>
        </w:rPr>
      </w:pPr>
      <w:r w:rsidRPr="00D1261E">
        <w:rPr>
          <w:rFonts w:ascii="黑体" w:eastAsia="黑体" w:hAnsi="黑体" w:cs="Times New Roman" w:hint="eastAsia"/>
          <w:color w:val="000000"/>
          <w:szCs w:val="32"/>
        </w:rPr>
        <w:t>三、主要内容与说明</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本指导原则主体部分为三个章节。</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第一个章节是概述，包括了背景、目的和适用范围。主要介绍了本技术指导原则起草背景、定位，同时明确了本指导原则为建议性而非强制性，并且其中的观点是阶段性的。</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第二个章节是临床设计</w:t>
      </w:r>
      <w:r w:rsidRPr="003D11B4">
        <w:rPr>
          <w:rFonts w:ascii="仿宋" w:eastAsia="仿宋" w:hAnsi="仿宋" w:cs="Times New Roman" w:hint="eastAsia"/>
          <w:szCs w:val="32"/>
        </w:rPr>
        <w:t>的考虑</w:t>
      </w:r>
      <w:r w:rsidRPr="003D11B4">
        <w:rPr>
          <w:rFonts w:ascii="仿宋" w:eastAsia="仿宋" w:hAnsi="仿宋" w:cs="Times New Roman"/>
          <w:szCs w:val="32"/>
        </w:rPr>
        <w:t>，提出根据不同年龄段人群的疾病特点以及研究药物特性，制定适当的临床研发计划。分别从早期</w:t>
      </w:r>
      <w:r w:rsidRPr="003D11B4">
        <w:rPr>
          <w:rFonts w:ascii="仿宋" w:eastAsia="仿宋" w:hAnsi="仿宋" w:cs="Times New Roman" w:hint="eastAsia"/>
          <w:szCs w:val="32"/>
        </w:rPr>
        <w:t>探索试验</w:t>
      </w:r>
      <w:r w:rsidRPr="003D11B4">
        <w:rPr>
          <w:rFonts w:ascii="仿宋" w:eastAsia="仿宋" w:hAnsi="仿宋" w:cs="Times New Roman"/>
          <w:szCs w:val="32"/>
        </w:rPr>
        <w:t>、</w:t>
      </w:r>
      <w:r w:rsidRPr="003D11B4">
        <w:rPr>
          <w:rFonts w:ascii="仿宋" w:eastAsia="仿宋" w:hAnsi="仿宋" w:cs="Times New Roman" w:hint="eastAsia"/>
          <w:szCs w:val="32"/>
        </w:rPr>
        <w:t>关键</w:t>
      </w:r>
      <w:r w:rsidRPr="003D11B4">
        <w:rPr>
          <w:rFonts w:ascii="仿宋" w:eastAsia="仿宋" w:hAnsi="仿宋" w:cs="Times New Roman"/>
          <w:szCs w:val="32"/>
        </w:rPr>
        <w:t>临床</w:t>
      </w:r>
      <w:r w:rsidRPr="003D11B4">
        <w:rPr>
          <w:rFonts w:ascii="仿宋" w:eastAsia="仿宋" w:hAnsi="仿宋" w:cs="Times New Roman" w:hint="eastAsia"/>
          <w:szCs w:val="32"/>
        </w:rPr>
        <w:t>试验</w:t>
      </w:r>
      <w:r w:rsidRPr="003D11B4">
        <w:rPr>
          <w:rFonts w:ascii="仿宋" w:eastAsia="仿宋" w:hAnsi="仿宋" w:cs="Times New Roman"/>
          <w:szCs w:val="32"/>
        </w:rPr>
        <w:t>分别进行了阐述、建议。</w:t>
      </w:r>
      <w:r w:rsidRPr="003D11B4">
        <w:rPr>
          <w:rFonts w:ascii="仿宋" w:eastAsia="仿宋" w:hAnsi="仿宋" w:cs="Times New Roman" w:hint="eastAsia"/>
          <w:szCs w:val="32"/>
        </w:rPr>
        <w:t>并</w:t>
      </w:r>
      <w:r w:rsidRPr="003D11B4">
        <w:rPr>
          <w:rFonts w:ascii="仿宋" w:eastAsia="仿宋" w:hAnsi="仿宋" w:cs="Times New Roman"/>
          <w:szCs w:val="32"/>
        </w:rPr>
        <w:t>从研究目的、整体设计、研究人群、试验周期、疗效评估、伴随治疗以及安全性考虑等试验关键要素进行了相关要求。</w:t>
      </w:r>
    </w:p>
    <w:p w:rsidR="003C4487" w:rsidRPr="003C4487"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color w:val="000000"/>
          <w:szCs w:val="32"/>
        </w:rPr>
      </w:pPr>
      <w:r w:rsidRPr="003D11B4">
        <w:rPr>
          <w:rFonts w:ascii="仿宋" w:eastAsia="仿宋" w:hAnsi="仿宋" w:cs="Times New Roman"/>
          <w:szCs w:val="32"/>
        </w:rPr>
        <w:t>第三个章节是儿科临床研发考虑，儿科人群为AD患病的主要人群。重点从儿科临床研发的整体考虑、研发策略，及儿科临床研究需要的PK、安全性、疗效数据的考虑提出了重点建议。同时，对儿科人群的特殊考虑，如剂型、涂抹剂量也应在临床试验中关注。</w:t>
      </w:r>
    </w:p>
    <w:p w:rsidR="00DB748F" w:rsidRPr="00C46A9D" w:rsidRDefault="00DB748F" w:rsidP="00DB748F">
      <w:pPr>
        <w:ind w:firstLineChars="196" w:firstLine="627"/>
        <w:rPr>
          <w:rFonts w:ascii="黑体" w:eastAsia="黑体" w:hAnsi="黑体" w:cs="Times New Roman"/>
          <w:color w:val="000000"/>
          <w:szCs w:val="32"/>
        </w:rPr>
      </w:pPr>
      <w:r w:rsidRPr="00C46A9D">
        <w:rPr>
          <w:rFonts w:ascii="黑体" w:eastAsia="黑体" w:hAnsi="黑体" w:cs="Times New Roman" w:hint="eastAsia"/>
          <w:color w:val="000000"/>
          <w:szCs w:val="32"/>
        </w:rPr>
        <w:t>四</w:t>
      </w:r>
      <w:r w:rsidRPr="00C46A9D">
        <w:rPr>
          <w:rFonts w:ascii="黑体" w:eastAsia="黑体" w:hAnsi="黑体" w:cs="Times New Roman"/>
          <w:color w:val="000000"/>
          <w:szCs w:val="32"/>
        </w:rPr>
        <w:t>、</w:t>
      </w:r>
      <w:r w:rsidRPr="00C46A9D">
        <w:rPr>
          <w:rFonts w:ascii="黑体" w:eastAsia="黑体" w:hAnsi="黑体" w:cs="Times New Roman" w:hint="eastAsia"/>
          <w:color w:val="000000"/>
          <w:szCs w:val="32"/>
        </w:rPr>
        <w:t>重点</w:t>
      </w:r>
      <w:r w:rsidRPr="00C46A9D">
        <w:rPr>
          <w:rFonts w:ascii="黑体" w:eastAsia="黑体" w:hAnsi="黑体" w:cs="Times New Roman"/>
          <w:color w:val="000000"/>
          <w:szCs w:val="32"/>
        </w:rPr>
        <w:t>考虑的问题</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lastRenderedPageBreak/>
        <w:t>1.儿童人群的临床试验考虑</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儿童是特应性皮炎的主要患病人群，为了鼓励并促进特应性皮炎治疗药物，在保障安全的前提下尽早在儿科人群开展研究，指导原则从开展儿科研发的基础，以及研发时机方面提出了重点考虑。对儿科的药代研究、疗效数据考虑方面提出了相关建议与要求。</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2.主要疗效终点的考量</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基于科学的考量，结合全球同领域药物研发设计以及监管要求进展，对关键性临床试验的主要终点提出了明确的建议，对采用共同主要终点或单一终点的，做出了具体的要求。同时也考虑到新的评估工具的开发与验证，以及随着临床需求变化，研发目标的演变，鼓励与监管机构进行疗效评估进行交流</w:t>
      </w:r>
      <w:bookmarkStart w:id="0" w:name="_GoBack"/>
      <w:bookmarkEnd w:id="0"/>
      <w:r w:rsidRPr="003D11B4">
        <w:rPr>
          <w:rFonts w:ascii="仿宋" w:eastAsia="仿宋" w:hAnsi="仿宋" w:cs="Times New Roman"/>
          <w:szCs w:val="32"/>
        </w:rPr>
        <w:t>。</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3.</w:t>
      </w:r>
      <w:r w:rsidRPr="003D11B4">
        <w:rPr>
          <w:rFonts w:ascii="Calibri" w:eastAsia="仿宋" w:hAnsi="Calibri" w:cs="Calibri"/>
          <w:szCs w:val="32"/>
        </w:rPr>
        <w:t> </w:t>
      </w:r>
      <w:r w:rsidRPr="003D11B4">
        <w:rPr>
          <w:rFonts w:ascii="仿宋" w:eastAsia="仿宋" w:hAnsi="仿宋" w:cs="Times New Roman"/>
          <w:szCs w:val="32"/>
        </w:rPr>
        <w:t>对研究人群的考虑</w:t>
      </w:r>
    </w:p>
    <w:p w:rsidR="003C4487" w:rsidRPr="003D11B4" w:rsidRDefault="003C4487"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r w:rsidRPr="003D11B4">
        <w:rPr>
          <w:rFonts w:ascii="仿宋" w:eastAsia="仿宋" w:hAnsi="仿宋" w:cs="Times New Roman"/>
          <w:szCs w:val="32"/>
        </w:rPr>
        <w:t>特应性皮炎患者通常具有症状多样、病程迁延、反复发作的特点，应从临床需求和药物特点确定试验目标人群，为了能够更完善的评估药物在研究人群的疗效，指导原则从诊断标准、严重程度、病程等方面人群的选择提出了相关建议。</w:t>
      </w:r>
    </w:p>
    <w:p w:rsidR="007034AE" w:rsidRPr="003D11B4" w:rsidRDefault="007034AE" w:rsidP="003D11B4">
      <w:pPr>
        <w:tabs>
          <w:tab w:val="left" w:pos="879"/>
          <w:tab w:val="left" w:pos="880"/>
        </w:tabs>
        <w:autoSpaceDE w:val="0"/>
        <w:autoSpaceDN w:val="0"/>
        <w:spacing w:before="100" w:beforeAutospacing="1" w:after="100" w:afterAutospacing="1" w:line="360" w:lineRule="auto"/>
        <w:ind w:firstLineChars="200" w:firstLine="640"/>
        <w:rPr>
          <w:rFonts w:ascii="仿宋" w:eastAsia="仿宋" w:hAnsi="仿宋" w:cs="Times New Roman"/>
          <w:szCs w:val="32"/>
        </w:rPr>
      </w:pPr>
    </w:p>
    <w:sectPr w:rsidR="007034AE" w:rsidRPr="003D11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1AF" w:rsidRDefault="00A721AF" w:rsidP="00841FEB">
      <w:r>
        <w:separator/>
      </w:r>
    </w:p>
  </w:endnote>
  <w:endnote w:type="continuationSeparator" w:id="0">
    <w:p w:rsidR="00A721AF" w:rsidRDefault="00A721AF" w:rsidP="0084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1AF" w:rsidRDefault="00A721AF" w:rsidP="00841FEB">
      <w:r>
        <w:separator/>
      </w:r>
    </w:p>
  </w:footnote>
  <w:footnote w:type="continuationSeparator" w:id="0">
    <w:p w:rsidR="00A721AF" w:rsidRDefault="00A721AF" w:rsidP="00841F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7483"/>
    <w:multiLevelType w:val="singleLevel"/>
    <w:tmpl w:val="1795748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E1"/>
    <w:rsid w:val="000848CA"/>
    <w:rsid w:val="00086018"/>
    <w:rsid w:val="000B2B2D"/>
    <w:rsid w:val="000D5DBB"/>
    <w:rsid w:val="000F3F63"/>
    <w:rsid w:val="001317FC"/>
    <w:rsid w:val="00132E05"/>
    <w:rsid w:val="001570DE"/>
    <w:rsid w:val="001640BD"/>
    <w:rsid w:val="0016682F"/>
    <w:rsid w:val="001F6ABA"/>
    <w:rsid w:val="002021D9"/>
    <w:rsid w:val="0021715B"/>
    <w:rsid w:val="00252CCE"/>
    <w:rsid w:val="002662FD"/>
    <w:rsid w:val="00266C62"/>
    <w:rsid w:val="00271289"/>
    <w:rsid w:val="00271E6C"/>
    <w:rsid w:val="002B0D00"/>
    <w:rsid w:val="0031581B"/>
    <w:rsid w:val="003C394C"/>
    <w:rsid w:val="003C4487"/>
    <w:rsid w:val="003C5451"/>
    <w:rsid w:val="003D11B4"/>
    <w:rsid w:val="0042791A"/>
    <w:rsid w:val="004A35CC"/>
    <w:rsid w:val="004A4A25"/>
    <w:rsid w:val="004D490D"/>
    <w:rsid w:val="004F54A4"/>
    <w:rsid w:val="00500142"/>
    <w:rsid w:val="00514DA6"/>
    <w:rsid w:val="00547929"/>
    <w:rsid w:val="005504A5"/>
    <w:rsid w:val="00575678"/>
    <w:rsid w:val="005945E9"/>
    <w:rsid w:val="00682813"/>
    <w:rsid w:val="006B4726"/>
    <w:rsid w:val="006D686D"/>
    <w:rsid w:val="007034AE"/>
    <w:rsid w:val="00776E3C"/>
    <w:rsid w:val="00804D07"/>
    <w:rsid w:val="00841FEB"/>
    <w:rsid w:val="00866104"/>
    <w:rsid w:val="008735B6"/>
    <w:rsid w:val="0088337F"/>
    <w:rsid w:val="00893473"/>
    <w:rsid w:val="008A1B91"/>
    <w:rsid w:val="008C58E1"/>
    <w:rsid w:val="009170AA"/>
    <w:rsid w:val="0092470F"/>
    <w:rsid w:val="00934F77"/>
    <w:rsid w:val="00953B76"/>
    <w:rsid w:val="009B1CD6"/>
    <w:rsid w:val="009E40E3"/>
    <w:rsid w:val="00A01A51"/>
    <w:rsid w:val="00A660DB"/>
    <w:rsid w:val="00A721AF"/>
    <w:rsid w:val="00A75137"/>
    <w:rsid w:val="00AE3B66"/>
    <w:rsid w:val="00AF056B"/>
    <w:rsid w:val="00B10920"/>
    <w:rsid w:val="00B14EC4"/>
    <w:rsid w:val="00B17B46"/>
    <w:rsid w:val="00B72055"/>
    <w:rsid w:val="00BA2EC1"/>
    <w:rsid w:val="00BE78E4"/>
    <w:rsid w:val="00C009F1"/>
    <w:rsid w:val="00C265AA"/>
    <w:rsid w:val="00C40721"/>
    <w:rsid w:val="00D54AC5"/>
    <w:rsid w:val="00D73CAA"/>
    <w:rsid w:val="00DB748F"/>
    <w:rsid w:val="00DF6A8F"/>
    <w:rsid w:val="00E10799"/>
    <w:rsid w:val="00E21E34"/>
    <w:rsid w:val="00E36506"/>
    <w:rsid w:val="00EB3771"/>
    <w:rsid w:val="00F175D2"/>
    <w:rsid w:val="00F817F1"/>
    <w:rsid w:val="00F830A0"/>
    <w:rsid w:val="00FA144C"/>
    <w:rsid w:val="00FB0321"/>
    <w:rsid w:val="00FB656D"/>
    <w:rsid w:val="00FF56B2"/>
    <w:rsid w:val="00FF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692EE5-7146-4C3A-BB6D-C6420C93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FEB"/>
    <w:pPr>
      <w:widowControl w:val="0"/>
      <w:jc w:val="both"/>
    </w:pPr>
    <w:rPr>
      <w:rFonts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F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FEB"/>
    <w:rPr>
      <w:sz w:val="18"/>
      <w:szCs w:val="18"/>
    </w:rPr>
  </w:style>
  <w:style w:type="paragraph" w:styleId="a5">
    <w:name w:val="footer"/>
    <w:basedOn w:val="a"/>
    <w:link w:val="a6"/>
    <w:uiPriority w:val="99"/>
    <w:unhideWhenUsed/>
    <w:rsid w:val="00841FEB"/>
    <w:pPr>
      <w:tabs>
        <w:tab w:val="center" w:pos="4153"/>
        <w:tab w:val="right" w:pos="8306"/>
      </w:tabs>
      <w:snapToGrid w:val="0"/>
      <w:jc w:val="left"/>
    </w:pPr>
    <w:rPr>
      <w:sz w:val="18"/>
      <w:szCs w:val="18"/>
    </w:rPr>
  </w:style>
  <w:style w:type="character" w:customStyle="1" w:styleId="a6">
    <w:name w:val="页脚 字符"/>
    <w:basedOn w:val="a0"/>
    <w:link w:val="a5"/>
    <w:uiPriority w:val="99"/>
    <w:rsid w:val="00841FEB"/>
    <w:rPr>
      <w:sz w:val="18"/>
      <w:szCs w:val="18"/>
    </w:rPr>
  </w:style>
  <w:style w:type="paragraph" w:styleId="a7">
    <w:name w:val="List Paragraph"/>
    <w:basedOn w:val="a"/>
    <w:uiPriority w:val="34"/>
    <w:qFormat/>
    <w:rsid w:val="003C44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79475">
      <w:bodyDiv w:val="1"/>
      <w:marLeft w:val="0"/>
      <w:marRight w:val="0"/>
      <w:marTop w:val="0"/>
      <w:marBottom w:val="0"/>
      <w:divBdr>
        <w:top w:val="none" w:sz="0" w:space="0" w:color="auto"/>
        <w:left w:val="none" w:sz="0" w:space="0" w:color="auto"/>
        <w:bottom w:val="none" w:sz="0" w:space="0" w:color="auto"/>
        <w:right w:val="none" w:sz="0" w:space="0" w:color="auto"/>
      </w:divBdr>
    </w:div>
    <w:div w:id="1027683745">
      <w:bodyDiv w:val="1"/>
      <w:marLeft w:val="0"/>
      <w:marRight w:val="0"/>
      <w:marTop w:val="0"/>
      <w:marBottom w:val="0"/>
      <w:divBdr>
        <w:top w:val="none" w:sz="0" w:space="0" w:color="auto"/>
        <w:left w:val="none" w:sz="0" w:space="0" w:color="auto"/>
        <w:bottom w:val="none" w:sz="0" w:space="0" w:color="auto"/>
        <w:right w:val="none" w:sz="0" w:space="0" w:color="auto"/>
      </w:divBdr>
    </w:div>
    <w:div w:id="1784839236">
      <w:bodyDiv w:val="1"/>
      <w:marLeft w:val="0"/>
      <w:marRight w:val="0"/>
      <w:marTop w:val="0"/>
      <w:marBottom w:val="0"/>
      <w:divBdr>
        <w:top w:val="none" w:sz="0" w:space="0" w:color="auto"/>
        <w:left w:val="none" w:sz="0" w:space="0" w:color="auto"/>
        <w:bottom w:val="none" w:sz="0" w:space="0" w:color="auto"/>
        <w:right w:val="none" w:sz="0" w:space="0" w:color="auto"/>
      </w:divBdr>
    </w:div>
    <w:div w:id="17895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189</Words>
  <Characters>1083</Characters>
  <Application>Microsoft Office Word</Application>
  <DocSecurity>0</DocSecurity>
  <Lines>9</Lines>
  <Paragraphs>2</Paragraphs>
  <ScaleCrop>false</ScaleCrop>
  <Company>Microsoft</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葛玉梅</dc:creator>
  <cp:keywords/>
  <dc:description/>
  <cp:lastModifiedBy>葛玉梅</cp:lastModifiedBy>
  <cp:revision>9</cp:revision>
  <dcterms:created xsi:type="dcterms:W3CDTF">2022-07-28T04:25:00Z</dcterms:created>
  <dcterms:modified xsi:type="dcterms:W3CDTF">2022-11-17T07:33:00Z</dcterms:modified>
</cp:coreProperties>
</file>