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2025年基本公卫服务规范制定计划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18"/>
        <w:gridCol w:w="264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牵头机构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</w:rPr>
              <w:t>广东省2025年慢性阻塞性肺疾病基层能力提升培训项目实施方案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省慢性呼吸疾病防治中心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驻点指导方案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省公共卫生研究院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基本公卫服务补助参考标准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（含镇村分工）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省公共卫生研究院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居民健康档案质量控制标准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省基本公卫项目办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2025年基本公卫绩效评价方案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省基本公卫项目办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F9A79E5"/>
    <w:rsid w:val="7E1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  <w:szCs w:val="2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2025-08-22T09:52:10Z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