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FB7AF">
      <w:pPr>
        <w:spacing w:after="157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2025年化妆品标准立项计划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026"/>
        <w:gridCol w:w="1350"/>
        <w:gridCol w:w="2396"/>
      </w:tblGrid>
      <w:tr w14:paraId="6728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76" w:type="dxa"/>
            <w:noWrap w:val="0"/>
            <w:vAlign w:val="center"/>
          </w:tcPr>
          <w:p w14:paraId="05559A13">
            <w:pPr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24"/>
              </w:rPr>
              <w:t>序号</w:t>
            </w:r>
          </w:p>
        </w:tc>
        <w:tc>
          <w:tcPr>
            <w:tcW w:w="4282" w:type="dxa"/>
            <w:noWrap w:val="0"/>
            <w:vAlign w:val="center"/>
          </w:tcPr>
          <w:p w14:paraId="2C44F5A1">
            <w:pPr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24"/>
              </w:rPr>
              <w:t>项目名称</w:t>
            </w:r>
          </w:p>
        </w:tc>
        <w:tc>
          <w:tcPr>
            <w:tcW w:w="1431" w:type="dxa"/>
            <w:noWrap w:val="0"/>
            <w:vAlign w:val="center"/>
          </w:tcPr>
          <w:p w14:paraId="65DFB72C">
            <w:pPr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24"/>
              </w:rPr>
              <w:t>制修订类型</w:t>
            </w:r>
          </w:p>
        </w:tc>
        <w:tc>
          <w:tcPr>
            <w:tcW w:w="2571" w:type="dxa"/>
            <w:noWrap w:val="0"/>
            <w:vAlign w:val="center"/>
          </w:tcPr>
          <w:p w14:paraId="6060F971">
            <w:pPr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24"/>
              </w:rPr>
              <w:t>承担项目的</w:t>
            </w:r>
          </w:p>
          <w:p w14:paraId="24727DB6">
            <w:pPr>
              <w:spacing w:line="320" w:lineRule="exact"/>
              <w:jc w:val="center"/>
              <w:rPr>
                <w:rFonts w:hint="eastAsia" w:ascii="Times New Roman" w:hAnsi="Times New Roman" w:eastAsia="黑体" w:cs="黑体"/>
                <w:b w:val="0"/>
                <w:bCs/>
                <w:sz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sz w:val="24"/>
              </w:rPr>
              <w:t>标委会分技术委员会</w:t>
            </w:r>
          </w:p>
        </w:tc>
      </w:tr>
      <w:tr w14:paraId="1439F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26F573FB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</w:t>
            </w:r>
          </w:p>
        </w:tc>
        <w:tc>
          <w:tcPr>
            <w:tcW w:w="4282" w:type="dxa"/>
            <w:noWrap w:val="0"/>
            <w:vAlign w:val="center"/>
          </w:tcPr>
          <w:p w14:paraId="19FFF2FF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胶态银</w:t>
            </w:r>
          </w:p>
        </w:tc>
        <w:tc>
          <w:tcPr>
            <w:tcW w:w="1431" w:type="dxa"/>
            <w:noWrap w:val="0"/>
            <w:vAlign w:val="center"/>
          </w:tcPr>
          <w:p w14:paraId="1832AA4C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5C71FBC6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通用技术要求</w:t>
            </w:r>
          </w:p>
          <w:p w14:paraId="3BB5036C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分技术委员会</w:t>
            </w:r>
          </w:p>
        </w:tc>
      </w:tr>
      <w:tr w14:paraId="59CB0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439AF489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</w:t>
            </w:r>
          </w:p>
        </w:tc>
        <w:tc>
          <w:tcPr>
            <w:tcW w:w="4282" w:type="dxa"/>
            <w:noWrap w:val="0"/>
            <w:vAlign w:val="center"/>
          </w:tcPr>
          <w:p w14:paraId="28BEFCA2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胶态铂</w:t>
            </w:r>
          </w:p>
        </w:tc>
        <w:tc>
          <w:tcPr>
            <w:tcW w:w="1431" w:type="dxa"/>
            <w:noWrap w:val="0"/>
            <w:vAlign w:val="center"/>
          </w:tcPr>
          <w:p w14:paraId="7EF391CD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57B08F6F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通用技术要求</w:t>
            </w:r>
          </w:p>
          <w:p w14:paraId="5573CF6F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分技术委员会</w:t>
            </w:r>
          </w:p>
        </w:tc>
      </w:tr>
      <w:tr w14:paraId="58DFF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639B98D1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</w:t>
            </w:r>
          </w:p>
        </w:tc>
        <w:tc>
          <w:tcPr>
            <w:tcW w:w="4282" w:type="dxa"/>
            <w:noWrap w:val="0"/>
            <w:vAlign w:val="center"/>
          </w:tcPr>
          <w:p w14:paraId="23A38404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NTA三钠</w:t>
            </w:r>
          </w:p>
        </w:tc>
        <w:tc>
          <w:tcPr>
            <w:tcW w:w="1431" w:type="dxa"/>
            <w:noWrap w:val="0"/>
            <w:vAlign w:val="center"/>
          </w:tcPr>
          <w:p w14:paraId="5178F2A4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28FB883B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通用技术要求</w:t>
            </w:r>
          </w:p>
          <w:p w14:paraId="1E36BE2A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54CA3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52F8E94F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</w:t>
            </w:r>
          </w:p>
        </w:tc>
        <w:tc>
          <w:tcPr>
            <w:tcW w:w="4282" w:type="dxa"/>
            <w:noWrap w:val="0"/>
            <w:vAlign w:val="center"/>
          </w:tcPr>
          <w:p w14:paraId="044038A2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甲基吡咯烷酮</w:t>
            </w:r>
          </w:p>
        </w:tc>
        <w:tc>
          <w:tcPr>
            <w:tcW w:w="1431" w:type="dxa"/>
            <w:noWrap w:val="0"/>
            <w:vAlign w:val="center"/>
          </w:tcPr>
          <w:p w14:paraId="3A599A17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6280426C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通用技术要求</w:t>
            </w:r>
          </w:p>
          <w:p w14:paraId="0EEC90AC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4CD21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1B97CEFA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</w:t>
            </w:r>
          </w:p>
        </w:tc>
        <w:tc>
          <w:tcPr>
            <w:tcW w:w="4282" w:type="dxa"/>
            <w:noWrap w:val="0"/>
            <w:vAlign w:val="center"/>
          </w:tcPr>
          <w:p w14:paraId="4B8FB997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硅酸铝锌银铵</w:t>
            </w:r>
          </w:p>
        </w:tc>
        <w:tc>
          <w:tcPr>
            <w:tcW w:w="1431" w:type="dxa"/>
            <w:noWrap w:val="0"/>
            <w:vAlign w:val="center"/>
          </w:tcPr>
          <w:p w14:paraId="7E75E82A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521E42B9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通用技术要求</w:t>
            </w:r>
          </w:p>
          <w:p w14:paraId="377C1E1C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4D7D2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59EC2BD2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6</w:t>
            </w:r>
          </w:p>
        </w:tc>
        <w:tc>
          <w:tcPr>
            <w:tcW w:w="4282" w:type="dxa"/>
            <w:noWrap w:val="0"/>
            <w:vAlign w:val="center"/>
          </w:tcPr>
          <w:p w14:paraId="7B335C77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甲苯</w:t>
            </w:r>
          </w:p>
        </w:tc>
        <w:tc>
          <w:tcPr>
            <w:tcW w:w="1431" w:type="dxa"/>
            <w:noWrap w:val="0"/>
            <w:vAlign w:val="center"/>
          </w:tcPr>
          <w:p w14:paraId="5D21AB5C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03B29DC4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通用技术要求</w:t>
            </w:r>
          </w:p>
          <w:p w14:paraId="6071C293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5511C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58C39598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7</w:t>
            </w:r>
          </w:p>
        </w:tc>
        <w:tc>
          <w:tcPr>
            <w:tcW w:w="4282" w:type="dxa"/>
            <w:noWrap w:val="0"/>
            <w:vAlign w:val="center"/>
          </w:tcPr>
          <w:p w14:paraId="0630B708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游离甲醛标签标注阈值</w:t>
            </w:r>
          </w:p>
        </w:tc>
        <w:tc>
          <w:tcPr>
            <w:tcW w:w="1431" w:type="dxa"/>
            <w:noWrap w:val="0"/>
            <w:vAlign w:val="center"/>
          </w:tcPr>
          <w:p w14:paraId="0093EC46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修订</w:t>
            </w:r>
          </w:p>
        </w:tc>
        <w:tc>
          <w:tcPr>
            <w:tcW w:w="2571" w:type="dxa"/>
            <w:noWrap w:val="0"/>
            <w:vAlign w:val="center"/>
          </w:tcPr>
          <w:p w14:paraId="3A574D20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通用技术要求</w:t>
            </w:r>
          </w:p>
          <w:p w14:paraId="1ED46BCF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59C2E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1D46CDA5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8</w:t>
            </w:r>
          </w:p>
        </w:tc>
        <w:tc>
          <w:tcPr>
            <w:tcW w:w="4282" w:type="dxa"/>
            <w:noWrap w:val="0"/>
            <w:vAlign w:val="center"/>
          </w:tcPr>
          <w:p w14:paraId="32C1D1A1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α-熊果苷、熊果苷</w:t>
            </w:r>
          </w:p>
        </w:tc>
        <w:tc>
          <w:tcPr>
            <w:tcW w:w="1431" w:type="dxa"/>
            <w:noWrap w:val="0"/>
            <w:vAlign w:val="center"/>
          </w:tcPr>
          <w:p w14:paraId="20CAC889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6A904F4C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通用技术要求</w:t>
            </w:r>
          </w:p>
          <w:p w14:paraId="03D65974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6E83A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2B8FC954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9</w:t>
            </w:r>
          </w:p>
        </w:tc>
        <w:tc>
          <w:tcPr>
            <w:tcW w:w="4282" w:type="dxa"/>
            <w:noWrap w:val="0"/>
            <w:vAlign w:val="center"/>
          </w:tcPr>
          <w:p w14:paraId="4D029E42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曲酸</w:t>
            </w:r>
          </w:p>
        </w:tc>
        <w:tc>
          <w:tcPr>
            <w:tcW w:w="1431" w:type="dxa"/>
            <w:noWrap w:val="0"/>
            <w:vAlign w:val="center"/>
          </w:tcPr>
          <w:p w14:paraId="6082D740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677964BA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通用技术要求</w:t>
            </w:r>
          </w:p>
          <w:p w14:paraId="7E726CB1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34AF4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4987A0A8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10</w:t>
            </w:r>
          </w:p>
        </w:tc>
        <w:tc>
          <w:tcPr>
            <w:tcW w:w="4282" w:type="dxa"/>
            <w:noWrap w:val="0"/>
            <w:vAlign w:val="center"/>
          </w:tcPr>
          <w:p w14:paraId="526E23C1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食品蓝2</w:t>
            </w:r>
          </w:p>
          <w:p w14:paraId="4BD63A0B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CI 42090</w:t>
            </w:r>
          </w:p>
        </w:tc>
        <w:tc>
          <w:tcPr>
            <w:tcW w:w="1431" w:type="dxa"/>
            <w:noWrap w:val="0"/>
            <w:vAlign w:val="center"/>
          </w:tcPr>
          <w:p w14:paraId="7F40A007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6BDBFF68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通用技术要求</w:t>
            </w:r>
          </w:p>
          <w:p w14:paraId="5E583126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2925E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1D5472D3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11</w:t>
            </w:r>
          </w:p>
        </w:tc>
        <w:tc>
          <w:tcPr>
            <w:tcW w:w="4282" w:type="dxa"/>
            <w:noWrap w:val="0"/>
            <w:vAlign w:val="center"/>
          </w:tcPr>
          <w:p w14:paraId="7AEA4B57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食品黄4</w:t>
            </w:r>
          </w:p>
          <w:p w14:paraId="33FE8CEB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CI 19140</w:t>
            </w:r>
          </w:p>
        </w:tc>
        <w:tc>
          <w:tcPr>
            <w:tcW w:w="1431" w:type="dxa"/>
            <w:noWrap w:val="0"/>
            <w:vAlign w:val="center"/>
          </w:tcPr>
          <w:p w14:paraId="789736A2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063EEC86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通用技术要求</w:t>
            </w:r>
          </w:p>
          <w:p w14:paraId="5D77787D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671EB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2508F16E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12</w:t>
            </w:r>
          </w:p>
        </w:tc>
        <w:tc>
          <w:tcPr>
            <w:tcW w:w="4282" w:type="dxa"/>
            <w:noWrap w:val="0"/>
            <w:vAlign w:val="center"/>
          </w:tcPr>
          <w:p w14:paraId="55BE8DEE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碱性紫2</w:t>
            </w:r>
          </w:p>
          <w:p w14:paraId="09287863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CI 42520</w:t>
            </w:r>
          </w:p>
        </w:tc>
        <w:tc>
          <w:tcPr>
            <w:tcW w:w="1431" w:type="dxa"/>
            <w:noWrap w:val="0"/>
            <w:vAlign w:val="center"/>
          </w:tcPr>
          <w:p w14:paraId="4160EF4D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2D14DA58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通用技术要求</w:t>
            </w:r>
          </w:p>
          <w:p w14:paraId="07BBC3CD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78BE4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1086F0C4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13</w:t>
            </w:r>
          </w:p>
        </w:tc>
        <w:tc>
          <w:tcPr>
            <w:tcW w:w="4282" w:type="dxa"/>
            <w:noWrap w:val="0"/>
            <w:vAlign w:val="center"/>
          </w:tcPr>
          <w:p w14:paraId="654B6B06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化学合成原料技术要求通则</w:t>
            </w:r>
          </w:p>
        </w:tc>
        <w:tc>
          <w:tcPr>
            <w:tcW w:w="1431" w:type="dxa"/>
            <w:noWrap w:val="0"/>
            <w:vAlign w:val="center"/>
          </w:tcPr>
          <w:p w14:paraId="670BC8EC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3A3A91B0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原料和包装材料</w:t>
            </w:r>
          </w:p>
          <w:p w14:paraId="10B33ABB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294D0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2EF3F356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14</w:t>
            </w:r>
          </w:p>
        </w:tc>
        <w:tc>
          <w:tcPr>
            <w:tcW w:w="4282" w:type="dxa"/>
            <w:noWrap w:val="0"/>
            <w:vAlign w:val="center"/>
          </w:tcPr>
          <w:p w14:paraId="32DBBBC8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肽类原料技术要求通则</w:t>
            </w:r>
          </w:p>
        </w:tc>
        <w:tc>
          <w:tcPr>
            <w:tcW w:w="1431" w:type="dxa"/>
            <w:noWrap w:val="0"/>
            <w:vAlign w:val="center"/>
          </w:tcPr>
          <w:p w14:paraId="430BD90E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3532E30E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原料和包装材料</w:t>
            </w:r>
          </w:p>
          <w:p w14:paraId="1149502A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5FEDB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6903DD3C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15</w:t>
            </w:r>
          </w:p>
        </w:tc>
        <w:tc>
          <w:tcPr>
            <w:tcW w:w="4282" w:type="dxa"/>
            <w:noWrap w:val="0"/>
            <w:vAlign w:val="center"/>
          </w:tcPr>
          <w:p w14:paraId="48BD32B7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化妆品用苯氧乙醇</w:t>
            </w:r>
          </w:p>
        </w:tc>
        <w:tc>
          <w:tcPr>
            <w:tcW w:w="1431" w:type="dxa"/>
            <w:noWrap w:val="0"/>
            <w:vAlign w:val="center"/>
          </w:tcPr>
          <w:p w14:paraId="61185141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58B0563C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原料和包装材料</w:t>
            </w:r>
          </w:p>
          <w:p w14:paraId="6383D690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65ECF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6865DBF3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16</w:t>
            </w:r>
          </w:p>
        </w:tc>
        <w:tc>
          <w:tcPr>
            <w:tcW w:w="4282" w:type="dxa"/>
            <w:noWrap w:val="0"/>
            <w:vAlign w:val="center"/>
          </w:tcPr>
          <w:p w14:paraId="5F746D0A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化妆品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用补骨脂酚</w:t>
            </w:r>
          </w:p>
        </w:tc>
        <w:tc>
          <w:tcPr>
            <w:tcW w:w="1431" w:type="dxa"/>
            <w:noWrap w:val="0"/>
            <w:vAlign w:val="center"/>
          </w:tcPr>
          <w:p w14:paraId="49B046FF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0B844AC8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原料和包装材料</w:t>
            </w:r>
          </w:p>
          <w:p w14:paraId="76D682FC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04622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32CF06B2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17</w:t>
            </w:r>
          </w:p>
        </w:tc>
        <w:tc>
          <w:tcPr>
            <w:tcW w:w="4282" w:type="dxa"/>
            <w:noWrap w:val="0"/>
            <w:vAlign w:val="center"/>
          </w:tcPr>
          <w:p w14:paraId="5B5B6918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化妆品用椰油酰胺丙基甜菜碱</w:t>
            </w:r>
          </w:p>
        </w:tc>
        <w:tc>
          <w:tcPr>
            <w:tcW w:w="1431" w:type="dxa"/>
            <w:noWrap w:val="0"/>
            <w:vAlign w:val="center"/>
          </w:tcPr>
          <w:p w14:paraId="7010C7E0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1B53A573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原料和包装材料</w:t>
            </w:r>
          </w:p>
          <w:p w14:paraId="25F2C3C7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61102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26982EB5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18</w:t>
            </w:r>
          </w:p>
        </w:tc>
        <w:tc>
          <w:tcPr>
            <w:tcW w:w="4282" w:type="dxa"/>
            <w:noWrap w:val="0"/>
            <w:vAlign w:val="center"/>
          </w:tcPr>
          <w:p w14:paraId="6C0BCC56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化妆品用人参提取物</w:t>
            </w:r>
          </w:p>
        </w:tc>
        <w:tc>
          <w:tcPr>
            <w:tcW w:w="1431" w:type="dxa"/>
            <w:noWrap w:val="0"/>
            <w:vAlign w:val="center"/>
          </w:tcPr>
          <w:p w14:paraId="5696EBF1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1D1C9047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原料和包装材料</w:t>
            </w:r>
          </w:p>
          <w:p w14:paraId="34E3ED88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405EE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2A4749C3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19</w:t>
            </w:r>
          </w:p>
        </w:tc>
        <w:tc>
          <w:tcPr>
            <w:tcW w:w="4282" w:type="dxa"/>
            <w:noWrap w:val="0"/>
            <w:vAlign w:val="center"/>
          </w:tcPr>
          <w:p w14:paraId="700E8120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面膜基材</w:t>
            </w:r>
          </w:p>
        </w:tc>
        <w:tc>
          <w:tcPr>
            <w:tcW w:w="1431" w:type="dxa"/>
            <w:noWrap w:val="0"/>
            <w:vAlign w:val="center"/>
          </w:tcPr>
          <w:p w14:paraId="45CCDA1B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29BF14D4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原料和包装材料</w:t>
            </w:r>
          </w:p>
          <w:p w14:paraId="1F11178F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18F04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3A307295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20</w:t>
            </w:r>
          </w:p>
        </w:tc>
        <w:tc>
          <w:tcPr>
            <w:tcW w:w="4282" w:type="dxa"/>
            <w:noWrap w:val="0"/>
            <w:vAlign w:val="center"/>
          </w:tcPr>
          <w:p w14:paraId="2D16F265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28天重复剂量经皮毒性试验方法</w:t>
            </w:r>
          </w:p>
        </w:tc>
        <w:tc>
          <w:tcPr>
            <w:tcW w:w="1431" w:type="dxa"/>
            <w:noWrap w:val="0"/>
            <w:vAlign w:val="center"/>
          </w:tcPr>
          <w:p w14:paraId="38841FD0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678D9500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安全评价</w:t>
            </w:r>
          </w:p>
          <w:p w14:paraId="1DB4EDB3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41A6C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33F00A76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21</w:t>
            </w:r>
          </w:p>
        </w:tc>
        <w:tc>
          <w:tcPr>
            <w:tcW w:w="4282" w:type="dxa"/>
            <w:noWrap w:val="0"/>
            <w:vAlign w:val="center"/>
          </w:tcPr>
          <w:p w14:paraId="03D79B91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急性吸入毒性试验方法：固定剂量法</w:t>
            </w:r>
          </w:p>
        </w:tc>
        <w:tc>
          <w:tcPr>
            <w:tcW w:w="1431" w:type="dxa"/>
            <w:noWrap w:val="0"/>
            <w:vAlign w:val="center"/>
          </w:tcPr>
          <w:p w14:paraId="3ED58158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  <w:bookmarkStart w:id="0" w:name="_GoBack"/>
            <w:bookmarkEnd w:id="0"/>
          </w:p>
        </w:tc>
        <w:tc>
          <w:tcPr>
            <w:tcW w:w="2571" w:type="dxa"/>
            <w:noWrap w:val="0"/>
            <w:vAlign w:val="center"/>
          </w:tcPr>
          <w:p w14:paraId="6FD245B3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安全评价</w:t>
            </w:r>
          </w:p>
          <w:p w14:paraId="3602B656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71AF8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7E9631B9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22</w:t>
            </w:r>
          </w:p>
        </w:tc>
        <w:tc>
          <w:tcPr>
            <w:tcW w:w="4282" w:type="dxa"/>
            <w:noWrap w:val="0"/>
            <w:vAlign w:val="center"/>
          </w:tcPr>
          <w:p w14:paraId="5F5E31BF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皮肤变态反应试验方法</w:t>
            </w:r>
          </w:p>
        </w:tc>
        <w:tc>
          <w:tcPr>
            <w:tcW w:w="1431" w:type="dxa"/>
            <w:noWrap w:val="0"/>
            <w:vAlign w:val="center"/>
          </w:tcPr>
          <w:p w14:paraId="6F2FC332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修订</w:t>
            </w:r>
          </w:p>
        </w:tc>
        <w:tc>
          <w:tcPr>
            <w:tcW w:w="2571" w:type="dxa"/>
            <w:noWrap w:val="0"/>
            <w:vAlign w:val="center"/>
          </w:tcPr>
          <w:p w14:paraId="448FE5EC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安全评价</w:t>
            </w:r>
          </w:p>
          <w:p w14:paraId="6973EE66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08056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1A7D2047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23</w:t>
            </w:r>
          </w:p>
        </w:tc>
        <w:tc>
          <w:tcPr>
            <w:tcW w:w="4282" w:type="dxa"/>
            <w:noWrap w:val="0"/>
            <w:vAlign w:val="center"/>
          </w:tcPr>
          <w:p w14:paraId="1EAA2FD8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体外哺乳动物细胞基因突变试验方法</w:t>
            </w:r>
          </w:p>
        </w:tc>
        <w:tc>
          <w:tcPr>
            <w:tcW w:w="1431" w:type="dxa"/>
            <w:noWrap w:val="0"/>
            <w:vAlign w:val="center"/>
          </w:tcPr>
          <w:p w14:paraId="7BEC0115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修订</w:t>
            </w:r>
          </w:p>
        </w:tc>
        <w:tc>
          <w:tcPr>
            <w:tcW w:w="2571" w:type="dxa"/>
            <w:noWrap w:val="0"/>
            <w:vAlign w:val="center"/>
          </w:tcPr>
          <w:p w14:paraId="19BC933F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安全评价</w:t>
            </w:r>
          </w:p>
          <w:p w14:paraId="09929797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36467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48D8F2DC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24</w:t>
            </w:r>
          </w:p>
        </w:tc>
        <w:tc>
          <w:tcPr>
            <w:tcW w:w="4282" w:type="dxa"/>
            <w:noWrap w:val="0"/>
            <w:vAlign w:val="center"/>
          </w:tcPr>
          <w:p w14:paraId="22E5E717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重复性开放型涂抹检验方法</w:t>
            </w:r>
          </w:p>
        </w:tc>
        <w:tc>
          <w:tcPr>
            <w:tcW w:w="1431" w:type="dxa"/>
            <w:noWrap w:val="0"/>
            <w:vAlign w:val="center"/>
          </w:tcPr>
          <w:p w14:paraId="166137B2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修订</w:t>
            </w:r>
          </w:p>
        </w:tc>
        <w:tc>
          <w:tcPr>
            <w:tcW w:w="2571" w:type="dxa"/>
            <w:noWrap w:val="0"/>
            <w:vAlign w:val="center"/>
          </w:tcPr>
          <w:p w14:paraId="1B89A196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人体安全与功效评价</w:t>
            </w:r>
          </w:p>
          <w:p w14:paraId="0F819D1C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4AC8B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0DA29B37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25</w:t>
            </w:r>
          </w:p>
        </w:tc>
        <w:tc>
          <w:tcPr>
            <w:tcW w:w="4282" w:type="dxa"/>
            <w:noWrap w:val="0"/>
            <w:vAlign w:val="center"/>
          </w:tcPr>
          <w:p w14:paraId="2ED7275C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烫发产品</w:t>
            </w:r>
          </w:p>
        </w:tc>
        <w:tc>
          <w:tcPr>
            <w:tcW w:w="1431" w:type="dxa"/>
            <w:noWrap w:val="0"/>
            <w:vAlign w:val="center"/>
          </w:tcPr>
          <w:p w14:paraId="6F7D56FB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7650311A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产品分技术委员会</w:t>
            </w:r>
          </w:p>
        </w:tc>
      </w:tr>
      <w:tr w14:paraId="642E5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109C5D29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26</w:t>
            </w:r>
          </w:p>
        </w:tc>
        <w:tc>
          <w:tcPr>
            <w:tcW w:w="4282" w:type="dxa"/>
            <w:noWrap w:val="0"/>
            <w:vAlign w:val="center"/>
          </w:tcPr>
          <w:p w14:paraId="7634852C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粉底液（霜/膏）</w:t>
            </w:r>
          </w:p>
        </w:tc>
        <w:tc>
          <w:tcPr>
            <w:tcW w:w="1431" w:type="dxa"/>
            <w:noWrap w:val="0"/>
            <w:vAlign w:val="center"/>
          </w:tcPr>
          <w:p w14:paraId="0F977325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656DD0BE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产品分技术委员会</w:t>
            </w:r>
          </w:p>
        </w:tc>
      </w:tr>
      <w:tr w14:paraId="540C7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1D3599E9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27</w:t>
            </w:r>
          </w:p>
        </w:tc>
        <w:tc>
          <w:tcPr>
            <w:tcW w:w="4282" w:type="dxa"/>
            <w:noWrap w:val="0"/>
            <w:vAlign w:val="center"/>
          </w:tcPr>
          <w:p w14:paraId="31134CCB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化妆品理化检验方法验证技术规范</w:t>
            </w:r>
          </w:p>
        </w:tc>
        <w:tc>
          <w:tcPr>
            <w:tcW w:w="1431" w:type="dxa"/>
            <w:noWrap w:val="0"/>
            <w:vAlign w:val="center"/>
          </w:tcPr>
          <w:p w14:paraId="07DCEAC5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修订</w:t>
            </w:r>
          </w:p>
        </w:tc>
        <w:tc>
          <w:tcPr>
            <w:tcW w:w="2571" w:type="dxa"/>
            <w:noWrap w:val="0"/>
            <w:vAlign w:val="center"/>
          </w:tcPr>
          <w:p w14:paraId="209804DD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检验检测</w:t>
            </w:r>
          </w:p>
          <w:p w14:paraId="6182596E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42D86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3DDF4E52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28</w:t>
            </w:r>
          </w:p>
        </w:tc>
        <w:tc>
          <w:tcPr>
            <w:tcW w:w="4282" w:type="dxa"/>
            <w:noWrap w:val="0"/>
            <w:vAlign w:val="center"/>
          </w:tcPr>
          <w:p w14:paraId="24134B8F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化妆品微生物检验方法验证技术规范</w:t>
            </w:r>
          </w:p>
        </w:tc>
        <w:tc>
          <w:tcPr>
            <w:tcW w:w="1431" w:type="dxa"/>
            <w:noWrap w:val="0"/>
            <w:vAlign w:val="center"/>
          </w:tcPr>
          <w:p w14:paraId="3F860E4C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69D6A7B0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检验检测</w:t>
            </w:r>
          </w:p>
          <w:p w14:paraId="3F2CA929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08779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1C17E1D4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29</w:t>
            </w:r>
          </w:p>
        </w:tc>
        <w:tc>
          <w:tcPr>
            <w:tcW w:w="4282" w:type="dxa"/>
            <w:noWrap w:val="0"/>
            <w:vAlign w:val="center"/>
          </w:tcPr>
          <w:p w14:paraId="53306C01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化妆品中环四聚二甲基硅氧烷（D</w:t>
            </w:r>
            <w:r>
              <w:rPr>
                <w:rFonts w:ascii="Times New Roman" w:hAnsi="Times New Roman" w:eastAsia="仿宋_GB2312"/>
                <w:kern w:val="0"/>
                <w:sz w:val="24"/>
                <w:vertAlign w:val="subscript"/>
              </w:rPr>
              <w:t>4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）、环五聚二甲基硅氧烷（D</w:t>
            </w:r>
            <w:r>
              <w:rPr>
                <w:rFonts w:ascii="Times New Roman" w:hAnsi="Times New Roman" w:eastAsia="仿宋_GB2312"/>
                <w:kern w:val="0"/>
                <w:sz w:val="24"/>
                <w:vertAlign w:val="subscript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）、环己硅氧烷（D</w:t>
            </w:r>
            <w:r>
              <w:rPr>
                <w:rFonts w:ascii="Times New Roman" w:hAnsi="Times New Roman" w:eastAsia="仿宋_GB2312"/>
                <w:kern w:val="0"/>
                <w:sz w:val="24"/>
                <w:vertAlign w:val="subscript"/>
              </w:rPr>
              <w:t>6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）的检验方法</w:t>
            </w:r>
          </w:p>
        </w:tc>
        <w:tc>
          <w:tcPr>
            <w:tcW w:w="1431" w:type="dxa"/>
            <w:noWrap w:val="0"/>
            <w:vAlign w:val="center"/>
          </w:tcPr>
          <w:p w14:paraId="30F65B33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08DE8E9B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检验检测</w:t>
            </w:r>
          </w:p>
          <w:p w14:paraId="6DEAB261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19E4A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2C6C2249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30</w:t>
            </w:r>
          </w:p>
        </w:tc>
        <w:tc>
          <w:tcPr>
            <w:tcW w:w="4282" w:type="dxa"/>
            <w:noWrap w:val="0"/>
            <w:vAlign w:val="center"/>
          </w:tcPr>
          <w:p w14:paraId="45741376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化妆品中多种全/多氟烷基物质的检验方法</w:t>
            </w:r>
          </w:p>
        </w:tc>
        <w:tc>
          <w:tcPr>
            <w:tcW w:w="1431" w:type="dxa"/>
            <w:noWrap w:val="0"/>
            <w:vAlign w:val="center"/>
          </w:tcPr>
          <w:p w14:paraId="384D7166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0AC4BAFB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检验检测</w:t>
            </w:r>
          </w:p>
          <w:p w14:paraId="5E4A92E1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44663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592AE584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31</w:t>
            </w:r>
          </w:p>
        </w:tc>
        <w:tc>
          <w:tcPr>
            <w:tcW w:w="4282" w:type="dxa"/>
            <w:noWrap w:val="0"/>
            <w:vAlign w:val="center"/>
          </w:tcPr>
          <w:p w14:paraId="132A6183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化妆品中聚硅氧烷-15的检验方法</w:t>
            </w:r>
          </w:p>
        </w:tc>
        <w:tc>
          <w:tcPr>
            <w:tcW w:w="1431" w:type="dxa"/>
            <w:noWrap w:val="0"/>
            <w:vAlign w:val="center"/>
          </w:tcPr>
          <w:p w14:paraId="7B7C280B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4B10CB60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检验检测</w:t>
            </w:r>
          </w:p>
          <w:p w14:paraId="04992F69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172E0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4D240EDE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32</w:t>
            </w:r>
          </w:p>
        </w:tc>
        <w:tc>
          <w:tcPr>
            <w:tcW w:w="4282" w:type="dxa"/>
            <w:noWrap w:val="0"/>
            <w:vAlign w:val="center"/>
          </w:tcPr>
          <w:p w14:paraId="14FBAE86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牙膏相关不良反应评价总则</w:t>
            </w:r>
          </w:p>
        </w:tc>
        <w:tc>
          <w:tcPr>
            <w:tcW w:w="1431" w:type="dxa"/>
            <w:noWrap w:val="0"/>
            <w:vAlign w:val="center"/>
          </w:tcPr>
          <w:p w14:paraId="7C15E2D8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71BCC957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牙膏通用要求</w:t>
            </w:r>
          </w:p>
          <w:p w14:paraId="292A6569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095FE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266222F6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33</w:t>
            </w:r>
          </w:p>
        </w:tc>
        <w:tc>
          <w:tcPr>
            <w:tcW w:w="4282" w:type="dxa"/>
            <w:noWrap w:val="0"/>
            <w:vAlign w:val="center"/>
          </w:tcPr>
          <w:p w14:paraId="0548288B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牙膏用奥拉氟</w:t>
            </w:r>
          </w:p>
        </w:tc>
        <w:tc>
          <w:tcPr>
            <w:tcW w:w="1431" w:type="dxa"/>
            <w:noWrap w:val="0"/>
            <w:vAlign w:val="center"/>
          </w:tcPr>
          <w:p w14:paraId="08B09930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39505C38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牙膏通用要求</w:t>
            </w:r>
          </w:p>
          <w:p w14:paraId="71A244DE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  <w:tr w14:paraId="0762B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76" w:type="dxa"/>
            <w:noWrap w:val="0"/>
            <w:vAlign w:val="center"/>
          </w:tcPr>
          <w:p w14:paraId="35F9CEB3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34</w:t>
            </w:r>
          </w:p>
        </w:tc>
        <w:tc>
          <w:tcPr>
            <w:tcW w:w="4282" w:type="dxa"/>
            <w:noWrap w:val="0"/>
            <w:vAlign w:val="center"/>
          </w:tcPr>
          <w:p w14:paraId="08368AFF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牙膏中着色剂的检验方法</w:t>
            </w:r>
          </w:p>
        </w:tc>
        <w:tc>
          <w:tcPr>
            <w:tcW w:w="1431" w:type="dxa"/>
            <w:noWrap w:val="0"/>
            <w:vAlign w:val="center"/>
          </w:tcPr>
          <w:p w14:paraId="4A9002EF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制定</w:t>
            </w:r>
          </w:p>
        </w:tc>
        <w:tc>
          <w:tcPr>
            <w:tcW w:w="2571" w:type="dxa"/>
            <w:noWrap w:val="0"/>
            <w:vAlign w:val="center"/>
          </w:tcPr>
          <w:p w14:paraId="4E89FB0A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牙膏检验检测</w:t>
            </w:r>
          </w:p>
          <w:p w14:paraId="378507A1">
            <w:pPr>
              <w:widowControl/>
              <w:spacing w:line="32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分技术委员会</w:t>
            </w:r>
          </w:p>
        </w:tc>
      </w:tr>
    </w:tbl>
    <w:p w14:paraId="6966B7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936FC"/>
    <w:rsid w:val="14B7183E"/>
    <w:rsid w:val="3F89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871</Words>
  <Characters>923</Characters>
  <Lines>0</Lines>
  <Paragraphs>0</Paragraphs>
  <TotalTime>0</TotalTime>
  <ScaleCrop>false</ScaleCrop>
  <LinksUpToDate>false</LinksUpToDate>
  <CharactersWithSpaces>926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2025-08-21T07:52:00Z</dcterms:created>
  <dc:creator>新祺</dc:creator>
  <cp:lastModifiedBy>新祺</cp:lastModifiedBy>
  <dcterms:modified xsi:type="dcterms:W3CDTF">2025-08-21T09:40:16Z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B46EF40E7FE9413FBA45F1E31B30DB9F_11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