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00" w:lineRule="auto"/>
        <w:outlineLvl w:val="0"/>
        <w:rPr>
          <w:rFonts w:ascii="黑体" w:hAnsi="黑体" w:eastAsia="黑体" w:cs="Times New Roman"/>
          <w:sz w:val="32"/>
          <w:szCs w:val="30"/>
        </w:rPr>
      </w:pPr>
      <w:r>
        <w:rPr>
          <w:rFonts w:hint="eastAsia" w:ascii="黑体" w:hAnsi="黑体" w:eastAsia="黑体" w:cs="Times New Roman"/>
          <w:sz w:val="32"/>
          <w:szCs w:val="30"/>
        </w:rPr>
        <w:t>附件5</w:t>
      </w:r>
    </w:p>
    <w:p>
      <w:pPr>
        <w:spacing w:before="156" w:beforeLines="50" w:after="156" w:afterLines="50" w:line="300" w:lineRule="auto"/>
        <w:jc w:val="center"/>
        <w:outlineLvl w:val="0"/>
        <w:rPr>
          <w:rFonts w:ascii="Times New Roman" w:hAnsi="Times New Roman" w:eastAsia="黑体" w:cs="Times New Roman"/>
          <w:sz w:val="32"/>
          <w:szCs w:val="30"/>
        </w:rPr>
      </w:pPr>
      <w:r>
        <w:rPr>
          <w:rFonts w:hint="eastAsia" w:ascii="Times New Roman" w:hAnsi="Times New Roman" w:eastAsia="黑体" w:cs="Times New Roman"/>
          <w:sz w:val="32"/>
          <w:szCs w:val="30"/>
        </w:rPr>
        <w:t>化妆品中普鲁卡因胺等23种原料的检验方法</w:t>
      </w:r>
    </w:p>
    <w:p>
      <w:pPr>
        <w:spacing w:before="156" w:beforeLines="50" w:after="156" w:afterLines="50" w:line="300" w:lineRule="auto"/>
        <w:jc w:val="center"/>
        <w:rPr>
          <w:rFonts w:ascii="Times New Roman" w:hAnsi="Times New Roman" w:eastAsia="宋体" w:cs="Times New Roman"/>
          <w:szCs w:val="21"/>
        </w:rPr>
      </w:pPr>
      <w:r>
        <w:rPr>
          <w:rFonts w:ascii="Times New Roman" w:hAnsi="Times New Roman" w:eastAsia="宋体" w:cs="Times New Roman"/>
          <w:szCs w:val="21"/>
        </w:rPr>
        <w:t xml:space="preserve">Determination of Procainamide and </w:t>
      </w:r>
      <w:r>
        <w:rPr>
          <w:rFonts w:hint="eastAsia" w:ascii="Times New Roman" w:hAnsi="Times New Roman" w:eastAsia="宋体" w:cs="Times New Roman"/>
          <w:szCs w:val="21"/>
        </w:rPr>
        <w:t>O</w:t>
      </w:r>
      <w:r>
        <w:rPr>
          <w:rFonts w:ascii="Times New Roman" w:hAnsi="Times New Roman" w:eastAsia="宋体" w:cs="Times New Roman"/>
          <w:szCs w:val="21"/>
        </w:rPr>
        <w:t>ther 2</w:t>
      </w:r>
      <w:r>
        <w:rPr>
          <w:rFonts w:hint="eastAsia" w:ascii="Times New Roman" w:hAnsi="Times New Roman" w:eastAsia="宋体" w:cs="Times New Roman"/>
          <w:szCs w:val="21"/>
        </w:rPr>
        <w:t>2</w:t>
      </w:r>
      <w:r>
        <w:rPr>
          <w:rFonts w:ascii="Times New Roman" w:hAnsi="Times New Roman" w:eastAsia="宋体" w:cs="Times New Roman"/>
          <w:szCs w:val="21"/>
        </w:rPr>
        <w:t xml:space="preserve"> Kinds of </w:t>
      </w:r>
      <w:r>
        <w:rPr>
          <w:rFonts w:hint="eastAsia" w:ascii="Times New Roman" w:hAnsi="Times New Roman" w:eastAsia="宋体" w:cs="Times New Roman"/>
          <w:szCs w:val="21"/>
        </w:rPr>
        <w:t>Ingredients</w:t>
      </w:r>
      <w:r>
        <w:rPr>
          <w:rFonts w:ascii="Times New Roman" w:hAnsi="Times New Roman" w:eastAsia="宋体" w:cs="Times New Roman"/>
          <w:szCs w:val="21"/>
        </w:rPr>
        <w:t xml:space="preserve"> in Cosmetics</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 xml:space="preserve">1 </w:t>
      </w:r>
      <w:r>
        <w:rPr>
          <w:rFonts w:hint="eastAsia" w:eastAsia="黑体" w:cs="Times New Roman"/>
          <w:b w:val="0"/>
          <w:sz w:val="21"/>
        </w:rPr>
        <w:t xml:space="preserve"> </w:t>
      </w:r>
      <w:r>
        <w:rPr>
          <w:rFonts w:eastAsia="黑体" w:cs="Times New Roman"/>
          <w:b w:val="0"/>
          <w:sz w:val="21"/>
        </w:rPr>
        <w:t>范围</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本方法规定了化妆品中普鲁卡因胺等23种原料</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高效液相色谱-质谱法，包括定性筛查方法与定量测定方法。</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本方法适用于液体水基类、膏霜乳类、凝胶类、液体油基类、粉剂类化妆品中普鲁卡因胺等23种原料的定性筛查与定量测定。</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本方法所</w:t>
      </w:r>
      <w:r>
        <w:rPr>
          <w:rFonts w:hint="eastAsia" w:ascii="Times New Roman" w:hAnsi="Times New Roman" w:eastAsia="宋体" w:cs="Times New Roman"/>
          <w:color w:val="000000"/>
          <w:kern w:val="0"/>
          <w:szCs w:val="21"/>
        </w:rPr>
        <w:t>包含</w:t>
      </w:r>
      <w:r>
        <w:rPr>
          <w:rFonts w:ascii="Times New Roman" w:hAnsi="Times New Roman" w:eastAsia="宋体" w:cs="Times New Roman"/>
          <w:color w:val="000000"/>
          <w:kern w:val="0"/>
          <w:szCs w:val="21"/>
        </w:rPr>
        <w:t>的普鲁卡因胺等23种原料</w:t>
      </w:r>
      <w:r>
        <w:rPr>
          <w:rFonts w:hint="eastAsia" w:ascii="Times New Roman" w:hAnsi="Times New Roman" w:eastAsia="宋体" w:cs="Times New Roman"/>
          <w:color w:val="000000"/>
          <w:kern w:val="0"/>
          <w:szCs w:val="21"/>
        </w:rPr>
        <w:t>的</w:t>
      </w:r>
      <w:r>
        <w:rPr>
          <w:rFonts w:ascii="Times New Roman" w:hAnsi="Times New Roman" w:eastAsia="宋体" w:cs="Times New Roman"/>
          <w:color w:val="000000"/>
          <w:kern w:val="0"/>
          <w:szCs w:val="21"/>
        </w:rPr>
        <w:t>中文名称、英文名称、CAS号等信息详见附录A。</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2</w:t>
      </w:r>
      <w:r>
        <w:rPr>
          <w:rFonts w:hint="eastAsia" w:eastAsia="黑体" w:cs="Times New Roman"/>
          <w:b w:val="0"/>
          <w:sz w:val="21"/>
        </w:rPr>
        <w:t xml:space="preserve"> </w:t>
      </w:r>
      <w:r>
        <w:rPr>
          <w:rFonts w:eastAsia="黑体" w:cs="Times New Roman"/>
          <w:b w:val="0"/>
          <w:sz w:val="21"/>
        </w:rPr>
        <w:t xml:space="preserve"> 方法提要</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本方法</w:t>
      </w:r>
      <w:r>
        <w:rPr>
          <w:rFonts w:hint="eastAsia" w:ascii="Times New Roman" w:hAnsi="Times New Roman" w:eastAsia="宋体" w:cs="Times New Roman"/>
          <w:color w:val="000000"/>
          <w:kern w:val="0"/>
          <w:szCs w:val="21"/>
        </w:rPr>
        <w:t>以甲醇为溶剂提取样品</w:t>
      </w:r>
      <w:r>
        <w:rPr>
          <w:rFonts w:ascii="Times New Roman" w:hAnsi="Times New Roman" w:eastAsia="宋体" w:cs="Times New Roman"/>
          <w:color w:val="000000"/>
          <w:kern w:val="0"/>
          <w:szCs w:val="21"/>
        </w:rPr>
        <w:t>中普鲁卡因胺等23种原料，经高效液相色谱仪分离，质谱检测器检测，采用保留时间和特征离子对的</w:t>
      </w:r>
      <w:r>
        <w:rPr>
          <w:rFonts w:hint="eastAsia" w:ascii="Times New Roman" w:hAnsi="Times New Roman" w:eastAsia="宋体" w:cs="Times New Roman"/>
          <w:color w:val="000000"/>
          <w:kern w:val="0"/>
          <w:szCs w:val="21"/>
        </w:rPr>
        <w:t>相对</w:t>
      </w:r>
      <w:r>
        <w:rPr>
          <w:rFonts w:ascii="Times New Roman" w:hAnsi="Times New Roman" w:eastAsia="宋体" w:cs="Times New Roman"/>
          <w:color w:val="000000"/>
          <w:kern w:val="0"/>
          <w:szCs w:val="21"/>
        </w:rPr>
        <w:t>丰度比定性，</w:t>
      </w:r>
      <w:r>
        <w:rPr>
          <w:rFonts w:hint="eastAsia" w:ascii="Times New Roman" w:hAnsi="Times New Roman" w:eastAsia="宋体" w:cs="Times New Roman"/>
          <w:color w:val="000000"/>
          <w:kern w:val="0"/>
          <w:szCs w:val="21"/>
        </w:rPr>
        <w:t>定量</w:t>
      </w:r>
      <w:r>
        <w:rPr>
          <w:rFonts w:ascii="Times New Roman" w:hAnsi="Times New Roman" w:eastAsia="宋体" w:cs="Times New Roman"/>
          <w:color w:val="000000"/>
          <w:kern w:val="0"/>
          <w:szCs w:val="21"/>
        </w:rPr>
        <w:t>离子</w:t>
      </w:r>
      <w:r>
        <w:rPr>
          <w:rFonts w:hint="eastAsia" w:ascii="Times New Roman" w:hAnsi="Times New Roman" w:eastAsia="宋体" w:cs="Times New Roman"/>
          <w:color w:val="000000"/>
          <w:kern w:val="0"/>
          <w:szCs w:val="21"/>
        </w:rPr>
        <w:t>对</w:t>
      </w:r>
      <w:r>
        <w:rPr>
          <w:rFonts w:ascii="Times New Roman" w:hAnsi="Times New Roman" w:eastAsia="宋体" w:cs="Times New Roman"/>
          <w:color w:val="000000"/>
          <w:kern w:val="0"/>
          <w:szCs w:val="21"/>
        </w:rPr>
        <w:t>峰面积定量，以标准曲线法计算含量。</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本方法</w:t>
      </w:r>
      <w:r>
        <w:rPr>
          <w:rFonts w:hint="eastAsia" w:ascii="Times New Roman" w:hAnsi="Times New Roman" w:eastAsia="宋体" w:cs="Times New Roman"/>
          <w:color w:val="000000"/>
          <w:kern w:val="0"/>
          <w:szCs w:val="21"/>
        </w:rPr>
        <w:t>普鲁卡因胺</w:t>
      </w:r>
      <w:r>
        <w:rPr>
          <w:rFonts w:ascii="Times New Roman" w:hAnsi="Times New Roman" w:eastAsia="宋体" w:cs="Times New Roman"/>
          <w:color w:val="000000"/>
          <w:kern w:val="0"/>
          <w:szCs w:val="21"/>
        </w:rPr>
        <w:t>等</w:t>
      </w:r>
      <w:r>
        <w:rPr>
          <w:rFonts w:hint="eastAsia" w:ascii="Times New Roman" w:hAnsi="Times New Roman" w:eastAsia="宋体" w:cs="Times New Roman"/>
          <w:color w:val="000000"/>
          <w:kern w:val="0"/>
          <w:szCs w:val="21"/>
        </w:rPr>
        <w:t>23</w:t>
      </w:r>
      <w:r>
        <w:rPr>
          <w:rFonts w:ascii="Times New Roman" w:hAnsi="Times New Roman" w:eastAsia="宋体" w:cs="Times New Roman"/>
          <w:color w:val="000000"/>
          <w:kern w:val="0"/>
          <w:szCs w:val="21"/>
        </w:rPr>
        <w:t>种原料的检出限均为</w:t>
      </w:r>
      <w:r>
        <w:rPr>
          <w:rFonts w:hint="eastAsia" w:ascii="Times New Roman" w:hAnsi="Times New Roman" w:eastAsia="宋体" w:cs="Times New Roman"/>
          <w:color w:val="000000"/>
          <w:kern w:val="0"/>
          <w:szCs w:val="21"/>
        </w:rPr>
        <w:t>0.002</w:t>
      </w:r>
      <w:r>
        <w:rPr>
          <w:rFonts w:ascii="Times New Roman" w:hAnsi="Times New Roman" w:eastAsia="宋体" w:cs="Times New Roman"/>
          <w:color w:val="000000"/>
          <w:kern w:val="0"/>
          <w:szCs w:val="21"/>
        </w:rPr>
        <w:t xml:space="preserve"> ng，定量下限均为</w:t>
      </w:r>
      <w:r>
        <w:rPr>
          <w:rFonts w:hint="eastAsia" w:ascii="Times New Roman" w:hAnsi="Times New Roman" w:eastAsia="宋体" w:cs="Times New Roman"/>
          <w:color w:val="000000"/>
          <w:kern w:val="0"/>
          <w:szCs w:val="21"/>
        </w:rPr>
        <w:t>0.01</w:t>
      </w:r>
      <w:r>
        <w:rPr>
          <w:rFonts w:ascii="Times New Roman" w:hAnsi="Times New Roman" w:eastAsia="宋体" w:cs="Times New Roman"/>
          <w:color w:val="000000"/>
          <w:kern w:val="0"/>
          <w:szCs w:val="21"/>
        </w:rPr>
        <w:t xml:space="preserve"> ng</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取样</w:t>
      </w:r>
      <w:r>
        <w:rPr>
          <w:rFonts w:hint="eastAsia" w:ascii="Times New Roman" w:hAnsi="Times New Roman" w:eastAsia="宋体" w:cs="Times New Roman"/>
          <w:color w:val="000000"/>
          <w:kern w:val="0"/>
          <w:szCs w:val="21"/>
        </w:rPr>
        <w:t>量为</w:t>
      </w:r>
      <w:r>
        <w:rPr>
          <w:rFonts w:ascii="Times New Roman" w:hAnsi="Times New Roman" w:eastAsia="宋体" w:cs="Times New Roman"/>
          <w:color w:val="000000"/>
          <w:kern w:val="0"/>
          <w:szCs w:val="21"/>
        </w:rPr>
        <w:t>0.2 g，定容体积</w:t>
      </w:r>
      <w:r>
        <w:rPr>
          <w:rFonts w:hint="eastAsia" w:ascii="Times New Roman" w:hAnsi="Times New Roman" w:eastAsia="宋体" w:cs="Times New Roman"/>
          <w:color w:val="000000"/>
          <w:kern w:val="0"/>
          <w:szCs w:val="21"/>
        </w:rPr>
        <w:t>为1</w:t>
      </w:r>
      <w:r>
        <w:rPr>
          <w:rFonts w:ascii="Times New Roman" w:hAnsi="Times New Roman" w:eastAsia="宋体" w:cs="Times New Roman"/>
          <w:color w:val="000000"/>
          <w:kern w:val="0"/>
          <w:szCs w:val="21"/>
        </w:rPr>
        <w:t>0 mL</w:t>
      </w:r>
      <w:r>
        <w:rPr>
          <w:rFonts w:hint="eastAsia" w:ascii="Times New Roman" w:hAnsi="Times New Roman" w:eastAsia="宋体" w:cs="Times New Roman"/>
          <w:color w:val="000000"/>
          <w:kern w:val="0"/>
          <w:szCs w:val="21"/>
        </w:rPr>
        <w:t>时</w:t>
      </w:r>
      <w:r>
        <w:rPr>
          <w:rFonts w:ascii="Times New Roman" w:hAnsi="Times New Roman" w:eastAsia="宋体" w:cs="Times New Roman"/>
          <w:color w:val="000000"/>
          <w:kern w:val="0"/>
          <w:szCs w:val="21"/>
        </w:rPr>
        <w:t>，检出浓度均为</w:t>
      </w:r>
      <w:r>
        <w:rPr>
          <w:rFonts w:hint="eastAsia" w:ascii="Times New Roman" w:hAnsi="Times New Roman" w:eastAsia="宋体" w:cs="Times New Roman"/>
          <w:color w:val="000000"/>
          <w:kern w:val="0"/>
          <w:szCs w:val="21"/>
        </w:rPr>
        <w:t>0.05</w:t>
      </w:r>
      <w:r>
        <w:rPr>
          <w:rFonts w:ascii="Times New Roman" w:hAnsi="Times New Roman" w:eastAsia="宋体" w:cs="Times New Roman"/>
          <w:color w:val="000000"/>
          <w:kern w:val="0"/>
          <w:szCs w:val="21"/>
        </w:rPr>
        <w:t xml:space="preserve"> μg/g，最低定量浓度均为0.</w:t>
      </w:r>
      <w:r>
        <w:rPr>
          <w:rFonts w:hint="eastAsia" w:ascii="Times New Roman" w:hAnsi="Times New Roman" w:eastAsia="宋体" w:cs="Times New Roman"/>
          <w:color w:val="000000"/>
          <w:kern w:val="0"/>
          <w:szCs w:val="21"/>
        </w:rPr>
        <w:t>25</w:t>
      </w:r>
      <w:r>
        <w:rPr>
          <w:rFonts w:ascii="Times New Roman" w:hAnsi="Times New Roman" w:eastAsia="宋体" w:cs="Times New Roman"/>
          <w:color w:val="000000"/>
          <w:kern w:val="0"/>
          <w:szCs w:val="21"/>
        </w:rPr>
        <w:t xml:space="preserve"> μg/g。</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 xml:space="preserve">3 </w:t>
      </w:r>
      <w:r>
        <w:rPr>
          <w:rFonts w:hint="eastAsia" w:eastAsia="黑体" w:cs="Times New Roman"/>
          <w:b w:val="0"/>
          <w:sz w:val="21"/>
        </w:rPr>
        <w:t xml:space="preserve"> </w:t>
      </w:r>
      <w:r>
        <w:rPr>
          <w:rFonts w:eastAsia="黑体" w:cs="Times New Roman"/>
          <w:b w:val="0"/>
          <w:sz w:val="21"/>
        </w:rPr>
        <w:t>试剂和材料</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除另有规定外，本方法所用试剂均为分析纯或以上规格，水为GB/T 6682规定的一级水。</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3.1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甲醇，色谱纯。</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3.2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乙腈，色谱纯。</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3.3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甲酸，色谱纯。</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3.4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正己烷，色谱纯。</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3.5 </w:t>
      </w:r>
      <w:r>
        <w:rPr>
          <w:rFonts w:hint="eastAsia" w:ascii="Times New Roman" w:hAnsi="Times New Roman" w:cs="Times New Roman"/>
          <w:kern w:val="2"/>
          <w:szCs w:val="24"/>
          <w:lang w:val="en-US" w:bidi="ar-SA"/>
        </w:rPr>
        <w:t xml:space="preserve"> </w:t>
      </w:r>
      <w:r>
        <w:rPr>
          <w:rFonts w:hint="eastAsia" w:ascii="Times New Roman" w:hAnsi="Times New Roman" w:cs="Times New Roman"/>
        </w:rPr>
        <w:t>标准品：</w:t>
      </w:r>
      <w:r>
        <w:rPr>
          <w:rFonts w:ascii="Times New Roman" w:hAnsi="Times New Roman" w:cs="Times New Roman"/>
          <w:kern w:val="2"/>
          <w:szCs w:val="24"/>
          <w:lang w:val="en-US" w:bidi="ar-SA"/>
        </w:rPr>
        <w:t>普鲁卡因胺等23</w:t>
      </w:r>
      <w:r>
        <w:rPr>
          <w:rFonts w:hint="eastAsia" w:ascii="Times New Roman" w:hAnsi="Times New Roman" w:cs="Times New Roman"/>
        </w:rPr>
        <w:t>种原料的标准品信息详见附录A。</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3.6</w:t>
      </w:r>
      <w:r>
        <w:rPr>
          <w:rFonts w:ascii="Times New Roman" w:hAnsi="Times New Roman" w:cs="Times New Roman"/>
          <w:kern w:val="2"/>
          <w:szCs w:val="24"/>
          <w:lang w:val="en-US" w:bidi="ar-SA"/>
        </w:rPr>
        <w:t xml:space="preserve"> </w:t>
      </w:r>
      <w:r>
        <w:rPr>
          <w:rFonts w:hint="eastAsia" w:ascii="Times New Roman" w:hAnsi="Times New Roman" w:cs="Times New Roman"/>
          <w:kern w:val="2"/>
          <w:szCs w:val="24"/>
          <w:lang w:val="en-US" w:bidi="ar-SA"/>
        </w:rPr>
        <w:t xml:space="preserve"> 单标</w:t>
      </w:r>
      <w:r>
        <w:rPr>
          <w:rFonts w:ascii="Times New Roman" w:hAnsi="Times New Roman" w:cs="Times New Roman"/>
          <w:kern w:val="2"/>
          <w:szCs w:val="24"/>
          <w:lang w:val="en-US" w:bidi="ar-SA"/>
        </w:rPr>
        <w:t>标准储备溶液</w:t>
      </w:r>
      <w:r>
        <w:rPr>
          <w:rFonts w:hint="eastAsia" w:ascii="Times New Roman" w:hAnsi="Times New Roman" w:cs="Times New Roman"/>
          <w:kern w:val="2"/>
          <w:szCs w:val="24"/>
          <w:lang w:val="en-US" w:bidi="ar-SA"/>
        </w:rPr>
        <w:t>：</w:t>
      </w:r>
      <w:r>
        <w:rPr>
          <w:rFonts w:ascii="Times New Roman" w:hAnsi="Times New Roman" w:cs="Times New Roman"/>
          <w:kern w:val="2"/>
          <w:szCs w:val="24"/>
          <w:lang w:val="en-US" w:bidi="ar-SA"/>
        </w:rPr>
        <w:t>分别准确称取普鲁卡因胺等23种原料的标准品10 mg（精确到0.00001 g）置于10 mL棕色容量瓶中，加甲醇（3.1）使溶解并定容至刻度，摇匀，即得质量浓度为1</w:t>
      </w:r>
      <w:r>
        <w:rPr>
          <w:rFonts w:hint="eastAsia" w:ascii="Times New Roman" w:hAnsi="Times New Roman" w:cs="Times New Roman"/>
          <w:kern w:val="2"/>
          <w:szCs w:val="24"/>
          <w:lang w:val="en-US" w:bidi="ar-SA"/>
        </w:rPr>
        <w:t>.0</w:t>
      </w:r>
      <w:r>
        <w:rPr>
          <w:rFonts w:ascii="Times New Roman" w:hAnsi="Times New Roman" w:cs="Times New Roman"/>
          <w:kern w:val="2"/>
          <w:szCs w:val="24"/>
          <w:lang w:val="en-US" w:bidi="ar-SA"/>
        </w:rPr>
        <w:t xml:space="preserve"> mg/mL的标准储备溶液，于-18 ℃冰箱中贮存。</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3.</w:t>
      </w:r>
      <w:r>
        <w:rPr>
          <w:rFonts w:hint="eastAsia" w:ascii="Times New Roman" w:hAnsi="Times New Roman" w:cs="Times New Roman"/>
          <w:kern w:val="2"/>
          <w:szCs w:val="24"/>
          <w:lang w:val="en-US" w:bidi="ar-SA"/>
        </w:rPr>
        <w:t>7</w:t>
      </w:r>
      <w:r>
        <w:rPr>
          <w:rFonts w:ascii="Times New Roman" w:hAnsi="Times New Roman" w:cs="Times New Roman"/>
          <w:kern w:val="2"/>
          <w:szCs w:val="24"/>
          <w:lang w:val="en-US" w:bidi="ar-SA"/>
        </w:rPr>
        <w:t xml:space="preserve">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混合标准储备溶液</w:t>
      </w:r>
      <w:r>
        <w:rPr>
          <w:rFonts w:hint="eastAsia" w:ascii="Times New Roman" w:hAnsi="Times New Roman" w:cs="Times New Roman"/>
          <w:kern w:val="2"/>
          <w:szCs w:val="24"/>
          <w:lang w:val="en-US" w:bidi="ar-SA"/>
        </w:rPr>
        <w:t>：</w:t>
      </w:r>
      <w:r>
        <w:rPr>
          <w:rFonts w:ascii="Times New Roman" w:hAnsi="Times New Roman" w:cs="Times New Roman"/>
          <w:kern w:val="2"/>
          <w:szCs w:val="24"/>
          <w:lang w:val="en-US" w:bidi="ar-SA"/>
        </w:rPr>
        <w:t>分别准确移取普鲁卡因胺等23种化合物的</w:t>
      </w:r>
      <w:r>
        <w:rPr>
          <w:rFonts w:hint="eastAsia" w:ascii="Times New Roman" w:hAnsi="Times New Roman" w:cs="Times New Roman"/>
          <w:kern w:val="2"/>
          <w:szCs w:val="24"/>
          <w:lang w:val="en-US" w:bidi="ar-SA"/>
        </w:rPr>
        <w:t>单标</w:t>
      </w:r>
      <w:r>
        <w:rPr>
          <w:rFonts w:ascii="Times New Roman" w:hAnsi="Times New Roman" w:cs="Times New Roman"/>
          <w:kern w:val="2"/>
          <w:szCs w:val="24"/>
          <w:lang w:val="en-US" w:bidi="ar-SA"/>
        </w:rPr>
        <w:t>标准储备溶液（3.</w:t>
      </w:r>
      <w:r>
        <w:rPr>
          <w:rFonts w:hint="eastAsia" w:ascii="Times New Roman" w:hAnsi="Times New Roman" w:cs="Times New Roman"/>
          <w:kern w:val="2"/>
          <w:szCs w:val="24"/>
          <w:lang w:val="en-US" w:bidi="ar-SA"/>
        </w:rPr>
        <w:t>6</w:t>
      </w:r>
      <w:r>
        <w:rPr>
          <w:rFonts w:ascii="Times New Roman" w:hAnsi="Times New Roman" w:cs="Times New Roman"/>
          <w:kern w:val="2"/>
          <w:szCs w:val="24"/>
          <w:lang w:val="en-US" w:bidi="ar-SA"/>
        </w:rPr>
        <w:t>）10</w:t>
      </w:r>
      <w:r>
        <w:rPr>
          <w:rFonts w:hint="eastAsia" w:ascii="Times New Roman" w:hAnsi="Times New Roman" w:cs="Times New Roman"/>
          <w:kern w:val="2"/>
          <w:szCs w:val="24"/>
          <w:lang w:val="en-US" w:bidi="ar-SA"/>
        </w:rPr>
        <w:t>0</w:t>
      </w:r>
      <w:r>
        <w:rPr>
          <w:rFonts w:ascii="Times New Roman" w:hAnsi="Times New Roman" w:cs="Times New Roman"/>
          <w:kern w:val="2"/>
          <w:szCs w:val="24"/>
          <w:lang w:val="en-US" w:bidi="ar-SA"/>
        </w:rPr>
        <w:t xml:space="preserve"> μL至10 mL容量瓶中，用甲醇（3.1）稀释并定容至刻度，得质量浓度为1</w:t>
      </w:r>
      <w:r>
        <w:rPr>
          <w:rFonts w:hint="eastAsia" w:ascii="Times New Roman" w:hAnsi="Times New Roman" w:cs="Times New Roman"/>
          <w:kern w:val="2"/>
          <w:szCs w:val="24"/>
          <w:lang w:val="en-US" w:bidi="ar-SA"/>
        </w:rPr>
        <w:t>0.0</w:t>
      </w:r>
      <w:r>
        <w:rPr>
          <w:rFonts w:ascii="Times New Roman" w:hAnsi="Times New Roman" w:cs="Times New Roman"/>
          <w:kern w:val="2"/>
          <w:szCs w:val="24"/>
          <w:lang w:val="en-US" w:bidi="ar-SA"/>
        </w:rPr>
        <w:t xml:space="preserve"> μg/mL的混合标准储备液，于-18 ℃冰箱中贮存。</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3.</w:t>
      </w:r>
      <w:r>
        <w:rPr>
          <w:rFonts w:hint="eastAsia" w:ascii="Times New Roman" w:hAnsi="Times New Roman" w:cs="Times New Roman"/>
          <w:kern w:val="2"/>
          <w:szCs w:val="24"/>
          <w:lang w:val="en-US" w:bidi="ar-SA"/>
        </w:rPr>
        <w:t xml:space="preserve">8  </w:t>
      </w:r>
      <w:r>
        <w:rPr>
          <w:rFonts w:ascii="Times New Roman" w:hAnsi="Times New Roman" w:cs="Times New Roman"/>
          <w:kern w:val="2"/>
          <w:szCs w:val="24"/>
          <w:lang w:val="en-US" w:bidi="ar-SA"/>
        </w:rPr>
        <w:t>0.1%甲酸溶液</w:t>
      </w:r>
      <w:r>
        <w:rPr>
          <w:rFonts w:hint="eastAsia" w:ascii="Times New Roman" w:hAnsi="Times New Roman" w:cs="Times New Roman"/>
          <w:kern w:val="2"/>
          <w:szCs w:val="24"/>
          <w:lang w:val="en-US" w:bidi="ar-SA"/>
        </w:rPr>
        <w:t>：</w:t>
      </w:r>
      <w:r>
        <w:rPr>
          <w:rFonts w:ascii="Times New Roman" w:hAnsi="Times New Roman" w:cs="Times New Roman"/>
          <w:kern w:val="2"/>
          <w:szCs w:val="24"/>
          <w:lang w:val="en-US" w:bidi="ar-SA"/>
        </w:rPr>
        <w:t>量取200 mL水于500 mL容量瓶中，加入500 μL甲酸（3.3），用水稀释并定容至刻度，摇匀，即得体积分数0.1%的甲酸溶液。</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rPr>
        <w:t>注：普鲁卡因胺不稳定，储备溶液需避光-18 ℃保存。定性判定时，可根据实验室具体储存条件，在不影响定性判定前提下制定储存时间。在定量测定时，需临用新制普鲁卡因胺标准储备溶液（3.6）。</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4</w:t>
      </w:r>
      <w:r>
        <w:rPr>
          <w:rFonts w:hint="eastAsia" w:eastAsia="黑体" w:cs="Times New Roman"/>
          <w:b w:val="0"/>
          <w:sz w:val="21"/>
        </w:rPr>
        <w:t xml:space="preserve"> </w:t>
      </w:r>
      <w:r>
        <w:rPr>
          <w:rFonts w:eastAsia="黑体" w:cs="Times New Roman"/>
          <w:b w:val="0"/>
          <w:sz w:val="21"/>
        </w:rPr>
        <w:t xml:space="preserve"> 仪器和设备</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4.1</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 xml:space="preserve"> 高效液相色谱-三重四极杆质谱联用仪。</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4.2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分析天平：感量为0.0001 g和</w:t>
      </w:r>
      <w:r>
        <w:rPr>
          <w:rFonts w:hint="eastAsia" w:ascii="Times New Roman" w:hAnsi="Times New Roman" w:cs="Times New Roman"/>
          <w:kern w:val="2"/>
          <w:szCs w:val="24"/>
          <w:lang w:val="en-US" w:bidi="ar-SA"/>
        </w:rPr>
        <w:t>0.00001 g</w:t>
      </w:r>
      <w:r>
        <w:rPr>
          <w:rFonts w:ascii="Times New Roman" w:hAnsi="Times New Roman" w:cs="Times New Roman"/>
          <w:kern w:val="2"/>
          <w:szCs w:val="24"/>
          <w:lang w:val="en-US" w:bidi="ar-SA"/>
        </w:rPr>
        <w:t>。</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4.3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超声波清洗仪</w:t>
      </w:r>
      <w:r>
        <w:rPr>
          <w:rFonts w:hint="eastAsia" w:ascii="Times New Roman" w:hAnsi="Times New Roman" w:cs="Times New Roman"/>
          <w:kern w:val="2"/>
          <w:szCs w:val="24"/>
          <w:lang w:val="en-US" w:bidi="ar-SA"/>
        </w:rPr>
        <w:t>：功率≥</w:t>
      </w:r>
      <w:r>
        <w:rPr>
          <w:rFonts w:ascii="Times New Roman" w:hAnsi="Times New Roman" w:cs="Times New Roman"/>
          <w:kern w:val="2"/>
          <w:szCs w:val="24"/>
          <w:lang w:val="en-US" w:bidi="ar-SA"/>
        </w:rPr>
        <w:t>100 W。</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4.4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高速离心机</w:t>
      </w:r>
      <w:r>
        <w:rPr>
          <w:rFonts w:hint="eastAsia" w:ascii="Times New Roman" w:hAnsi="Times New Roman" w:cs="Times New Roman"/>
          <w:kern w:val="2"/>
          <w:szCs w:val="24"/>
          <w:lang w:val="en-US" w:bidi="ar-SA"/>
        </w:rPr>
        <w:t>：转速</w:t>
      </w:r>
      <w:r>
        <w:rPr>
          <w:rFonts w:cs="Times New Roman"/>
          <w:kern w:val="2"/>
          <w:szCs w:val="24"/>
          <w:lang w:val="en-US" w:bidi="ar-SA"/>
        </w:rPr>
        <w:t>≥</w:t>
      </w:r>
      <w:r>
        <w:rPr>
          <w:rFonts w:ascii="Times New Roman" w:hAnsi="Times New Roman" w:cs="Times New Roman"/>
          <w:kern w:val="2"/>
          <w:szCs w:val="24"/>
          <w:lang w:val="en-US" w:bidi="ar-SA"/>
        </w:rPr>
        <w:t>4000 r/min。</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4.5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涡旋混合仪。</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4.6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微孔滤膜（0.22 µm）。</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 xml:space="preserve">5 </w:t>
      </w:r>
      <w:r>
        <w:rPr>
          <w:rFonts w:hint="eastAsia" w:eastAsia="黑体" w:cs="Times New Roman"/>
          <w:b w:val="0"/>
          <w:sz w:val="21"/>
        </w:rPr>
        <w:t xml:space="preserve"> </w:t>
      </w:r>
      <w:r>
        <w:rPr>
          <w:rFonts w:eastAsia="黑体" w:cs="Times New Roman"/>
          <w:b w:val="0"/>
          <w:sz w:val="21"/>
        </w:rPr>
        <w:t>分析步骤</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5.1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筛查用标准溶液的制备</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分别取混合标准储备</w:t>
      </w:r>
      <w:r>
        <w:rPr>
          <w:rFonts w:hint="eastAsia" w:ascii="Times New Roman" w:hAnsi="Times New Roman" w:eastAsia="宋体" w:cs="Times New Roman"/>
          <w:color w:val="000000"/>
          <w:kern w:val="0"/>
          <w:szCs w:val="21"/>
        </w:rPr>
        <w:t>溶</w:t>
      </w:r>
      <w:r>
        <w:rPr>
          <w:rFonts w:ascii="Times New Roman" w:hAnsi="Times New Roman" w:eastAsia="宋体" w:cs="Times New Roman"/>
          <w:color w:val="000000"/>
          <w:kern w:val="0"/>
          <w:szCs w:val="21"/>
        </w:rPr>
        <w:t>液（3.</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）适量，用甲醇（3.1）进行稀释，配制成各待测原料浓度依次为</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、20、50、80、100 ng/mL的筛查用混合标准系列溶液。</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5.2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基质标准工作溶液的制备</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取与待测化妆品配方相同或相近的基质空白样品5份于50 mL具塞离心管中（0.2 g/份），分别加入混合标准品储备溶液（3.</w:t>
      </w:r>
      <w:r>
        <w:rPr>
          <w:rFonts w:hint="eastAsia" w:ascii="Times New Roman" w:hAnsi="Times New Roman" w:eastAsia="宋体" w:cs="Times New Roman"/>
          <w:color w:val="000000"/>
          <w:kern w:val="0"/>
          <w:szCs w:val="21"/>
        </w:rPr>
        <w:t>7</w:t>
      </w:r>
      <w:r>
        <w:rPr>
          <w:rFonts w:ascii="Times New Roman" w:hAnsi="Times New Roman" w:eastAsia="宋体" w:cs="Times New Roman"/>
          <w:color w:val="000000"/>
          <w:kern w:val="0"/>
          <w:szCs w:val="21"/>
        </w:rPr>
        <w:t>）适量，按样品处理操作步骤（5.3）处理，配制成各待测原料浓度为</w:t>
      </w:r>
      <w:r>
        <w:rPr>
          <w:rFonts w:hint="eastAsia" w:ascii="Times New Roman" w:hAnsi="Times New Roman" w:eastAsia="宋体" w:cs="Times New Roman"/>
          <w:color w:val="000000"/>
          <w:kern w:val="0"/>
          <w:szCs w:val="21"/>
        </w:rPr>
        <w:t>5</w:t>
      </w:r>
      <w:r>
        <w:rPr>
          <w:rFonts w:ascii="Times New Roman" w:hAnsi="Times New Roman" w:eastAsia="宋体" w:cs="Times New Roman"/>
          <w:color w:val="000000"/>
          <w:kern w:val="0"/>
          <w:szCs w:val="21"/>
        </w:rPr>
        <w:t>、20、50、80、100 ng/mL的系列溶液（浓度范围可根据实际情况进行调整）。</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5.3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样品处理</w:t>
      </w:r>
    </w:p>
    <w:p>
      <w:pPr>
        <w:adjustRightInd w:val="0"/>
        <w:spacing w:line="30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5.3.1 液体水基类、膏霜乳类、凝胶类、粉剂类化妆品</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称取样品0.2 g（精确到0.0001 g），置于15mL具塞离心管中，加入甲醇（3.1）2 mL，涡旋振荡30 s，使试样与提取溶剂充分混匀，用甲醇（3.1）定容至10 mL，超声提取20 min，摇匀，以4000 r/min离心10 min。取上清液经0.22 μm滤膜过滤，滤液作为试样溶液备用。</w:t>
      </w:r>
      <w:r>
        <w:rPr>
          <w:rFonts w:ascii="Times New Roman" w:hAnsi="Times New Roman" w:eastAsia="宋体" w:cs="Times New Roman"/>
          <w:szCs w:val="21"/>
        </w:rPr>
        <w:t>根据样品的实际检测情况，当样品含量高于线性最高点时，可对供试品溶液进行适当稀释，空白基质提取液同步稀释</w:t>
      </w:r>
      <w:r>
        <w:rPr>
          <w:rFonts w:hint="eastAsia" w:ascii="Times New Roman" w:hAnsi="Times New Roman" w:eastAsia="宋体" w:cs="Times New Roman"/>
          <w:szCs w:val="21"/>
        </w:rPr>
        <w:t>。</w:t>
      </w:r>
    </w:p>
    <w:p>
      <w:pPr>
        <w:adjustRightInd w:val="0"/>
        <w:spacing w:line="30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5.3.2 液体油基类化妆品</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称取样品0.2 g（精确到0.0001 g），置于15 mL具塞离心管中，加入2 mL正己烷（3.4），涡旋分散，加入乙腈</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.2</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3 mL，涡旋2 min混匀，在4000 r/min离心10 min，吸取下层溶液至15 mL具塞离心管中，上层正己烷中加入乙腈（3.2）3 mL，混匀后在4000 r/min离心10 min，将两次提取的下层溶液合并，以乙腈（3.2）定容至10 mL，混匀，上清液过0.22 μm滤膜，待测。</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5.4</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 xml:space="preserve"> 参考液相色谱-三重四极杆质谱联用条件</w:t>
      </w:r>
    </w:p>
    <w:p>
      <w:pPr>
        <w:adjustRightInd w:val="0"/>
        <w:spacing w:line="30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5.4.1 色谱条件：</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色谱柱：C</w:t>
      </w:r>
      <w:r>
        <w:rPr>
          <w:rFonts w:ascii="Times New Roman" w:hAnsi="Times New Roman" w:eastAsia="宋体" w:cs="Times New Roman"/>
          <w:color w:val="000000"/>
          <w:kern w:val="0"/>
          <w:szCs w:val="21"/>
          <w:vertAlign w:val="subscript"/>
        </w:rPr>
        <w:t>18</w:t>
      </w:r>
      <w:r>
        <w:rPr>
          <w:rFonts w:ascii="Times New Roman" w:hAnsi="Times New Roman" w:eastAsia="宋体" w:cs="Times New Roman"/>
          <w:color w:val="000000"/>
          <w:kern w:val="0"/>
          <w:szCs w:val="21"/>
        </w:rPr>
        <w:t>（100 mm×2.0mm，2.0 µm），或等效色谱柱；</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流动相：甲醇（3.1）、0.1%甲酸溶液（3.</w:t>
      </w:r>
      <w:r>
        <w:rPr>
          <w:rFonts w:hint="eastAsia" w:ascii="Times New Roman" w:hAnsi="Times New Roman" w:eastAsia="宋体" w:cs="Times New Roman"/>
          <w:color w:val="000000"/>
          <w:kern w:val="0"/>
          <w:szCs w:val="21"/>
        </w:rPr>
        <w:t>8</w:t>
      </w:r>
      <w:r>
        <w:rPr>
          <w:rFonts w:ascii="Times New Roman" w:hAnsi="Times New Roman" w:eastAsia="宋体" w:cs="Times New Roman"/>
          <w:color w:val="000000"/>
          <w:kern w:val="0"/>
          <w:szCs w:val="21"/>
        </w:rPr>
        <w:t>）梯度洗脱，梯度洗脱程序见表</w:t>
      </w:r>
      <w:r>
        <w:rPr>
          <w:rFonts w:hint="eastAsia" w:ascii="Times New Roman" w:hAnsi="Times New Roman" w:eastAsia="宋体" w:cs="Times New Roman"/>
          <w:color w:val="000000"/>
          <w:kern w:val="0"/>
          <w:szCs w:val="21"/>
        </w:rPr>
        <w:t>1</w:t>
      </w:r>
      <w:r>
        <w:rPr>
          <w:rFonts w:ascii="Times New Roman" w:hAnsi="Times New Roman" w:eastAsia="宋体" w:cs="Times New Roman"/>
          <w:color w:val="000000"/>
          <w:kern w:val="0"/>
          <w:szCs w:val="21"/>
        </w:rPr>
        <w:t>；</w:t>
      </w:r>
    </w:p>
    <w:p>
      <w:pPr>
        <w:pStyle w:val="3"/>
        <w:autoSpaceDE/>
        <w:autoSpaceDN/>
        <w:snapToGrid w:val="0"/>
        <w:spacing w:before="156" w:after="156"/>
        <w:jc w:val="center"/>
        <w:rPr>
          <w:rFonts w:ascii="黑体" w:hAnsi="黑体" w:eastAsia="黑体" w:cs="黑体"/>
          <w:color w:val="000000"/>
          <w:kern w:val="2"/>
          <w:szCs w:val="20"/>
          <w:lang w:val="en-US" w:bidi="ar-SA"/>
        </w:rPr>
      </w:pPr>
      <w:r>
        <w:rPr>
          <w:rFonts w:hint="eastAsia" w:ascii="黑体" w:hAnsi="黑体" w:eastAsia="黑体" w:cs="黑体"/>
          <w:color w:val="000000"/>
          <w:kern w:val="2"/>
          <w:szCs w:val="20"/>
          <w:lang w:val="en-US" w:bidi="ar-SA"/>
        </w:rPr>
        <w:t>表</w:t>
      </w:r>
      <w:r>
        <w:rPr>
          <w:rFonts w:ascii="Times New Roman" w:hAnsi="Times New Roman" w:eastAsia="黑体" w:cs="Times New Roman"/>
          <w:color w:val="000000"/>
          <w:kern w:val="2"/>
          <w:szCs w:val="20"/>
          <w:lang w:val="en-US" w:bidi="ar-SA"/>
        </w:rPr>
        <w:t>1</w:t>
      </w:r>
      <w:r>
        <w:rPr>
          <w:rFonts w:hint="eastAsia" w:ascii="黑体" w:hAnsi="黑体" w:eastAsia="黑体" w:cs="黑体"/>
          <w:color w:val="000000"/>
          <w:kern w:val="2"/>
          <w:szCs w:val="20"/>
          <w:lang w:val="en-US" w:bidi="ar-SA"/>
        </w:rPr>
        <w:t xml:space="preserve">  流动相梯度洗脱程序</w:t>
      </w:r>
    </w:p>
    <w:tbl>
      <w:tblPr>
        <w:tblStyle w:val="7"/>
        <w:tblW w:w="7370" w:type="dxa"/>
        <w:jc w:val="center"/>
        <w:tblLayout w:type="fixed"/>
        <w:tblCellMar>
          <w:top w:w="0" w:type="dxa"/>
          <w:left w:w="108" w:type="dxa"/>
          <w:bottom w:w="0" w:type="dxa"/>
          <w:right w:w="108" w:type="dxa"/>
        </w:tblCellMar>
      </w:tblPr>
      <w:tblGrid>
        <w:gridCol w:w="2456"/>
        <w:gridCol w:w="2457"/>
        <w:gridCol w:w="2457"/>
      </w:tblGrid>
      <w:tr>
        <w:tblPrEx>
          <w:tblCellMar>
            <w:top w:w="0" w:type="dxa"/>
            <w:left w:w="108" w:type="dxa"/>
            <w:bottom w:w="0" w:type="dxa"/>
            <w:right w:w="108" w:type="dxa"/>
          </w:tblCellMar>
        </w:tblPrEx>
        <w:trPr>
          <w:trHeight w:val="272" w:hRule="atLeast"/>
          <w:tblHeader/>
          <w:jc w:val="center"/>
        </w:trPr>
        <w:tc>
          <w:tcPr>
            <w:tcW w:w="1665" w:type="pct"/>
            <w:tcBorders>
              <w:top w:val="single" w:color="auto" w:sz="4" w:space="0"/>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时间/min</w:t>
            </w:r>
          </w:p>
        </w:tc>
        <w:tc>
          <w:tcPr>
            <w:tcW w:w="1665" w:type="pct"/>
            <w:tcBorders>
              <w:top w:val="single" w:color="auto" w:sz="4" w:space="0"/>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V（甲醇）/%</w:t>
            </w:r>
          </w:p>
        </w:tc>
        <w:tc>
          <w:tcPr>
            <w:tcW w:w="1665" w:type="pct"/>
            <w:tcBorders>
              <w:top w:val="single" w:color="auto" w:sz="4" w:space="0"/>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V（0.1%甲酸溶液）/%</w:t>
            </w:r>
          </w:p>
        </w:tc>
      </w:tr>
      <w:tr>
        <w:tblPrEx>
          <w:tblCellMar>
            <w:top w:w="0" w:type="dxa"/>
            <w:left w:w="108" w:type="dxa"/>
            <w:bottom w:w="0" w:type="dxa"/>
            <w:right w:w="108" w:type="dxa"/>
          </w:tblCellMar>
        </w:tblPrEx>
        <w:trPr>
          <w:trHeight w:val="272" w:hRule="atLeast"/>
          <w:jc w:val="center"/>
        </w:trPr>
        <w:tc>
          <w:tcPr>
            <w:tcW w:w="1665" w:type="pct"/>
            <w:tcBorders>
              <w:top w:val="single" w:color="auto" w:sz="4" w:space="0"/>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0.00</w:t>
            </w:r>
          </w:p>
        </w:tc>
        <w:tc>
          <w:tcPr>
            <w:tcW w:w="1665" w:type="pct"/>
            <w:tcBorders>
              <w:top w:val="single" w:color="auto" w:sz="4" w:space="0"/>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665" w:type="pct"/>
            <w:tcBorders>
              <w:top w:val="single" w:color="auto" w:sz="4" w:space="0"/>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r>
      <w:tr>
        <w:tblPrEx>
          <w:tblCellMar>
            <w:top w:w="0" w:type="dxa"/>
            <w:left w:w="108" w:type="dxa"/>
            <w:bottom w:w="0" w:type="dxa"/>
            <w:right w:w="108" w:type="dxa"/>
          </w:tblCellMar>
        </w:tblPrEx>
        <w:trPr>
          <w:trHeight w:val="272" w:hRule="atLeast"/>
          <w:jc w:val="center"/>
        </w:trPr>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1.00</w:t>
            </w:r>
          </w:p>
        </w:tc>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r>
      <w:tr>
        <w:tblPrEx>
          <w:tblCellMar>
            <w:top w:w="0" w:type="dxa"/>
            <w:left w:w="108" w:type="dxa"/>
            <w:bottom w:w="0" w:type="dxa"/>
            <w:right w:w="108" w:type="dxa"/>
          </w:tblCellMar>
        </w:tblPrEx>
        <w:trPr>
          <w:trHeight w:val="272" w:hRule="atLeast"/>
          <w:jc w:val="center"/>
        </w:trPr>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4.00</w:t>
            </w:r>
          </w:p>
        </w:tc>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665" w:type="pct"/>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75</w:t>
            </w:r>
          </w:p>
        </w:tc>
      </w:tr>
      <w:tr>
        <w:tblPrEx>
          <w:tblCellMar>
            <w:top w:w="0" w:type="dxa"/>
            <w:left w:w="108" w:type="dxa"/>
            <w:bottom w:w="0" w:type="dxa"/>
            <w:right w:w="108" w:type="dxa"/>
          </w:tblCellMar>
        </w:tblPrEx>
        <w:trPr>
          <w:trHeight w:val="272" w:hRule="atLeast"/>
          <w:jc w:val="center"/>
        </w:trPr>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9.00</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CellMar>
            <w:top w:w="0" w:type="dxa"/>
            <w:left w:w="108" w:type="dxa"/>
            <w:bottom w:w="0" w:type="dxa"/>
            <w:right w:w="108" w:type="dxa"/>
          </w:tblCellMar>
        </w:tblPrEx>
        <w:trPr>
          <w:trHeight w:val="272" w:hRule="atLeast"/>
          <w:jc w:val="center"/>
        </w:trPr>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11.00</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r>
      <w:tr>
        <w:tblPrEx>
          <w:tblCellMar>
            <w:top w:w="0" w:type="dxa"/>
            <w:left w:w="108" w:type="dxa"/>
            <w:bottom w:w="0" w:type="dxa"/>
            <w:right w:w="108" w:type="dxa"/>
          </w:tblCellMar>
        </w:tblPrEx>
        <w:trPr>
          <w:trHeight w:val="272" w:hRule="atLeast"/>
          <w:jc w:val="center"/>
        </w:trPr>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11.01</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665" w:type="pct"/>
            <w:tcBorders>
              <w:top w:val="nil"/>
              <w:left w:val="nil"/>
              <w:bottom w:val="nil"/>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r>
      <w:tr>
        <w:tblPrEx>
          <w:tblCellMar>
            <w:top w:w="0" w:type="dxa"/>
            <w:left w:w="108" w:type="dxa"/>
            <w:bottom w:w="0" w:type="dxa"/>
            <w:right w:w="108" w:type="dxa"/>
          </w:tblCellMar>
        </w:tblPrEx>
        <w:trPr>
          <w:trHeight w:val="272" w:hRule="atLeast"/>
          <w:jc w:val="center"/>
        </w:trPr>
        <w:tc>
          <w:tcPr>
            <w:tcW w:w="1665" w:type="pct"/>
            <w:tcBorders>
              <w:top w:val="nil"/>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12.00</w:t>
            </w:r>
          </w:p>
        </w:tc>
        <w:tc>
          <w:tcPr>
            <w:tcW w:w="1665" w:type="pct"/>
            <w:tcBorders>
              <w:top w:val="nil"/>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w:t>
            </w:r>
          </w:p>
        </w:tc>
        <w:tc>
          <w:tcPr>
            <w:tcW w:w="1665" w:type="pct"/>
            <w:tcBorders>
              <w:top w:val="nil"/>
              <w:left w:val="nil"/>
              <w:bottom w:val="single" w:color="auto" w:sz="4" w:space="0"/>
              <w:right w:val="nil"/>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90</w:t>
            </w:r>
          </w:p>
        </w:tc>
      </w:tr>
    </w:tbl>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流速：0.2 mL/min；</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柱温：40 ℃；</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进样量：2 µL。</w:t>
      </w:r>
    </w:p>
    <w:p>
      <w:pPr>
        <w:adjustRightInd w:val="0"/>
        <w:spacing w:line="300" w:lineRule="auto"/>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5.4.2 质谱条件：</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离子源：电喷雾离子源（ESI源）；</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监测模式：正离子监测模式；</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检测模式：MRM，监测离子对及相关参数设置见表</w:t>
      </w:r>
      <w:r>
        <w:rPr>
          <w:rFonts w:hint="eastAsia" w:ascii="Times New Roman" w:hAnsi="Times New Roman" w:eastAsia="宋体" w:cs="Times New Roman"/>
          <w:color w:val="000000"/>
          <w:kern w:val="0"/>
          <w:szCs w:val="21"/>
        </w:rPr>
        <w:t>2</w:t>
      </w:r>
      <w:r>
        <w:rPr>
          <w:rFonts w:ascii="Times New Roman" w:hAnsi="Times New Roman" w:eastAsia="宋体" w:cs="Times New Roman"/>
          <w:color w:val="000000"/>
          <w:kern w:val="0"/>
          <w:szCs w:val="21"/>
        </w:rPr>
        <w:t>（可根据仪器情况进行适当调整）。</w:t>
      </w:r>
    </w:p>
    <w:p>
      <w:pPr>
        <w:pStyle w:val="3"/>
        <w:autoSpaceDE/>
        <w:autoSpaceDN/>
        <w:snapToGrid w:val="0"/>
        <w:spacing w:before="156" w:after="156"/>
        <w:jc w:val="center"/>
        <w:rPr>
          <w:rFonts w:ascii="黑体" w:hAnsi="黑体" w:eastAsia="黑体" w:cs="黑体"/>
          <w:color w:val="000000"/>
          <w:kern w:val="2"/>
          <w:szCs w:val="20"/>
          <w:lang w:val="en-US" w:bidi="ar-SA"/>
        </w:rPr>
      </w:pPr>
      <w:r>
        <w:rPr>
          <w:rFonts w:hint="eastAsia" w:ascii="黑体" w:hAnsi="黑体" w:eastAsia="黑体" w:cs="黑体"/>
          <w:color w:val="000000"/>
          <w:kern w:val="2"/>
          <w:szCs w:val="20"/>
          <w:lang w:val="en-US" w:bidi="ar-SA"/>
        </w:rPr>
        <w:t>表</w:t>
      </w:r>
      <w:r>
        <w:rPr>
          <w:rFonts w:ascii="Times New Roman" w:hAnsi="Times New Roman" w:eastAsia="黑体" w:cs="Times New Roman"/>
          <w:color w:val="000000"/>
          <w:kern w:val="2"/>
          <w:szCs w:val="20"/>
          <w:lang w:val="en-US" w:bidi="ar-SA"/>
        </w:rPr>
        <w:t>2</w:t>
      </w:r>
      <w:r>
        <w:rPr>
          <w:rFonts w:hint="eastAsia" w:ascii="黑体" w:hAnsi="黑体" w:eastAsia="黑体" w:cs="黑体"/>
          <w:color w:val="000000"/>
          <w:kern w:val="2"/>
          <w:szCs w:val="20"/>
          <w:lang w:val="en-US" w:bidi="ar-SA"/>
        </w:rPr>
        <w:t xml:space="preserve"> 普鲁卡因胺等</w:t>
      </w:r>
      <w:r>
        <w:rPr>
          <w:rFonts w:ascii="Times New Roman" w:hAnsi="Times New Roman" w:eastAsia="黑体" w:cs="Times New Roman"/>
          <w:color w:val="000000"/>
          <w:kern w:val="2"/>
          <w:szCs w:val="20"/>
          <w:lang w:val="en-US" w:bidi="ar-SA"/>
        </w:rPr>
        <w:t>23</w:t>
      </w:r>
      <w:r>
        <w:rPr>
          <w:rFonts w:hint="eastAsia" w:ascii="黑体" w:hAnsi="黑体" w:eastAsia="黑体" w:cs="黑体"/>
          <w:color w:val="000000"/>
          <w:kern w:val="2"/>
          <w:szCs w:val="20"/>
          <w:lang w:val="en-US" w:bidi="ar-SA"/>
        </w:rPr>
        <w:t>种原料的监测离子对及相关参数设定表</w:t>
      </w:r>
    </w:p>
    <w:tbl>
      <w:tblPr>
        <w:tblStyle w:val="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6"/>
        <w:gridCol w:w="1562"/>
        <w:gridCol w:w="1562"/>
        <w:gridCol w:w="1562"/>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Header/>
          <w:jc w:val="center"/>
        </w:trPr>
        <w:tc>
          <w:tcPr>
            <w:tcW w:w="806" w:type="dxa"/>
            <w:tcBorders>
              <w:top w:val="single" w:color="auto" w:sz="4" w:space="0"/>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序号</w:t>
            </w:r>
          </w:p>
        </w:tc>
        <w:tc>
          <w:tcPr>
            <w:tcW w:w="1562" w:type="dxa"/>
            <w:tcBorders>
              <w:top w:val="single" w:color="auto" w:sz="4" w:space="0"/>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中文名称</w:t>
            </w:r>
          </w:p>
        </w:tc>
        <w:tc>
          <w:tcPr>
            <w:tcW w:w="1562" w:type="dxa"/>
            <w:tcBorders>
              <w:top w:val="single" w:color="auto" w:sz="4" w:space="0"/>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母离子（m/z）</w:t>
            </w:r>
          </w:p>
        </w:tc>
        <w:tc>
          <w:tcPr>
            <w:tcW w:w="1562" w:type="dxa"/>
            <w:tcBorders>
              <w:top w:val="single" w:color="auto" w:sz="4" w:space="0"/>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子离子（m/z）</w:t>
            </w:r>
          </w:p>
        </w:tc>
        <w:tc>
          <w:tcPr>
            <w:tcW w:w="1515"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碰撞能量（eV）</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tcBorders>
              <w:top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w:t>
            </w:r>
          </w:p>
        </w:tc>
        <w:tc>
          <w:tcPr>
            <w:tcW w:w="1562" w:type="dxa"/>
            <w:vMerge w:val="restart"/>
            <w:tcBorders>
              <w:top w:val="single" w:color="auto" w:sz="4" w:space="0"/>
            </w:tcBorders>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普鲁卡因胺</w:t>
            </w:r>
          </w:p>
        </w:tc>
        <w:tc>
          <w:tcPr>
            <w:tcW w:w="1562" w:type="dxa"/>
            <w:vMerge w:val="restart"/>
            <w:tcBorders>
              <w:top w:val="single" w:color="auto" w:sz="4" w:space="0"/>
            </w:tcBorders>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236.2</w:t>
            </w:r>
          </w:p>
        </w:tc>
        <w:tc>
          <w:tcPr>
            <w:tcW w:w="1562" w:type="dxa"/>
            <w:tcBorders>
              <w:top w:val="single" w:color="auto" w:sz="4" w:space="0"/>
            </w:tcBorders>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162.1*</w:t>
            </w:r>
          </w:p>
        </w:tc>
        <w:tc>
          <w:tcPr>
            <w:tcW w:w="1515" w:type="dxa"/>
            <w:tcBorders>
              <w:top w:val="single" w:color="auto" w:sz="4" w:space="0"/>
            </w:tcBorders>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119.9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普鲁卡因</w:t>
            </w:r>
          </w:p>
        </w:tc>
        <w:tc>
          <w:tcPr>
            <w:tcW w:w="1562" w:type="dxa"/>
            <w:vMerge w:val="restart"/>
            <w:shd w:val="clear" w:color="auto" w:fill="auto"/>
            <w:vAlign w:val="center"/>
          </w:tcPr>
          <w:p>
            <w:pPr>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237.2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99.9*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119.8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氯普鲁卡因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271.1</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197.8*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153.2</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4</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利多卡因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235.2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86.1*</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58.0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5</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甲哌卡因</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247.1</w:t>
            </w: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98.1*</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70.1</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6</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丙胺卡因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221.1</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85.9*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135.8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7</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可卡因</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304.1</w:t>
            </w: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181.8*</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82.0</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8</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丙美卡因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295.2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99.9*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135.9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9</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罗哌卡因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275.3</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126.1*</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84.0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10</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哌罗卡因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261.7</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104.8*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162.9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11</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地佐辛</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246.2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146.9*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229.0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12</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二丁氨卡因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307.2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177.9*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119.8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13</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丁吡卡因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289.2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98.1</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140.2*</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14</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丁氧卡因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309.2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235.9*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191.8</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15</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丁卡因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265.2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176.0*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71.9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16</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咪达唑仑</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326.1</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291.0*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249.1</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17</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三卡因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165.8</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137.9*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93.9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18</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普莫卡因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294.2</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150.9*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99.7</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19</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赛拉唑</w:t>
            </w:r>
          </w:p>
        </w:tc>
        <w:tc>
          <w:tcPr>
            <w:tcW w:w="1562"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204.6</w:t>
            </w: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188.6*</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104.7</w:t>
            </w:r>
          </w:p>
        </w:tc>
        <w:tc>
          <w:tcPr>
            <w:tcW w:w="1515" w:type="dxa"/>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20</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达克罗宁</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289.4</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97.9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140.0*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21</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辛可卡因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344.0</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270.9*</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215.1</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22</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苯佐卡因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165.8</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138.0*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94.0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restart"/>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23</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奎尼卡因</w:t>
            </w:r>
          </w:p>
        </w:tc>
        <w:tc>
          <w:tcPr>
            <w:tcW w:w="1562" w:type="dxa"/>
            <w:vMerge w:val="restart"/>
            <w:shd w:val="clear" w:color="auto" w:fill="auto"/>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r>
              <w:rPr>
                <w:rFonts w:ascii="Times New Roman" w:hAnsi="Times New Roman" w:eastAsia="宋体" w:cs="Times New Roman"/>
                <w:bCs/>
                <w:color w:val="000000" w:themeColor="text1"/>
                <w:kern w:val="0"/>
                <w:szCs w:val="21"/>
                <w14:textFill>
                  <w14:solidFill>
                    <w14:schemeClr w14:val="tx1"/>
                  </w14:solidFill>
                </w14:textFill>
              </w:rPr>
              <w:t>273.4</w:t>
            </w:r>
          </w:p>
        </w:tc>
        <w:tc>
          <w:tcPr>
            <w:tcW w:w="1562"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72.0*</w:t>
            </w:r>
          </w:p>
        </w:tc>
        <w:tc>
          <w:tcPr>
            <w:tcW w:w="1515" w:type="dxa"/>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6" w:type="dxa"/>
            <w:vMerge w:val="continue"/>
            <w:tcBorders>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tcBorders>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vMerge w:val="continue"/>
            <w:tcBorders>
              <w:bottom w:val="single" w:color="auto" w:sz="4" w:space="0"/>
            </w:tcBorders>
            <w:vAlign w:val="center"/>
          </w:tcPr>
          <w:p>
            <w:pPr>
              <w:widowControl/>
              <w:spacing w:line="300" w:lineRule="auto"/>
              <w:jc w:val="center"/>
              <w:rPr>
                <w:rFonts w:ascii="Times New Roman" w:hAnsi="Times New Roman" w:eastAsia="宋体" w:cs="Times New Roman"/>
                <w:bCs/>
                <w:color w:val="000000" w:themeColor="text1"/>
                <w:kern w:val="0"/>
                <w:szCs w:val="21"/>
                <w14:textFill>
                  <w14:solidFill>
                    <w14:schemeClr w14:val="tx1"/>
                  </w14:solidFill>
                </w14:textFill>
              </w:rPr>
            </w:pPr>
          </w:p>
        </w:tc>
        <w:tc>
          <w:tcPr>
            <w:tcW w:w="1562" w:type="dxa"/>
            <w:tcBorders>
              <w:bottom w:val="single" w:color="auto" w:sz="4" w:space="0"/>
            </w:tcBorders>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227.9</w:t>
            </w:r>
          </w:p>
        </w:tc>
        <w:tc>
          <w:tcPr>
            <w:tcW w:w="1515" w:type="dxa"/>
            <w:tcBorders>
              <w:bottom w:val="single" w:color="auto" w:sz="4" w:space="0"/>
            </w:tcBorders>
            <w:shd w:val="clear" w:color="auto" w:fill="auto"/>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24</w:t>
            </w:r>
          </w:p>
        </w:tc>
      </w:tr>
    </w:tbl>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注：*</w:t>
      </w:r>
      <w:r>
        <w:rPr>
          <w:rFonts w:hint="eastAsia" w:ascii="Times New Roman" w:hAnsi="Times New Roman" w:eastAsia="宋体" w:cs="Times New Roman"/>
          <w:color w:val="000000"/>
          <w:kern w:val="0"/>
          <w:szCs w:val="21"/>
        </w:rPr>
        <w:t>为</w:t>
      </w:r>
      <w:r>
        <w:rPr>
          <w:rFonts w:ascii="Times New Roman" w:hAnsi="Times New Roman" w:eastAsia="宋体" w:cs="Times New Roman"/>
          <w:color w:val="000000"/>
          <w:kern w:val="0"/>
          <w:szCs w:val="21"/>
        </w:rPr>
        <w:t>定量离子对。</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5.5</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 xml:space="preserve"> 定性判定</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取筛查用混合标准系列溶液（5.1）和待测溶液（5.3），在</w:t>
      </w:r>
      <w:r>
        <w:rPr>
          <w:rFonts w:hint="eastAsia" w:ascii="Times New Roman" w:hAnsi="Times New Roman" w:eastAsia="宋体" w:cs="Times New Roman"/>
          <w:color w:val="000000"/>
          <w:kern w:val="0"/>
          <w:szCs w:val="21"/>
        </w:rPr>
        <w:t>相同分析</w:t>
      </w:r>
      <w:r>
        <w:rPr>
          <w:rFonts w:ascii="Times New Roman" w:hAnsi="Times New Roman" w:eastAsia="宋体" w:cs="Times New Roman"/>
          <w:color w:val="000000"/>
          <w:kern w:val="0"/>
          <w:szCs w:val="21"/>
        </w:rPr>
        <w:t>条件下测定，样品中如呈现定量离子对和定性离子对的色谱峰，被测原料的特征离子峰保留时间与标准溶液对应的保留时间一致，且选择的定性离子的相对丰度比与相当浓度标准品溶液的定性离子的相对丰度比的最大偏差不超过表</w:t>
      </w:r>
      <w:r>
        <w:rPr>
          <w:rFonts w:hint="eastAsia" w:ascii="Times New Roman" w:hAnsi="Times New Roman" w:eastAsia="宋体" w:cs="Times New Roman"/>
          <w:color w:val="000000"/>
          <w:kern w:val="0"/>
          <w:szCs w:val="21"/>
        </w:rPr>
        <w:t>3</w:t>
      </w:r>
      <w:r>
        <w:rPr>
          <w:rFonts w:ascii="Times New Roman" w:hAnsi="Times New Roman" w:eastAsia="宋体" w:cs="Times New Roman"/>
          <w:color w:val="000000"/>
          <w:kern w:val="0"/>
          <w:szCs w:val="21"/>
        </w:rPr>
        <w:t>的规定范围，则可以判定样品中存在对应的原料。</w:t>
      </w:r>
    </w:p>
    <w:p>
      <w:pPr>
        <w:pStyle w:val="3"/>
        <w:autoSpaceDE/>
        <w:autoSpaceDN/>
        <w:snapToGrid w:val="0"/>
        <w:spacing w:before="156" w:after="156"/>
        <w:jc w:val="center"/>
        <w:rPr>
          <w:rFonts w:ascii="黑体" w:hAnsi="黑体" w:eastAsia="黑体" w:cs="黑体"/>
          <w:color w:val="000000"/>
          <w:kern w:val="2"/>
          <w:szCs w:val="20"/>
          <w:lang w:val="en-US" w:bidi="ar-SA"/>
        </w:rPr>
      </w:pPr>
      <w:r>
        <w:rPr>
          <w:rFonts w:hint="eastAsia" w:ascii="黑体" w:hAnsi="黑体" w:eastAsia="黑体" w:cs="黑体"/>
          <w:color w:val="000000"/>
          <w:kern w:val="2"/>
          <w:szCs w:val="20"/>
          <w:lang w:val="en-US" w:bidi="ar-SA"/>
        </w:rPr>
        <w:t>表3 阳性结果确证时相对离子丰度比的最大允许偏差</w:t>
      </w:r>
    </w:p>
    <w:tbl>
      <w:tblPr>
        <w:tblStyle w:val="7"/>
        <w:tblW w:w="0" w:type="auto"/>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819"/>
        <w:gridCol w:w="1191"/>
        <w:gridCol w:w="1930"/>
        <w:gridCol w:w="1930"/>
        <w:gridCol w:w="119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jc w:val="center"/>
        </w:trPr>
        <w:tc>
          <w:tcPr>
            <w:tcW w:w="2819"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相对离子丰度（k）</w:t>
            </w:r>
          </w:p>
        </w:tc>
        <w:tc>
          <w:tcPr>
            <w:tcW w:w="1191"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k&gt;50%</w:t>
            </w:r>
          </w:p>
        </w:tc>
        <w:tc>
          <w:tcPr>
            <w:tcW w:w="193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50%≥k&gt;20 %</w:t>
            </w:r>
          </w:p>
        </w:tc>
        <w:tc>
          <w:tcPr>
            <w:tcW w:w="193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20%≥k&gt;10%</w:t>
            </w:r>
          </w:p>
        </w:tc>
        <w:tc>
          <w:tcPr>
            <w:tcW w:w="119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k≤10%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2819"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允许的最大偏差</w:t>
            </w:r>
          </w:p>
        </w:tc>
        <w:tc>
          <w:tcPr>
            <w:tcW w:w="1191"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±20%</w:t>
            </w:r>
          </w:p>
        </w:tc>
        <w:tc>
          <w:tcPr>
            <w:tcW w:w="193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±25%</w:t>
            </w:r>
          </w:p>
        </w:tc>
        <w:tc>
          <w:tcPr>
            <w:tcW w:w="193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±30%</w:t>
            </w:r>
          </w:p>
        </w:tc>
        <w:tc>
          <w:tcPr>
            <w:tcW w:w="1190" w:type="dxa"/>
            <w:tcBorders>
              <w:top w:val="single" w:color="auto" w:sz="4" w:space="0"/>
              <w:bottom w:val="single" w:color="auto" w:sz="4" w:space="0"/>
            </w:tcBorders>
            <w:vAlign w:val="center"/>
          </w:tcPr>
          <w:p>
            <w:pPr>
              <w:spacing w:line="300" w:lineRule="auto"/>
              <w:jc w:val="center"/>
              <w:rPr>
                <w:rFonts w:ascii="Times New Roman" w:hAnsi="Times New Roman" w:eastAsia="宋体" w:cs="Times New Roman"/>
                <w:szCs w:val="21"/>
              </w:rPr>
            </w:pPr>
            <w:r>
              <w:rPr>
                <w:rFonts w:ascii="Times New Roman" w:hAnsi="Times New Roman" w:eastAsia="宋体" w:cs="Times New Roman"/>
                <w:szCs w:val="21"/>
              </w:rPr>
              <w:t>±50%</w:t>
            </w:r>
          </w:p>
        </w:tc>
      </w:tr>
    </w:tbl>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 xml:space="preserve">5.6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定量测定</w:t>
      </w:r>
    </w:p>
    <w:p>
      <w:pPr>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当定性筛查（5.5）结果为阳性时，取基质标准</w:t>
      </w:r>
      <w:r>
        <w:rPr>
          <w:rFonts w:hint="eastAsia" w:ascii="Times New Roman" w:hAnsi="Times New Roman" w:eastAsia="宋体" w:cs="Times New Roman"/>
          <w:color w:val="000000"/>
          <w:kern w:val="0"/>
          <w:szCs w:val="21"/>
        </w:rPr>
        <w:t>工作</w:t>
      </w:r>
      <w:r>
        <w:rPr>
          <w:rFonts w:ascii="Times New Roman" w:hAnsi="Times New Roman" w:eastAsia="宋体" w:cs="Times New Roman"/>
          <w:color w:val="000000"/>
          <w:kern w:val="0"/>
          <w:szCs w:val="21"/>
        </w:rPr>
        <w:t>溶液</w:t>
      </w:r>
      <w:r>
        <w:rPr>
          <w:rFonts w:hint="eastAsia" w:ascii="Times New Roman" w:hAnsi="Times New Roman" w:eastAsia="宋体" w:cs="Times New Roman"/>
          <w:color w:val="000000"/>
          <w:kern w:val="0"/>
          <w:szCs w:val="21"/>
        </w:rPr>
        <w:t>（5.2）</w:t>
      </w:r>
      <w:r>
        <w:rPr>
          <w:rFonts w:ascii="Times New Roman" w:hAnsi="Times New Roman" w:eastAsia="宋体" w:cs="Times New Roman"/>
          <w:color w:val="000000"/>
          <w:kern w:val="0"/>
          <w:szCs w:val="21"/>
        </w:rPr>
        <w:t>依次测定，以待测原料的系列浓度为横坐标，待测原料的定量离子对峰面积为纵坐标，建立线性回归方程，绘制基质标准曲线，其线性相关系数应不小于0.99。取待测溶液测定，将对应的定量离子色谱峰面积代入线性回归方程，按</w:t>
      </w:r>
      <w:r>
        <w:rPr>
          <w:rFonts w:hint="eastAsia" w:ascii="Times New Roman" w:hAnsi="Times New Roman" w:eastAsia="宋体" w:cs="Times New Roman"/>
          <w:color w:val="000000"/>
          <w:kern w:val="0"/>
          <w:szCs w:val="21"/>
        </w:rPr>
        <w:t>“</w:t>
      </w:r>
      <w:r>
        <w:rPr>
          <w:rFonts w:ascii="Times New Roman" w:hAnsi="Times New Roman" w:eastAsia="宋体" w:cs="Times New Roman"/>
          <w:color w:val="000000"/>
          <w:kern w:val="0"/>
          <w:szCs w:val="21"/>
        </w:rPr>
        <w:t>6</w:t>
      </w:r>
      <w:r>
        <w:rPr>
          <w:rFonts w:ascii="Times New Roman" w:hAnsi="Times New Roman" w:eastAsia="宋体" w:cs="Times New Roman"/>
          <w:szCs w:val="21"/>
        </w:rPr>
        <w:t xml:space="preserve">  计算</w:t>
      </w:r>
      <w:r>
        <w:rPr>
          <w:rFonts w:hint="eastAsia" w:ascii="Times New Roman" w:hAnsi="Times New Roman" w:eastAsia="宋体" w:cs="Times New Roman"/>
          <w:color w:val="000000"/>
          <w:kern w:val="0"/>
          <w:szCs w:val="21"/>
        </w:rPr>
        <w:t>”</w:t>
      </w:r>
      <w:r>
        <w:rPr>
          <w:rFonts w:ascii="Times New Roman" w:hAnsi="Times New Roman" w:eastAsia="宋体" w:cs="Times New Roman"/>
          <w:szCs w:val="21"/>
        </w:rPr>
        <w:t>项下公式，</w:t>
      </w:r>
      <w:r>
        <w:rPr>
          <w:rFonts w:ascii="Times New Roman" w:hAnsi="Times New Roman" w:eastAsia="宋体" w:cs="Times New Roman"/>
          <w:color w:val="000000"/>
          <w:kern w:val="0"/>
          <w:szCs w:val="21"/>
        </w:rPr>
        <w:t>计算样品中待测原料的含量。</w:t>
      </w:r>
    </w:p>
    <w:p>
      <w:pPr>
        <w:pStyle w:val="2"/>
        <w:snapToGrid w:val="0"/>
        <w:spacing w:before="156" w:beforeLines="50" w:after="156" w:afterLines="50" w:line="300" w:lineRule="auto"/>
        <w:jc w:val="both"/>
        <w:rPr>
          <w:rFonts w:eastAsia="黑体" w:cs="Times New Roman"/>
          <w:b w:val="0"/>
          <w:sz w:val="21"/>
        </w:rPr>
      </w:pPr>
      <w:r>
        <w:rPr>
          <w:rFonts w:eastAsia="黑体" w:cs="Times New Roman"/>
          <w:b w:val="0"/>
          <w:sz w:val="21"/>
        </w:rPr>
        <w:t xml:space="preserve">6 </w:t>
      </w:r>
      <w:r>
        <w:rPr>
          <w:rFonts w:hint="eastAsia" w:eastAsia="黑体" w:cs="Times New Roman"/>
          <w:b w:val="0"/>
          <w:sz w:val="21"/>
        </w:rPr>
        <w:t xml:space="preserve"> 计算</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ascii="Times New Roman" w:hAnsi="Times New Roman" w:cs="Times New Roman"/>
          <w:kern w:val="2"/>
          <w:szCs w:val="24"/>
          <w:lang w:val="en-US" w:bidi="ar-SA"/>
        </w:rPr>
        <w:t>6.1</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 xml:space="preserve"> 计算</w:t>
      </w:r>
    </w:p>
    <w:p>
      <w:pPr>
        <w:adjustRightInd w:val="0"/>
        <w:snapToGrid w:val="0"/>
        <w:spacing w:line="300" w:lineRule="auto"/>
        <w:ind w:firstLine="420" w:firstLineChars="200"/>
        <w:jc w:val="center"/>
        <w:rPr>
          <w:rFonts w:ascii="Times New Roman" w:hAnsi="Times New Roman" w:cs="Times New Roman"/>
          <w:szCs w:val="21"/>
        </w:rPr>
      </w:pPr>
      <m:oMathPara>
        <m:oMath>
          <m:r>
            <m:rPr>
              <m:nor/>
            </m:rPr>
            <w:rPr>
              <w:rFonts w:ascii="Times New Roman" w:hAnsi="Times New Roman" w:eastAsia="黑体" w:cs="Times New Roman"/>
              <w:i/>
              <w:color w:val="000000" w:themeColor="text1"/>
              <w:szCs w:val="21"/>
              <w14:textFill>
                <w14:solidFill>
                  <w14:schemeClr w14:val="tx1"/>
                </w14:solidFill>
              </w14:textFill>
            </w:rPr>
            <m:t>ω</m:t>
          </m:r>
          <m:r>
            <m:rPr>
              <m:nor/>
              <m:sty m:val="p"/>
            </m:rPr>
            <w:rPr>
              <w:rFonts w:ascii="Times New Roman" w:hAnsi="Times New Roman" w:eastAsia="黑体" w:cs="Times New Roman"/>
              <w:color w:val="000000" w:themeColor="text1"/>
              <w:szCs w:val="21"/>
              <w14:textFill>
                <w14:solidFill>
                  <w14:schemeClr w14:val="tx1"/>
                </w14:solidFill>
              </w14:textFill>
            </w:rPr>
            <m:t>=</m:t>
          </m:r>
          <m:f>
            <m:fPr>
              <m:ctrlPr>
                <w:rPr>
                  <w:rFonts w:ascii="Cambria Math" w:hAnsi="Cambria Math" w:eastAsia="黑体" w:cs="Times New Roman"/>
                  <w:bCs/>
                  <w:i/>
                  <w:color w:val="000000" w:themeColor="text1"/>
                  <w:szCs w:val="21"/>
                  <w14:textFill>
                    <w14:solidFill>
                      <w14:schemeClr w14:val="tx1"/>
                    </w14:solidFill>
                  </w14:textFill>
                </w:rPr>
              </m:ctrlPr>
            </m:fPr>
            <m:num>
              <m:r>
                <m:rPr>
                  <m:nor/>
                </m:rPr>
                <w:rPr>
                  <w:rFonts w:ascii="Times New Roman" w:hAnsi="Times New Roman" w:eastAsia="黑体" w:cs="Times New Roman"/>
                  <w:i/>
                  <w:color w:val="000000" w:themeColor="text1"/>
                  <w:szCs w:val="21"/>
                  <w14:textFill>
                    <w14:solidFill>
                      <w14:schemeClr w14:val="tx1"/>
                    </w14:solidFill>
                  </w14:textFill>
                </w:rPr>
                <m:t>ρ</m:t>
              </m:r>
              <m:r>
                <m:rPr>
                  <m:nor/>
                  <m:sty m:val="p"/>
                </m:rPr>
                <w:rPr>
                  <w:rFonts w:ascii="Times New Roman" w:hAnsi="Times New Roman" w:eastAsia="黑体" w:cs="Times New Roman"/>
                  <w:color w:val="000000" w:themeColor="text1"/>
                  <w:szCs w:val="21"/>
                  <w14:textFill>
                    <w14:solidFill>
                      <w14:schemeClr w14:val="tx1"/>
                    </w14:solidFill>
                  </w14:textFill>
                </w:rPr>
                <m:t>×</m:t>
              </m:r>
              <m:r>
                <m:rPr>
                  <m:nor/>
                </m:rPr>
                <w:rPr>
                  <w:rFonts w:ascii="Times New Roman" w:hAnsi="Times New Roman" w:eastAsia="黑体" w:cs="Times New Roman"/>
                  <w:i/>
                  <w:color w:val="000000" w:themeColor="text1"/>
                  <w:szCs w:val="21"/>
                  <w14:textFill>
                    <w14:solidFill>
                      <w14:schemeClr w14:val="tx1"/>
                    </w14:solidFill>
                  </w14:textFill>
                </w:rPr>
                <m:t>V</m:t>
              </m:r>
              <m:r>
                <m:rPr>
                  <m:nor/>
                  <m:sty m:val="p"/>
                </m:rPr>
                <w:rPr>
                  <w:rFonts w:ascii="Times New Roman" w:hAnsi="Times New Roman" w:eastAsia="黑体" w:cs="Times New Roman"/>
                  <w:color w:val="000000" w:themeColor="text1"/>
                  <w:szCs w:val="21"/>
                  <w14:textFill>
                    <w14:solidFill>
                      <w14:schemeClr w14:val="tx1"/>
                    </w14:solidFill>
                  </w14:textFill>
                </w:rPr>
                <m:t>×</m:t>
              </m:r>
              <m:r>
                <m:rPr>
                  <m:nor/>
                </m:rPr>
                <w:rPr>
                  <w:rFonts w:ascii="Times New Roman" w:hAnsi="Times New Roman" w:eastAsia="黑体" w:cs="Times New Roman"/>
                  <w:i/>
                  <w:color w:val="000000" w:themeColor="text1"/>
                  <w:szCs w:val="21"/>
                  <w14:textFill>
                    <w14:solidFill>
                      <w14:schemeClr w14:val="tx1"/>
                    </w14:solidFill>
                  </w14:textFill>
                </w:rPr>
                <m:t>D</m:t>
              </m:r>
              <m:ctrlPr>
                <w:rPr>
                  <w:rFonts w:ascii="Cambria Math" w:hAnsi="Cambria Math" w:eastAsia="黑体" w:cs="Times New Roman"/>
                  <w:bCs/>
                  <w:i/>
                  <w:color w:val="000000" w:themeColor="text1"/>
                  <w:szCs w:val="21"/>
                  <w14:textFill>
                    <w14:solidFill>
                      <w14:schemeClr w14:val="tx1"/>
                    </w14:solidFill>
                  </w14:textFill>
                </w:rPr>
              </m:ctrlPr>
            </m:num>
            <m:den>
              <m:r>
                <m:rPr>
                  <m:nor/>
                </m:rPr>
                <w:rPr>
                  <w:rFonts w:ascii="Times New Roman" w:hAnsi="Times New Roman" w:eastAsia="黑体" w:cs="Times New Roman"/>
                  <w:i/>
                  <w:color w:val="000000" w:themeColor="text1"/>
                  <w:szCs w:val="21"/>
                  <w14:textFill>
                    <w14:solidFill>
                      <w14:schemeClr w14:val="tx1"/>
                    </w14:solidFill>
                  </w14:textFill>
                </w:rPr>
                <m:t>m</m:t>
              </m:r>
              <m:r>
                <m:rPr>
                  <m:nor/>
                  <m:sty m:val="p"/>
                </m:rPr>
                <w:rPr>
                  <w:rFonts w:ascii="Times New Roman" w:hAnsi="Times New Roman" w:cs="Times New Roman"/>
                  <w:color w:val="000000" w:themeColor="text1"/>
                  <w:szCs w:val="21"/>
                  <w14:textFill>
                    <w14:solidFill>
                      <w14:schemeClr w14:val="tx1"/>
                    </w14:solidFill>
                  </w14:textFill>
                </w:rPr>
                <m:t>×1000</m:t>
              </m:r>
              <m:ctrlPr>
                <w:rPr>
                  <w:rFonts w:ascii="Cambria Math" w:hAnsi="Cambria Math" w:eastAsia="黑体" w:cs="Times New Roman"/>
                  <w:bCs/>
                  <w:i/>
                  <w:color w:val="000000" w:themeColor="text1"/>
                  <w:szCs w:val="21"/>
                  <w14:textFill>
                    <w14:solidFill>
                      <w14:schemeClr w14:val="tx1"/>
                    </w14:solidFill>
                  </w14:textFill>
                </w:rPr>
              </m:ctrlPr>
            </m:den>
          </m:f>
          <m:r>
            <m:rPr>
              <m:nor/>
              <m:sty m:val="p"/>
            </m:rPr>
            <w:rPr>
              <w:rFonts w:ascii="Times New Roman" w:hAnsi="Times New Roman" w:eastAsia="黑体" w:cs="Times New Roman"/>
              <w:color w:val="000000" w:themeColor="text1"/>
              <w:szCs w:val="21"/>
              <w14:textFill>
                <w14:solidFill>
                  <w14:schemeClr w14:val="tx1"/>
                </w14:solidFill>
              </w14:textFill>
            </w:rPr>
            <m:t xml:space="preserve"> </m:t>
          </m:r>
        </m:oMath>
      </m:oMathPara>
    </w:p>
    <w:p>
      <w:pPr>
        <w:snapToGrid w:val="0"/>
        <w:spacing w:line="300" w:lineRule="auto"/>
        <w:ind w:firstLine="42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式中： </w:t>
      </w:r>
      <w:r>
        <w:rPr>
          <w:rFonts w:ascii="Times New Roman" w:hAnsi="Times New Roman" w:eastAsia="宋体" w:cs="Times New Roman"/>
          <w:i/>
          <w:color w:val="000000" w:themeColor="text1"/>
          <w14:textFill>
            <w14:solidFill>
              <w14:schemeClr w14:val="tx1"/>
            </w14:solidFill>
          </w14:textFill>
        </w:rPr>
        <w:t>ω</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szCs w:val="21"/>
          <w14:textFill>
            <w14:solidFill>
              <w14:schemeClr w14:val="tx1"/>
            </w14:solidFill>
          </w14:textFill>
        </w:rPr>
        <w:t>样品中</w:t>
      </w:r>
      <w:r>
        <w:rPr>
          <w:rFonts w:ascii="Times New Roman" w:hAnsi="Times New Roman" w:eastAsia="宋体" w:cs="Times New Roman"/>
          <w:color w:val="000000" w:themeColor="text1"/>
          <w14:textFill>
            <w14:solidFill>
              <w14:schemeClr w14:val="tx1"/>
            </w14:solidFill>
          </w14:textFill>
        </w:rPr>
        <w:t>普鲁卡因胺等23种原料</w:t>
      </w:r>
      <w:r>
        <w:rPr>
          <w:rFonts w:ascii="Times New Roman" w:hAnsi="Times New Roman" w:eastAsia="宋体" w:cs="Times New Roman"/>
          <w:color w:val="000000" w:themeColor="text1"/>
          <w:szCs w:val="21"/>
          <w14:textFill>
            <w14:solidFill>
              <w14:schemeClr w14:val="tx1"/>
            </w14:solidFill>
          </w14:textFill>
        </w:rPr>
        <w:t>的含量</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rPr>
        <w:t>μg/g</w:t>
      </w:r>
      <w:r>
        <w:rPr>
          <w:rFonts w:ascii="Times New Roman" w:hAnsi="Times New Roman" w:eastAsia="宋体" w:cs="Times New Roman"/>
          <w:color w:val="000000" w:themeColor="text1"/>
          <w14:textFill>
            <w14:solidFill>
              <w14:schemeClr w14:val="tx1"/>
            </w14:solidFill>
          </w14:textFill>
        </w:rPr>
        <w:t>；</w:t>
      </w:r>
    </w:p>
    <w:p>
      <w:pPr>
        <w:snapToGrid w:val="0"/>
        <w:spacing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ρ</w:t>
      </w:r>
      <w:r>
        <w:rPr>
          <w:rFonts w:ascii="Times New Roman" w:hAnsi="Times New Roman" w:eastAsia="宋体" w:cs="Times New Roman"/>
          <w:color w:val="000000" w:themeColor="text1"/>
          <w14:textFill>
            <w14:solidFill>
              <w14:schemeClr w14:val="tx1"/>
            </w14:solidFill>
          </w14:textFill>
        </w:rPr>
        <w:t xml:space="preserve"> ——从标准曲线得到待测原料的</w:t>
      </w:r>
      <w:r>
        <w:rPr>
          <w:rFonts w:ascii="Times New Roman" w:hAnsi="Times New Roman" w:eastAsia="宋体" w:cs="Times New Roman"/>
          <w:color w:val="000000" w:themeColor="text1"/>
          <w:szCs w:val="21"/>
          <w14:textFill>
            <w14:solidFill>
              <w14:schemeClr w14:val="tx1"/>
            </w14:solidFill>
          </w14:textFill>
        </w:rPr>
        <w:t>浓度</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宋体" w:cs="Times New Roman"/>
        </w:rPr>
        <w:t>ng/mL</w:t>
      </w:r>
      <w:r>
        <w:rPr>
          <w:rFonts w:ascii="Times New Roman" w:hAnsi="Times New Roman" w:eastAsia="宋体" w:cs="Times New Roman"/>
          <w:color w:val="000000" w:themeColor="text1"/>
          <w14:textFill>
            <w14:solidFill>
              <w14:schemeClr w14:val="tx1"/>
            </w14:solidFill>
          </w14:textFill>
        </w:rPr>
        <w:t>；</w:t>
      </w:r>
    </w:p>
    <w:p>
      <w:pPr>
        <w:snapToGrid w:val="0"/>
        <w:spacing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V</w:t>
      </w:r>
      <w:r>
        <w:rPr>
          <w:rFonts w:ascii="Times New Roman" w:hAnsi="Times New Roman" w:eastAsia="宋体" w:cs="Times New Roman"/>
          <w:color w:val="000000" w:themeColor="text1"/>
          <w14:textFill>
            <w14:solidFill>
              <w14:schemeClr w14:val="tx1"/>
            </w14:solidFill>
          </w14:textFill>
        </w:rPr>
        <w:t xml:space="preserve"> ——样品定容体积，mL；</w:t>
      </w:r>
    </w:p>
    <w:p>
      <w:pPr>
        <w:snapToGrid w:val="0"/>
        <w:spacing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m</w:t>
      </w:r>
      <w:r>
        <w:rPr>
          <w:rFonts w:ascii="Times New Roman" w:hAnsi="Times New Roman" w:eastAsia="宋体" w:cs="Times New Roman"/>
          <w:color w:val="000000" w:themeColor="text1"/>
          <w14:textFill>
            <w14:solidFill>
              <w14:schemeClr w14:val="tx1"/>
            </w14:solidFill>
          </w14:textFill>
        </w:rPr>
        <w:t xml:space="preserve"> ——样品取样量，g；</w:t>
      </w:r>
    </w:p>
    <w:p>
      <w:pPr>
        <w:snapToGrid w:val="0"/>
        <w:spacing w:line="300" w:lineRule="auto"/>
        <w:ind w:firstLine="1155" w:firstLineChars="55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i/>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 xml:space="preserve"> ——稀释倍数（不稀释则为1）。</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olor w:val="000000"/>
          <w:kern w:val="0"/>
          <w:szCs w:val="21"/>
        </w:rPr>
        <w:t>在重复性条件下</w:t>
      </w:r>
      <w:r>
        <w:rPr>
          <w:rFonts w:ascii="Times New Roman" w:hAnsi="Times New Roman" w:eastAsia="宋体" w:cs="Times New Roman"/>
          <w:color w:val="000000"/>
          <w:kern w:val="0"/>
          <w:szCs w:val="21"/>
        </w:rPr>
        <w:t>获得的两次独立测试结果的绝对差值不得超过算术平均值的15%。</w:t>
      </w:r>
    </w:p>
    <w:p>
      <w:pPr>
        <w:pStyle w:val="3"/>
        <w:autoSpaceDE/>
        <w:autoSpaceDN/>
        <w:adjustRightInd w:val="0"/>
        <w:snapToGrid w:val="0"/>
        <w:spacing w:before="156" w:after="156"/>
        <w:rPr>
          <w:rFonts w:ascii="Times New Roman" w:hAnsi="Times New Roman" w:cs="Times New Roman"/>
          <w:kern w:val="2"/>
          <w:szCs w:val="24"/>
          <w:lang w:val="en-US" w:bidi="ar-SA"/>
        </w:rPr>
      </w:pPr>
      <w:r>
        <w:rPr>
          <w:rFonts w:hint="eastAsia" w:ascii="Times New Roman" w:hAnsi="Times New Roman" w:cs="Times New Roman"/>
          <w:kern w:val="2"/>
          <w:szCs w:val="24"/>
          <w:lang w:val="en-US" w:bidi="ar-SA"/>
        </w:rPr>
        <w:t>6.2</w:t>
      </w:r>
      <w:r>
        <w:rPr>
          <w:rFonts w:ascii="Times New Roman" w:hAnsi="Times New Roman" w:cs="Times New Roman"/>
          <w:kern w:val="2"/>
          <w:szCs w:val="24"/>
          <w:lang w:val="en-US" w:bidi="ar-SA"/>
        </w:rPr>
        <w:t xml:space="preserve"> </w:t>
      </w:r>
      <w:r>
        <w:rPr>
          <w:rFonts w:hint="eastAsia" w:ascii="Times New Roman" w:hAnsi="Times New Roman" w:cs="Times New Roman"/>
          <w:kern w:val="2"/>
          <w:szCs w:val="24"/>
          <w:lang w:val="en-US" w:bidi="ar-SA"/>
        </w:rPr>
        <w:t xml:space="preserve"> </w:t>
      </w:r>
      <w:r>
        <w:rPr>
          <w:rFonts w:ascii="Times New Roman" w:hAnsi="Times New Roman" w:cs="Times New Roman"/>
          <w:kern w:val="2"/>
          <w:szCs w:val="24"/>
          <w:lang w:val="en-US" w:bidi="ar-SA"/>
        </w:rPr>
        <w:t>回收率和精密度</w:t>
      </w:r>
    </w:p>
    <w:p>
      <w:pPr>
        <w:adjustRightInd w:val="0"/>
        <w:spacing w:line="300" w:lineRule="auto"/>
        <w:ind w:firstLine="420" w:firstLineChars="200"/>
        <w:jc w:val="lef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多家实验室验证方法回收率</w:t>
      </w:r>
      <w:r>
        <w:rPr>
          <w:rFonts w:hint="eastAsia" w:ascii="Times New Roman" w:hAnsi="Times New Roman" w:eastAsia="宋体" w:cs="Times New Roman"/>
          <w:color w:val="000000"/>
          <w:kern w:val="0"/>
          <w:szCs w:val="21"/>
        </w:rPr>
        <w:t>为</w:t>
      </w:r>
      <w:r>
        <w:rPr>
          <w:rFonts w:ascii="Times New Roman" w:hAnsi="Times New Roman" w:eastAsia="宋体" w:cs="Times New Roman"/>
          <w:color w:val="000000"/>
          <w:kern w:val="0"/>
          <w:szCs w:val="21"/>
        </w:rPr>
        <w:t>80%~120%，相对标准偏差小于10%。</w:t>
      </w:r>
    </w:p>
    <w:p>
      <w:pPr>
        <w:pStyle w:val="2"/>
        <w:snapToGrid w:val="0"/>
        <w:spacing w:before="156" w:beforeLines="50" w:after="156" w:afterLines="50" w:line="300" w:lineRule="auto"/>
        <w:jc w:val="both"/>
        <w:rPr>
          <w:rFonts w:eastAsia="黑体" w:cs="Times New Roman"/>
          <w:b w:val="0"/>
          <w:sz w:val="21"/>
        </w:rPr>
      </w:pPr>
      <w:r>
        <w:rPr>
          <w:rFonts w:hint="eastAsia" w:eastAsia="黑体" w:cs="Times New Roman"/>
          <w:b w:val="0"/>
          <w:sz w:val="21"/>
        </w:rPr>
        <w:t>7</w:t>
      </w:r>
      <w:r>
        <w:rPr>
          <w:rFonts w:eastAsia="黑体" w:cs="Times New Roman"/>
          <w:b w:val="0"/>
          <w:sz w:val="21"/>
        </w:rPr>
        <w:t xml:space="preserve"> </w:t>
      </w:r>
      <w:r>
        <w:rPr>
          <w:rFonts w:hint="eastAsia" w:eastAsia="黑体" w:cs="Times New Roman"/>
          <w:b w:val="0"/>
          <w:sz w:val="21"/>
        </w:rPr>
        <w:t xml:space="preserve"> </w:t>
      </w:r>
      <w:r>
        <w:rPr>
          <w:rFonts w:eastAsia="黑体" w:cs="Times New Roman"/>
          <w:b w:val="0"/>
          <w:sz w:val="21"/>
        </w:rPr>
        <w:t>图谱</w:t>
      </w:r>
    </w:p>
    <w:p>
      <w:pPr>
        <w:autoSpaceDE w:val="0"/>
        <w:autoSpaceDN w:val="0"/>
        <w:adjustRightInd w:val="0"/>
        <w:snapToGrid w:val="0"/>
        <w:spacing w:before="156" w:beforeLines="50" w:after="156" w:afterLines="50" w:line="300" w:lineRule="auto"/>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2" name="图片 172" descr="普鲁卡因胺1"/>
            <wp:cNvGraphicFramePr/>
            <a:graphic xmlns:a="http://schemas.openxmlformats.org/drawingml/2006/main">
              <a:graphicData uri="http://schemas.openxmlformats.org/drawingml/2006/picture">
                <pic:pic xmlns:pic="http://schemas.openxmlformats.org/drawingml/2006/picture">
                  <pic:nvPicPr>
                    <pic:cNvPr id="172" name="图片 172" descr="普鲁卡因胺1"/>
                    <pic:cNvPicPr/>
                  </pic:nvPicPr>
                  <pic:blipFill>
                    <a:blip r:embed="rId4"/>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3" name="图片 173" descr="普鲁卡因2"/>
            <wp:cNvGraphicFramePr/>
            <a:graphic xmlns:a="http://schemas.openxmlformats.org/drawingml/2006/main">
              <a:graphicData uri="http://schemas.openxmlformats.org/drawingml/2006/picture">
                <pic:pic xmlns:pic="http://schemas.openxmlformats.org/drawingml/2006/picture">
                  <pic:nvPicPr>
                    <pic:cNvPr id="173" name="图片 173" descr="普鲁卡因2"/>
                    <pic:cNvPicPr/>
                  </pic:nvPicPr>
                  <pic:blipFill>
                    <a:blip r:embed="rId5"/>
                    <a:stretch>
                      <a:fillRect/>
                    </a:stretch>
                  </pic:blipFill>
                  <pic:spPr>
                    <a:xfrm>
                      <a:off x="0" y="0"/>
                      <a:ext cx="2606675" cy="1889760"/>
                    </a:xfrm>
                    <a:prstGeom prst="rect">
                      <a:avLst/>
                    </a:prstGeom>
                  </pic:spPr>
                </pic:pic>
              </a:graphicData>
            </a:graphic>
          </wp:inline>
        </w:drawing>
      </w:r>
    </w:p>
    <w:p>
      <w:pPr>
        <w:autoSpaceDE w:val="0"/>
        <w:autoSpaceDN w:val="0"/>
        <w:adjustRightInd w:val="0"/>
        <w:snapToGrid w:val="0"/>
        <w:spacing w:before="156" w:beforeLines="50" w:after="156" w:afterLines="50" w:line="300" w:lineRule="auto"/>
        <w:rPr>
          <w:rFonts w:eastAsia="黑体"/>
          <w:color w:val="000000" w:themeColor="text1"/>
          <w:kern w:val="0"/>
          <w:szCs w:val="21"/>
          <w14:textFill>
            <w14:solidFill>
              <w14:schemeClr w14:val="tx1"/>
            </w14:solidFill>
          </w14:textFill>
        </w:rPr>
      </w:pP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4" name="图片 174" descr="氯普鲁卡因"/>
            <wp:cNvGraphicFramePr/>
            <a:graphic xmlns:a="http://schemas.openxmlformats.org/drawingml/2006/main">
              <a:graphicData uri="http://schemas.openxmlformats.org/drawingml/2006/picture">
                <pic:pic xmlns:pic="http://schemas.openxmlformats.org/drawingml/2006/picture">
                  <pic:nvPicPr>
                    <pic:cNvPr id="174" name="图片 174" descr="氯普鲁卡因"/>
                    <pic:cNvPicPr/>
                  </pic:nvPicPr>
                  <pic:blipFill>
                    <a:blip r:embed="rId6"/>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92300"/>
            <wp:effectExtent l="0" t="0" r="0" b="12700"/>
            <wp:docPr id="175" name="图片 175" descr="利多卡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 name="图片 175" descr="利多卡因"/>
                    <pic:cNvPicPr>
                      <a:picLocks noChangeAspect="1"/>
                    </pic:cNvPicPr>
                  </pic:nvPicPr>
                  <pic:blipFill>
                    <a:blip r:embed="rId7"/>
                    <a:stretch>
                      <a:fillRect/>
                    </a:stretch>
                  </pic:blipFill>
                  <pic:spPr>
                    <a:xfrm>
                      <a:off x="0" y="0"/>
                      <a:ext cx="2606675" cy="189230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2865" cy="1889760"/>
            <wp:effectExtent l="0" t="0" r="0" b="15240"/>
            <wp:docPr id="176" name="图片 176" descr="甲哌卡因"/>
            <wp:cNvGraphicFramePr/>
            <a:graphic xmlns:a="http://schemas.openxmlformats.org/drawingml/2006/main">
              <a:graphicData uri="http://schemas.openxmlformats.org/drawingml/2006/picture">
                <pic:pic xmlns:pic="http://schemas.openxmlformats.org/drawingml/2006/picture">
                  <pic:nvPicPr>
                    <pic:cNvPr id="176" name="图片 176" descr="甲哌卡因"/>
                    <pic:cNvPicPr/>
                  </pic:nvPicPr>
                  <pic:blipFill>
                    <a:blip r:embed="rId8"/>
                    <a:stretch>
                      <a:fillRect/>
                    </a:stretch>
                  </pic:blipFill>
                  <pic:spPr>
                    <a:xfrm>
                      <a:off x="0" y="0"/>
                      <a:ext cx="260286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7" name="图片 177" descr="丙胺卡因"/>
            <wp:cNvGraphicFramePr/>
            <a:graphic xmlns:a="http://schemas.openxmlformats.org/drawingml/2006/main">
              <a:graphicData uri="http://schemas.openxmlformats.org/drawingml/2006/picture">
                <pic:pic xmlns:pic="http://schemas.openxmlformats.org/drawingml/2006/picture">
                  <pic:nvPicPr>
                    <pic:cNvPr id="177" name="图片 177" descr="丙胺卡因"/>
                    <pic:cNvPicPr/>
                  </pic:nvPicPr>
                  <pic:blipFill>
                    <a:blip r:embed="rId9"/>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8" name="图片 178" descr="可卡因"/>
            <wp:cNvGraphicFramePr/>
            <a:graphic xmlns:a="http://schemas.openxmlformats.org/drawingml/2006/main">
              <a:graphicData uri="http://schemas.openxmlformats.org/drawingml/2006/picture">
                <pic:pic xmlns:pic="http://schemas.openxmlformats.org/drawingml/2006/picture">
                  <pic:nvPicPr>
                    <pic:cNvPr id="178" name="图片 178" descr="可卡因"/>
                    <pic:cNvPicPr/>
                  </pic:nvPicPr>
                  <pic:blipFill>
                    <a:blip r:embed="rId10"/>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79" name="图片 179" descr="丙美卡因"/>
            <wp:cNvGraphicFramePr/>
            <a:graphic xmlns:a="http://schemas.openxmlformats.org/drawingml/2006/main">
              <a:graphicData uri="http://schemas.openxmlformats.org/drawingml/2006/picture">
                <pic:pic xmlns:pic="http://schemas.openxmlformats.org/drawingml/2006/picture">
                  <pic:nvPicPr>
                    <pic:cNvPr id="179" name="图片 179" descr="丙美卡因"/>
                    <pic:cNvPicPr/>
                  </pic:nvPicPr>
                  <pic:blipFill>
                    <a:blip r:embed="rId11"/>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0" name="图片 180" descr="罗哌卡因"/>
            <wp:cNvGraphicFramePr/>
            <a:graphic xmlns:a="http://schemas.openxmlformats.org/drawingml/2006/main">
              <a:graphicData uri="http://schemas.openxmlformats.org/drawingml/2006/picture">
                <pic:pic xmlns:pic="http://schemas.openxmlformats.org/drawingml/2006/picture">
                  <pic:nvPicPr>
                    <pic:cNvPr id="180" name="图片 180" descr="罗哌卡因"/>
                    <pic:cNvPicPr/>
                  </pic:nvPicPr>
                  <pic:blipFill>
                    <a:blip r:embed="rId12"/>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1" name="图片 181" descr="哌罗卡因"/>
            <wp:cNvGraphicFramePr/>
            <a:graphic xmlns:a="http://schemas.openxmlformats.org/drawingml/2006/main">
              <a:graphicData uri="http://schemas.openxmlformats.org/drawingml/2006/picture">
                <pic:pic xmlns:pic="http://schemas.openxmlformats.org/drawingml/2006/picture">
                  <pic:nvPicPr>
                    <pic:cNvPr id="181" name="图片 181" descr="哌罗卡因"/>
                    <pic:cNvPicPr/>
                  </pic:nvPicPr>
                  <pic:blipFill>
                    <a:blip r:embed="rId13"/>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2" name="图片 182" descr="地佐辛11"/>
            <wp:cNvGraphicFramePr/>
            <a:graphic xmlns:a="http://schemas.openxmlformats.org/drawingml/2006/main">
              <a:graphicData uri="http://schemas.openxmlformats.org/drawingml/2006/picture">
                <pic:pic xmlns:pic="http://schemas.openxmlformats.org/drawingml/2006/picture">
                  <pic:nvPicPr>
                    <pic:cNvPr id="182" name="图片 182" descr="地佐辛11"/>
                    <pic:cNvPicPr/>
                  </pic:nvPicPr>
                  <pic:blipFill>
                    <a:blip r:embed="rId14"/>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4" name="图片 184" descr="二丁氨卡因12"/>
            <wp:cNvGraphicFramePr/>
            <a:graphic xmlns:a="http://schemas.openxmlformats.org/drawingml/2006/main">
              <a:graphicData uri="http://schemas.openxmlformats.org/drawingml/2006/picture">
                <pic:pic xmlns:pic="http://schemas.openxmlformats.org/drawingml/2006/picture">
                  <pic:nvPicPr>
                    <pic:cNvPr id="184" name="图片 184" descr="二丁氨卡因12"/>
                    <pic:cNvPicPr/>
                  </pic:nvPicPr>
                  <pic:blipFill>
                    <a:blip r:embed="rId15"/>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5" name="图片 185" descr="丁吡卡因13"/>
            <wp:cNvGraphicFramePr/>
            <a:graphic xmlns:a="http://schemas.openxmlformats.org/drawingml/2006/main">
              <a:graphicData uri="http://schemas.openxmlformats.org/drawingml/2006/picture">
                <pic:pic xmlns:pic="http://schemas.openxmlformats.org/drawingml/2006/picture">
                  <pic:nvPicPr>
                    <pic:cNvPr id="185" name="图片 185" descr="丁吡卡因13"/>
                    <pic:cNvPicPr/>
                  </pic:nvPicPr>
                  <pic:blipFill>
                    <a:blip r:embed="rId16"/>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89" name="图片 189" descr="丁氧卡因14"/>
            <wp:cNvGraphicFramePr/>
            <a:graphic xmlns:a="http://schemas.openxmlformats.org/drawingml/2006/main">
              <a:graphicData uri="http://schemas.openxmlformats.org/drawingml/2006/picture">
                <pic:pic xmlns:pic="http://schemas.openxmlformats.org/drawingml/2006/picture">
                  <pic:nvPicPr>
                    <pic:cNvPr id="189" name="图片 189" descr="丁氧卡因14"/>
                    <pic:cNvPicPr/>
                  </pic:nvPicPr>
                  <pic:blipFill>
                    <a:blip r:embed="rId17"/>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0" name="图片 190" descr="丁卡因15"/>
            <wp:cNvGraphicFramePr/>
            <a:graphic xmlns:a="http://schemas.openxmlformats.org/drawingml/2006/main">
              <a:graphicData uri="http://schemas.openxmlformats.org/drawingml/2006/picture">
                <pic:pic xmlns:pic="http://schemas.openxmlformats.org/drawingml/2006/picture">
                  <pic:nvPicPr>
                    <pic:cNvPr id="190" name="图片 190" descr="丁卡因15"/>
                    <pic:cNvPicPr/>
                  </pic:nvPicPr>
                  <pic:blipFill>
                    <a:blip r:embed="rId18"/>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1" name="图片 191" descr="咪达唑仑16"/>
            <wp:cNvGraphicFramePr/>
            <a:graphic xmlns:a="http://schemas.openxmlformats.org/drawingml/2006/main">
              <a:graphicData uri="http://schemas.openxmlformats.org/drawingml/2006/picture">
                <pic:pic xmlns:pic="http://schemas.openxmlformats.org/drawingml/2006/picture">
                  <pic:nvPicPr>
                    <pic:cNvPr id="191" name="图片 191" descr="咪达唑仑16"/>
                    <pic:cNvPicPr/>
                  </pic:nvPicPr>
                  <pic:blipFill>
                    <a:blip r:embed="rId19"/>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2" name="图片 192" descr="三卡因17"/>
            <wp:cNvGraphicFramePr/>
            <a:graphic xmlns:a="http://schemas.openxmlformats.org/drawingml/2006/main">
              <a:graphicData uri="http://schemas.openxmlformats.org/drawingml/2006/picture">
                <pic:pic xmlns:pic="http://schemas.openxmlformats.org/drawingml/2006/picture">
                  <pic:nvPicPr>
                    <pic:cNvPr id="192" name="图片 192" descr="三卡因17"/>
                    <pic:cNvPicPr/>
                  </pic:nvPicPr>
                  <pic:blipFill>
                    <a:blip r:embed="rId20"/>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3" name="图片 193" descr="普莫卡因19"/>
            <wp:cNvGraphicFramePr/>
            <a:graphic xmlns:a="http://schemas.openxmlformats.org/drawingml/2006/main">
              <a:graphicData uri="http://schemas.openxmlformats.org/drawingml/2006/picture">
                <pic:pic xmlns:pic="http://schemas.openxmlformats.org/drawingml/2006/picture">
                  <pic:nvPicPr>
                    <pic:cNvPr id="193" name="图片 193" descr="普莫卡因19"/>
                    <pic:cNvPicPr/>
                  </pic:nvPicPr>
                  <pic:blipFill>
                    <a:blip r:embed="rId21"/>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4" name="图片 194" descr="塞拉唑20"/>
            <wp:cNvGraphicFramePr/>
            <a:graphic xmlns:a="http://schemas.openxmlformats.org/drawingml/2006/main">
              <a:graphicData uri="http://schemas.openxmlformats.org/drawingml/2006/picture">
                <pic:pic xmlns:pic="http://schemas.openxmlformats.org/drawingml/2006/picture">
                  <pic:nvPicPr>
                    <pic:cNvPr id="194" name="图片 194" descr="塞拉唑20"/>
                    <pic:cNvPicPr/>
                  </pic:nvPicPr>
                  <pic:blipFill>
                    <a:blip r:embed="rId22"/>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5" name="图片 195" descr="达克罗宁21"/>
            <wp:cNvGraphicFramePr/>
            <a:graphic xmlns:a="http://schemas.openxmlformats.org/drawingml/2006/main">
              <a:graphicData uri="http://schemas.openxmlformats.org/drawingml/2006/picture">
                <pic:pic xmlns:pic="http://schemas.openxmlformats.org/drawingml/2006/picture">
                  <pic:nvPicPr>
                    <pic:cNvPr id="195" name="图片 195" descr="达克罗宁21"/>
                    <pic:cNvPicPr/>
                  </pic:nvPicPr>
                  <pic:blipFill>
                    <a:blip r:embed="rId23"/>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6" name="图片 196" descr="辛可卡因22"/>
            <wp:cNvGraphicFramePr/>
            <a:graphic xmlns:a="http://schemas.openxmlformats.org/drawingml/2006/main">
              <a:graphicData uri="http://schemas.openxmlformats.org/drawingml/2006/picture">
                <pic:pic xmlns:pic="http://schemas.openxmlformats.org/drawingml/2006/picture">
                  <pic:nvPicPr>
                    <pic:cNvPr id="196" name="图片 196" descr="辛可卡因22"/>
                    <pic:cNvPicPr/>
                  </pic:nvPicPr>
                  <pic:blipFill>
                    <a:blip r:embed="rId24"/>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7" name="图片 197" descr="苯佐卡因18"/>
            <wp:cNvGraphicFramePr/>
            <a:graphic xmlns:a="http://schemas.openxmlformats.org/drawingml/2006/main">
              <a:graphicData uri="http://schemas.openxmlformats.org/drawingml/2006/picture">
                <pic:pic xmlns:pic="http://schemas.openxmlformats.org/drawingml/2006/picture">
                  <pic:nvPicPr>
                    <pic:cNvPr id="197" name="图片 197" descr="苯佐卡因18"/>
                    <pic:cNvPicPr/>
                  </pic:nvPicPr>
                  <pic:blipFill>
                    <a:blip r:embed="rId25"/>
                    <a:stretch>
                      <a:fillRect/>
                    </a:stretch>
                  </pic:blipFill>
                  <pic:spPr>
                    <a:xfrm>
                      <a:off x="0" y="0"/>
                      <a:ext cx="2606675" cy="1889760"/>
                    </a:xfrm>
                    <a:prstGeom prst="rect">
                      <a:avLst/>
                    </a:prstGeom>
                  </pic:spPr>
                </pic:pic>
              </a:graphicData>
            </a:graphic>
          </wp:inline>
        </w:drawing>
      </w:r>
      <w:r>
        <w:rPr>
          <w:rFonts w:eastAsia="黑体"/>
          <w:color w:val="000000" w:themeColor="text1"/>
          <w:kern w:val="0"/>
          <w:szCs w:val="21"/>
          <w14:textFill>
            <w14:solidFill>
              <w14:schemeClr w14:val="tx1"/>
            </w14:solidFill>
          </w14:textFill>
        </w:rPr>
        <w:drawing>
          <wp:inline distT="0" distB="0" distL="114300" distR="114300">
            <wp:extent cx="2606675" cy="1889760"/>
            <wp:effectExtent l="0" t="0" r="0" b="15240"/>
            <wp:docPr id="198" name="图片 198" descr="奎尼卡因23"/>
            <wp:cNvGraphicFramePr/>
            <a:graphic xmlns:a="http://schemas.openxmlformats.org/drawingml/2006/main">
              <a:graphicData uri="http://schemas.openxmlformats.org/drawingml/2006/picture">
                <pic:pic xmlns:pic="http://schemas.openxmlformats.org/drawingml/2006/picture">
                  <pic:nvPicPr>
                    <pic:cNvPr id="198" name="图片 198" descr="奎尼卡因23"/>
                    <pic:cNvPicPr/>
                  </pic:nvPicPr>
                  <pic:blipFill>
                    <a:blip r:embed="rId26"/>
                    <a:stretch>
                      <a:fillRect/>
                    </a:stretch>
                  </pic:blipFill>
                  <pic:spPr>
                    <a:xfrm>
                      <a:off x="0" y="0"/>
                      <a:ext cx="2606675" cy="1889760"/>
                    </a:xfrm>
                    <a:prstGeom prst="rect">
                      <a:avLst/>
                    </a:prstGeom>
                  </pic:spPr>
                </pic:pic>
              </a:graphicData>
            </a:graphic>
          </wp:inline>
        </w:drawing>
      </w:r>
    </w:p>
    <w:p>
      <w:pPr>
        <w:spacing w:before="156" w:beforeLines="50" w:after="156" w:afterLines="50" w:line="300" w:lineRule="auto"/>
        <w:jc w:val="center"/>
        <w:rPr>
          <w:rFonts w:ascii="黑体" w:hAnsi="黑体" w:eastAsia="黑体" w:cs="黑体"/>
          <w:szCs w:val="21"/>
        </w:rPr>
      </w:pPr>
      <w:r>
        <w:rPr>
          <w:rFonts w:hint="eastAsia" w:ascii="黑体" w:hAnsi="黑体" w:eastAsia="黑体" w:cs="黑体"/>
          <w:szCs w:val="21"/>
        </w:rPr>
        <w:t>图</w:t>
      </w:r>
      <w:r>
        <w:rPr>
          <w:rFonts w:ascii="Times New Roman" w:hAnsi="Times New Roman" w:eastAsia="黑体" w:cs="Times New Roman"/>
          <w:szCs w:val="21"/>
        </w:rPr>
        <w:t>1</w:t>
      </w:r>
      <w:r>
        <w:rPr>
          <w:rFonts w:hint="eastAsia" w:ascii="黑体" w:hAnsi="黑体" w:eastAsia="黑体" w:cs="黑体"/>
          <w:szCs w:val="21"/>
        </w:rPr>
        <w:t xml:space="preserve"> 混合标准溶液</w:t>
      </w:r>
      <w:r>
        <w:rPr>
          <w:rFonts w:ascii="Times New Roman" w:hAnsi="Times New Roman" w:eastAsia="黑体" w:cs="Times New Roman"/>
          <w:szCs w:val="21"/>
        </w:rPr>
        <w:t>HPLC-MS/MS</w:t>
      </w:r>
      <w:r>
        <w:rPr>
          <w:rFonts w:hint="eastAsia" w:ascii="黑体" w:hAnsi="黑体" w:eastAsia="黑体" w:cs="黑体"/>
          <w:szCs w:val="21"/>
        </w:rPr>
        <w:t>色谱图</w:t>
      </w:r>
    </w:p>
    <w:p>
      <w:pPr>
        <w:spacing w:line="300" w:lineRule="auto"/>
        <w:rPr>
          <w:rFonts w:ascii="Times New Roman" w:hAnsi="Times New Roman" w:eastAsia="宋体" w:cs="Times New Roman"/>
          <w:szCs w:val="21"/>
        </w:rPr>
      </w:pPr>
      <w:r>
        <w:rPr>
          <w:rFonts w:ascii="Times New Roman" w:hAnsi="Times New Roman" w:eastAsia="宋体" w:cs="Times New Roman"/>
          <w:szCs w:val="21"/>
        </w:rPr>
        <w:t>1.普鲁卡因胺（1.24 min）；2.普鲁卡因（2.68 min）；3.氯普鲁卡因（4.32 min）；4.利多卡因（5.39 min）；5.甲哌卡因（5.92 min）；6.丙胺卡因（5.95 min）；7.可卡因（6.74 min）；8.丙美卡因（6.92 min）；9.罗哌卡因（6.97 min）；10.哌罗卡因（7.00 min）；11.地佐辛（7.05 min）；12.二丁氨卡因（7.19 min）；13.丁吡卡因（7.53 min）；14.丁氧卡因（7.58 min）；15.丁卡因（7.76 min）；16.咪达唑仑（8.01 min）；17.三卡因（8.05 min）；18.普莫卡因（8.10 min）；19.赛拉唑（8.14 min）；20.达克罗宁（8.24 min）；21.辛可卡因（8.53 min）；22.苯佐卡因（8.62 min）；23.奎尼卡因（8.79 min）。</w:t>
      </w:r>
    </w:p>
    <w:p>
      <w:pPr>
        <w:spacing w:line="300" w:lineRule="auto"/>
        <w:jc w:val="left"/>
        <w:rPr>
          <w:rFonts w:eastAsia="黑体"/>
          <w:szCs w:val="21"/>
        </w:rPr>
      </w:pPr>
      <w:r>
        <w:rPr>
          <w:rFonts w:eastAsia="黑体"/>
          <w:szCs w:val="21"/>
        </w:rPr>
        <w:br w:type="page"/>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附录A</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（资料性附录）</w:t>
      </w:r>
    </w:p>
    <w:p>
      <w:pPr>
        <w:spacing w:before="156" w:beforeLines="50" w:after="156" w:afterLines="50" w:line="300" w:lineRule="auto"/>
        <w:jc w:val="center"/>
        <w:rPr>
          <w:rFonts w:ascii="Times New Roman" w:hAnsi="Times New Roman" w:eastAsia="黑体" w:cs="Times New Roman"/>
          <w:szCs w:val="21"/>
        </w:rPr>
      </w:pPr>
      <w:r>
        <w:rPr>
          <w:rFonts w:ascii="Times New Roman" w:hAnsi="Times New Roman" w:eastAsia="黑体" w:cs="Times New Roman"/>
          <w:szCs w:val="21"/>
        </w:rPr>
        <w:t>普鲁卡因胺等23种原料标准品信息表</w:t>
      </w:r>
    </w:p>
    <w:tbl>
      <w:tblPr>
        <w:tblStyle w:val="7"/>
        <w:tblW w:w="10772" w:type="dxa"/>
        <w:jc w:val="center"/>
        <w:tblLayout w:type="fixed"/>
        <w:tblCellMar>
          <w:top w:w="0" w:type="dxa"/>
          <w:left w:w="108" w:type="dxa"/>
          <w:bottom w:w="0" w:type="dxa"/>
          <w:right w:w="108" w:type="dxa"/>
        </w:tblCellMar>
      </w:tblPr>
      <w:tblGrid>
        <w:gridCol w:w="661"/>
        <w:gridCol w:w="1827"/>
        <w:gridCol w:w="3214"/>
        <w:gridCol w:w="1462"/>
        <w:gridCol w:w="2000"/>
        <w:gridCol w:w="1608"/>
      </w:tblGrid>
      <w:tr>
        <w:tblPrEx>
          <w:tblCellMar>
            <w:top w:w="0" w:type="dxa"/>
            <w:left w:w="108" w:type="dxa"/>
            <w:bottom w:w="0" w:type="dxa"/>
            <w:right w:w="108" w:type="dxa"/>
          </w:tblCellMar>
        </w:tblPrEx>
        <w:trPr>
          <w:trHeight w:val="23" w:hRule="atLeast"/>
          <w:tblHeader/>
          <w:jc w:val="center"/>
        </w:trPr>
        <w:tc>
          <w:tcPr>
            <w:tcW w:w="642" w:type="dxa"/>
            <w:tcBorders>
              <w:top w:val="single" w:color="000000" w:sz="4" w:space="0"/>
              <w:left w:val="nil"/>
              <w:bottom w:val="single" w:color="000000" w:sz="4" w:space="0"/>
              <w:right w:val="nil"/>
              <w:tl2br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序号</w:t>
            </w:r>
          </w:p>
        </w:tc>
        <w:tc>
          <w:tcPr>
            <w:tcW w:w="1772" w:type="dxa"/>
            <w:tcBorders>
              <w:top w:val="single" w:color="000000" w:sz="4" w:space="0"/>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中文名称</w:t>
            </w:r>
          </w:p>
        </w:tc>
        <w:tc>
          <w:tcPr>
            <w:tcW w:w="3118" w:type="dxa"/>
            <w:tcBorders>
              <w:top w:val="single" w:color="000000" w:sz="4" w:space="0"/>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英文名称</w:t>
            </w:r>
          </w:p>
        </w:tc>
        <w:tc>
          <w:tcPr>
            <w:tcW w:w="1418" w:type="dxa"/>
            <w:tcBorders>
              <w:top w:val="single" w:color="000000" w:sz="4" w:space="0"/>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CAS号</w:t>
            </w:r>
          </w:p>
        </w:tc>
        <w:tc>
          <w:tcPr>
            <w:tcW w:w="1940" w:type="dxa"/>
            <w:tcBorders>
              <w:top w:val="single" w:color="000000" w:sz="4" w:space="0"/>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化学式</w:t>
            </w:r>
          </w:p>
        </w:tc>
        <w:tc>
          <w:tcPr>
            <w:tcW w:w="1560" w:type="dxa"/>
            <w:tcBorders>
              <w:top w:val="single" w:color="000000" w:sz="4" w:space="0"/>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相对分子质量</w:t>
            </w:r>
          </w:p>
        </w:tc>
      </w:tr>
      <w:tr>
        <w:tblPrEx>
          <w:tblCellMar>
            <w:top w:w="0" w:type="dxa"/>
            <w:left w:w="108" w:type="dxa"/>
            <w:bottom w:w="0" w:type="dxa"/>
            <w:right w:w="108" w:type="dxa"/>
          </w:tblCellMar>
        </w:tblPrEx>
        <w:trPr>
          <w:trHeight w:val="23" w:hRule="atLeast"/>
          <w:jc w:val="center"/>
        </w:trPr>
        <w:tc>
          <w:tcPr>
            <w:tcW w:w="642"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w:t>
            </w:r>
          </w:p>
        </w:tc>
        <w:tc>
          <w:tcPr>
            <w:tcW w:w="1772"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普鲁卡因胺</w:t>
            </w:r>
          </w:p>
        </w:tc>
        <w:tc>
          <w:tcPr>
            <w:tcW w:w="3118"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Procainamide</w:t>
            </w:r>
          </w:p>
        </w:tc>
        <w:tc>
          <w:tcPr>
            <w:tcW w:w="1418"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51-06-9</w:t>
            </w:r>
          </w:p>
        </w:tc>
        <w:tc>
          <w:tcPr>
            <w:tcW w:w="1940"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21</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O</w:t>
            </w:r>
          </w:p>
        </w:tc>
        <w:tc>
          <w:tcPr>
            <w:tcW w:w="1560" w:type="dxa"/>
            <w:tcBorders>
              <w:top w:val="single" w:color="000000" w:sz="4" w:space="0"/>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235.33</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普鲁卡因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Procaine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59-46-1</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20</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2</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236.31</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盐酸氯普鲁卡因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Chloroprocaine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3858-89-7</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19</w:t>
            </w:r>
            <w:r>
              <w:rPr>
                <w:rFonts w:ascii="Times New Roman" w:hAnsi="Times New Roman" w:eastAsia="宋体" w:cs="Times New Roman"/>
                <w:color w:val="000000"/>
                <w:szCs w:val="21"/>
              </w:rPr>
              <w:t>ClN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307.22（270.11）</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4</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利多卡因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Lidocaine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137-58-6</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14</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22</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234.34</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盐酸甲哌卡因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Mepivacaine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1722-62-9</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15</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22</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282.81（246.17）</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丙胺卡因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Prilocaine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721-50-6</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20</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220.31</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7</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可卡因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50-36-2</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17</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21</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4</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303.35</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盐酸丙美卡因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Proxymetacaine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5875-06-9</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16</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26</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330.85（294.19）</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罗哌卡因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Ropivacaine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84057-95-4</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17</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26</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274.40</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10</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盐酸哌罗卡因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Piperocaine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24561-10-2</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16</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23</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297.82（261.17）</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11</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地佐辛</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Dezocine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53648-55-8</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16</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23</w:t>
            </w:r>
            <w:r>
              <w:rPr>
                <w:rFonts w:ascii="Times New Roman" w:hAnsi="Times New Roman" w:eastAsia="宋体" w:cs="Times New Roman"/>
                <w:color w:val="000000"/>
                <w:szCs w:val="21"/>
              </w:rPr>
              <w:t>NO</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245.36</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二丁氨卡因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Butacaine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149-16-6</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18</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30</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2</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306.44</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13</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丁吡卡因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Bupivacaine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2180-92-9</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18</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28</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288.42</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14</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丁氧卡因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Oxybuprocaine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99-43-4</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17</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28</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3</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308.42</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15</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丁卡因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Tetracaine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94-24-6</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15</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24</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2</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264.36</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16</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咪达唑仑</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Midazolam</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59467-70-8</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18</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13</w:t>
            </w:r>
            <w:r>
              <w:rPr>
                <w:rFonts w:ascii="Times New Roman" w:hAnsi="Times New Roman" w:eastAsia="宋体" w:cs="Times New Roman"/>
                <w:color w:val="000000"/>
                <w:szCs w:val="21"/>
              </w:rPr>
              <w:t>ClFN</w:t>
            </w:r>
            <w:r>
              <w:rPr>
                <w:rFonts w:ascii="Times New Roman" w:hAnsi="Times New Roman" w:eastAsia="宋体" w:cs="Times New Roman"/>
                <w:color w:val="000000"/>
                <w:szCs w:val="21"/>
                <w:vertAlign w:val="subscript"/>
              </w:rPr>
              <w:t>3</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325.77</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17</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三卡因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Tricaine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886-86-2</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9</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11</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·CH</w:t>
            </w:r>
            <w:r>
              <w:rPr>
                <w:rFonts w:ascii="Times New Roman" w:hAnsi="Times New Roman" w:eastAsia="宋体" w:cs="Times New Roman"/>
                <w:color w:val="000000"/>
                <w:szCs w:val="21"/>
                <w:vertAlign w:val="subscript"/>
              </w:rPr>
              <w:t>4</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S</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261.29（165.08）</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18</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盐酸普莫卡因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Pramoxine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637-58-1</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17</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27</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329.86（293.20）</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19</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盐酸赛拉唑</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Xylazole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123941-49-1</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11</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12</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S·HCl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240.75（204.07）</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20</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盐酸达克罗宁</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Dyclonine Hydrochloride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536-43-6</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18</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27</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·HCl</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325.87（289.20）</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21</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辛可卡因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Cinchocaine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85-79-0</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20</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29</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3</w:t>
            </w:r>
            <w:r>
              <w:rPr>
                <w:rFonts w:ascii="Times New Roman" w:hAnsi="Times New Roman" w:eastAsia="宋体" w:cs="Times New Roman"/>
                <w:color w:val="000000"/>
                <w:szCs w:val="21"/>
              </w:rPr>
              <w:t>O</w:t>
            </w:r>
            <w:r>
              <w:rPr>
                <w:rFonts w:ascii="Times New Roman" w:hAnsi="Times New Roman" w:eastAsia="宋体" w:cs="Times New Roman"/>
                <w:color w:val="000000"/>
                <w:szCs w:val="21"/>
                <w:vertAlign w:val="subscript"/>
              </w:rPr>
              <w:t>2</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343.46</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22</w:t>
            </w:r>
          </w:p>
        </w:tc>
        <w:tc>
          <w:tcPr>
            <w:tcW w:w="1772"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苯佐卡因</w:t>
            </w:r>
          </w:p>
        </w:tc>
        <w:tc>
          <w:tcPr>
            <w:tcW w:w="31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Benzocaine</w:t>
            </w:r>
          </w:p>
        </w:tc>
        <w:tc>
          <w:tcPr>
            <w:tcW w:w="1418"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94-09-7</w:t>
            </w:r>
          </w:p>
        </w:tc>
        <w:tc>
          <w:tcPr>
            <w:tcW w:w="194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9</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11</w:t>
            </w:r>
            <w:r>
              <w:rPr>
                <w:rFonts w:ascii="Times New Roman" w:hAnsi="Times New Roman" w:eastAsia="宋体" w:cs="Times New Roman"/>
                <w:color w:val="000000"/>
                <w:szCs w:val="21"/>
              </w:rPr>
              <w:t>NO</w:t>
            </w:r>
            <w:r>
              <w:rPr>
                <w:rFonts w:ascii="Times New Roman" w:hAnsi="Times New Roman" w:eastAsia="宋体" w:cs="Times New Roman"/>
                <w:color w:val="000000"/>
                <w:szCs w:val="21"/>
                <w:vertAlign w:val="subscript"/>
              </w:rPr>
              <w:t>2</w:t>
            </w:r>
          </w:p>
        </w:tc>
        <w:tc>
          <w:tcPr>
            <w:tcW w:w="1560" w:type="dxa"/>
            <w:tcBorders>
              <w:top w:val="nil"/>
              <w:left w:val="nil"/>
              <w:bottom w:val="nil"/>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165.19</w:t>
            </w:r>
          </w:p>
        </w:tc>
      </w:tr>
      <w:tr>
        <w:tblPrEx>
          <w:tblCellMar>
            <w:top w:w="0" w:type="dxa"/>
            <w:left w:w="108" w:type="dxa"/>
            <w:bottom w:w="0" w:type="dxa"/>
            <w:right w:w="108" w:type="dxa"/>
          </w:tblCellMar>
        </w:tblPrEx>
        <w:trPr>
          <w:trHeight w:val="23" w:hRule="atLeast"/>
          <w:jc w:val="center"/>
        </w:trPr>
        <w:tc>
          <w:tcPr>
            <w:tcW w:w="642"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23</w:t>
            </w:r>
          </w:p>
        </w:tc>
        <w:tc>
          <w:tcPr>
            <w:tcW w:w="1772"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盐酸奎尼卡因</w:t>
            </w:r>
          </w:p>
        </w:tc>
        <w:tc>
          <w:tcPr>
            <w:tcW w:w="3118"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Quinisocaine Hydrochloride</w:t>
            </w:r>
          </w:p>
        </w:tc>
        <w:tc>
          <w:tcPr>
            <w:tcW w:w="1418"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2773-92-4</w:t>
            </w:r>
          </w:p>
        </w:tc>
        <w:tc>
          <w:tcPr>
            <w:tcW w:w="1940"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C</w:t>
            </w:r>
            <w:r>
              <w:rPr>
                <w:rFonts w:ascii="Times New Roman" w:hAnsi="Times New Roman" w:eastAsia="宋体" w:cs="Times New Roman"/>
                <w:color w:val="000000"/>
                <w:szCs w:val="21"/>
                <w:vertAlign w:val="subscript"/>
              </w:rPr>
              <w:t>17</w:t>
            </w:r>
            <w:r>
              <w:rPr>
                <w:rFonts w:ascii="Times New Roman" w:hAnsi="Times New Roman" w:eastAsia="宋体" w:cs="Times New Roman"/>
                <w:color w:val="000000"/>
                <w:szCs w:val="21"/>
              </w:rPr>
              <w:t>H</w:t>
            </w:r>
            <w:r>
              <w:rPr>
                <w:rFonts w:ascii="Times New Roman" w:hAnsi="Times New Roman" w:eastAsia="宋体" w:cs="Times New Roman"/>
                <w:color w:val="000000"/>
                <w:szCs w:val="21"/>
                <w:vertAlign w:val="subscript"/>
              </w:rPr>
              <w:t>24</w:t>
            </w:r>
            <w:r>
              <w:rPr>
                <w:rFonts w:ascii="Times New Roman" w:hAnsi="Times New Roman" w:eastAsia="宋体" w:cs="Times New Roman"/>
                <w:color w:val="000000"/>
                <w:szCs w:val="21"/>
              </w:rPr>
              <w:t>N</w:t>
            </w:r>
            <w:r>
              <w:rPr>
                <w:rFonts w:ascii="Times New Roman" w:hAnsi="Times New Roman" w:eastAsia="宋体" w:cs="Times New Roman"/>
                <w:color w:val="000000"/>
                <w:szCs w:val="21"/>
                <w:vertAlign w:val="subscript"/>
              </w:rPr>
              <w:t>2</w:t>
            </w:r>
            <w:r>
              <w:rPr>
                <w:rFonts w:ascii="Times New Roman" w:hAnsi="Times New Roman" w:eastAsia="宋体" w:cs="Times New Roman"/>
                <w:color w:val="000000"/>
                <w:szCs w:val="21"/>
              </w:rPr>
              <w:t>O·HCl</w:t>
            </w:r>
          </w:p>
        </w:tc>
        <w:tc>
          <w:tcPr>
            <w:tcW w:w="1560" w:type="dxa"/>
            <w:tcBorders>
              <w:top w:val="nil"/>
              <w:left w:val="nil"/>
              <w:bottom w:val="single" w:color="000000" w:sz="4" w:space="0"/>
              <w:right w:val="nil"/>
            </w:tcBorders>
            <w:shd w:val="clear" w:color="auto" w:fill="FFFFFF"/>
            <w:vAlign w:val="center"/>
          </w:tcPr>
          <w:p>
            <w:pPr>
              <w:spacing w:line="300" w:lineRule="auto"/>
              <w:jc w:val="center"/>
              <w:rPr>
                <w:rFonts w:ascii="Times New Roman" w:hAnsi="Times New Roman" w:eastAsia="宋体" w:cs="Times New Roman"/>
                <w:color w:val="000000"/>
                <w:szCs w:val="21"/>
              </w:rPr>
            </w:pPr>
            <w:r>
              <w:rPr>
                <w:rFonts w:ascii="Times New Roman" w:hAnsi="Times New Roman" w:eastAsia="宋体" w:cs="Times New Roman"/>
                <w:color w:val="000000"/>
                <w:szCs w:val="21"/>
              </w:rPr>
              <w:t>308.85（272.19）</w:t>
            </w:r>
          </w:p>
        </w:tc>
      </w:tr>
    </w:tbl>
    <w:p>
      <w:pPr>
        <w:adjustRightInd w:val="0"/>
        <w:spacing w:line="300" w:lineRule="auto"/>
        <w:ind w:firstLine="420" w:firstLineChars="200"/>
        <w:jc w:val="left"/>
        <w:rPr>
          <w:rFonts w:ascii="Times New Roman" w:hAnsi="Times New Roman" w:eastAsia="宋体" w:cs="Times New Roman"/>
          <w:color w:val="000000"/>
          <w:kern w:val="0"/>
          <w:szCs w:val="21"/>
          <w:lang w:val="zh-CN"/>
        </w:rPr>
      </w:pPr>
      <w:r>
        <w:rPr>
          <w:rFonts w:ascii="Times New Roman" w:hAnsi="Times New Roman" w:eastAsia="宋体" w:cs="Times New Roman"/>
          <w:color w:val="000000"/>
          <w:kern w:val="0"/>
          <w:szCs w:val="21"/>
        </w:rPr>
        <w:t>注：括号内为目标成分分子量；实际标准品可能以盐类、水合物等形式提供，需根据</w:t>
      </w:r>
      <w:r>
        <w:rPr>
          <w:rFonts w:hint="eastAsia" w:ascii="Times New Roman" w:hAnsi="Times New Roman" w:eastAsia="宋体" w:cs="Times New Roman"/>
          <w:color w:val="000000"/>
          <w:kern w:val="0"/>
          <w:szCs w:val="21"/>
        </w:rPr>
        <w:t>实际标准品</w:t>
      </w:r>
      <w:r>
        <w:rPr>
          <w:rFonts w:ascii="Times New Roman" w:hAnsi="Times New Roman" w:eastAsia="宋体" w:cs="Times New Roman"/>
          <w:color w:val="000000"/>
          <w:kern w:val="0"/>
          <w:szCs w:val="21"/>
        </w:rPr>
        <w:t>信息（纯度、分子量）折算至目标成分含量。</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mbria Math">
    <w:altName w:val="DejaVu Math TeX Gyre"/>
    <w:panose1 w:val="02040503050406030204"/>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B206E9"/>
    <w:rsid w:val="000E56AE"/>
    <w:rsid w:val="00157C8B"/>
    <w:rsid w:val="00190F07"/>
    <w:rsid w:val="002B5D59"/>
    <w:rsid w:val="00521199"/>
    <w:rsid w:val="00521AC7"/>
    <w:rsid w:val="00540F43"/>
    <w:rsid w:val="008730A5"/>
    <w:rsid w:val="008F4376"/>
    <w:rsid w:val="00A324E4"/>
    <w:rsid w:val="00BB2E6D"/>
    <w:rsid w:val="00C2363D"/>
    <w:rsid w:val="00CE1524"/>
    <w:rsid w:val="00E71F44"/>
    <w:rsid w:val="0A9B5A30"/>
    <w:rsid w:val="0BEF3AFE"/>
    <w:rsid w:val="164B4D9F"/>
    <w:rsid w:val="1EA1342F"/>
    <w:rsid w:val="35BC5F98"/>
    <w:rsid w:val="4E432A58"/>
    <w:rsid w:val="53401BEE"/>
    <w:rsid w:val="56C064EC"/>
    <w:rsid w:val="59CA1580"/>
    <w:rsid w:val="5ADD7CDF"/>
    <w:rsid w:val="62E363CB"/>
    <w:rsid w:val="76B206E9"/>
    <w:rsid w:val="79DA3C18"/>
    <w:rsid w:val="AE7252DA"/>
    <w:rsid w:val="B38A3E0F"/>
    <w:rsid w:val="FF3BC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semiHidden/>
    <w:unhideWhenUsed/>
    <w:qFormat/>
    <w:uiPriority w:val="9"/>
    <w:pPr>
      <w:keepNext/>
      <w:keepLines/>
      <w:spacing w:before="20" w:after="20"/>
      <w:jc w:val="left"/>
      <w:outlineLvl w:val="2"/>
    </w:pPr>
    <w:rPr>
      <w:rFonts w:ascii="Times New Roman" w:hAnsi="Times New Roman" w:eastAsia="宋体"/>
      <w:b/>
      <w:bCs/>
      <w:sz w:val="20"/>
      <w:szCs w:val="32"/>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qFormat/>
    <w:uiPriority w:val="99"/>
    <w:pPr>
      <w:autoSpaceDE w:val="0"/>
      <w:autoSpaceDN w:val="0"/>
      <w:spacing w:beforeLines="50" w:afterLines="50" w:line="300" w:lineRule="auto"/>
    </w:pPr>
    <w:rPr>
      <w:rFonts w:ascii="宋体" w:hAnsi="宋体" w:eastAsia="宋体" w:cs="宋体"/>
      <w:kern w:val="0"/>
      <w:szCs w:val="21"/>
      <w:lang w:val="zh-CN" w:bidi="zh-CN"/>
    </w:rPr>
  </w:style>
  <w:style w:type="paragraph" w:styleId="4">
    <w:name w:val="Balloon Text"/>
    <w:basedOn w:val="1"/>
    <w:link w:val="10"/>
    <w:uiPriority w:val="0"/>
    <w:rPr>
      <w:sz w:val="18"/>
      <w:szCs w:val="18"/>
    </w:rPr>
  </w:style>
  <w:style w:type="paragraph" w:styleId="5">
    <w:name w:val="footer"/>
    <w:basedOn w:val="1"/>
    <w:link w:val="12"/>
    <w:uiPriority w:val="0"/>
    <w:pPr>
      <w:tabs>
        <w:tab w:val="center" w:pos="4153"/>
        <w:tab w:val="right" w:pos="8306"/>
      </w:tabs>
      <w:snapToGrid w:val="0"/>
      <w:jc w:val="left"/>
    </w:pPr>
    <w:rPr>
      <w:sz w:val="18"/>
      <w:szCs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basedOn w:val="9"/>
    <w:link w:val="4"/>
    <w:uiPriority w:val="0"/>
    <w:rPr>
      <w:rFonts w:asciiTheme="minorHAnsi" w:hAnsiTheme="minorHAnsi" w:eastAsiaTheme="minorEastAsia" w:cstheme="minorBidi"/>
      <w:kern w:val="2"/>
      <w:sz w:val="18"/>
      <w:szCs w:val="18"/>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7" Type="http://schemas.openxmlformats.org/officeDocument/2006/relationships/fontTable" Target="fontTable.xml"/><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1036</Words>
  <Characters>5909</Characters>
  <Lines>49</Lines>
  <Paragraphs>13</Paragraphs>
  <TotalTime>1</TotalTime>
  <ScaleCrop>false</ScaleCrop>
  <LinksUpToDate>false</LinksUpToDate>
  <CharactersWithSpaces>6932</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2025-12-08T14:43:00Z</dcterms:created>
  <dc:creator>周智明</dc:creator>
  <cp:lastModifiedBy>lisc</cp:lastModifiedBy>
  <dcterms:modified xsi:type="dcterms:W3CDTF">2025-12-29T20:20:15Z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33C3AB3D4C4E4CFA91937B815D4EAC0D_13</vt:lpwstr>
  </property>
  <property fmtid="{D5CDD505-2E9C-101B-9397-08002B2CF9AE}" pid="4" name="KSOTemplateDocerSaveRecord">
    <vt:lpwstr>eyJoZGlkIjoiZDI4ZDRiZmU2NmUyZDZmNDI5NDVmOTQ0ZGFkNWMyNTMiLCJ1c2VySWQiOiIxMTM5MTgzMDQ0In0=</vt:lpwstr>
  </property>
</Properties>
</file>