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73F8" w:rsidRPr="00651EC7" w:rsidRDefault="00983546" w:rsidP="005D73F8">
      <w:pPr>
        <w:spacing w:beforeLines="100" w:before="312" w:afterLines="100" w:after="312"/>
        <w:jc w:val="center"/>
        <w:rPr>
          <w:rFonts w:ascii="方正小标宋简体" w:eastAsia="方正小标宋简体" w:hAnsi="Times New Roman" w:cs="Times New Roman"/>
          <w:sz w:val="36"/>
          <w:szCs w:val="36"/>
        </w:rPr>
      </w:pPr>
      <w:r w:rsidRPr="00983546">
        <w:rPr>
          <w:rFonts w:ascii="方正小标宋简体" w:eastAsia="方正小标宋简体" w:hAnsi="Times New Roman" w:cs="Times New Roman" w:hint="eastAsia"/>
          <w:sz w:val="36"/>
          <w:szCs w:val="36"/>
        </w:rPr>
        <w:t>《地拉罗司分散片生物等效性研究技术指导原则（征求意见稿）》</w:t>
      </w:r>
      <w:r w:rsidR="005D73F8" w:rsidRPr="00651EC7">
        <w:rPr>
          <w:rFonts w:ascii="方正小标宋简体" w:eastAsia="方正小标宋简体" w:hAnsi="Times New Roman" w:cs="Times New Roman" w:hint="eastAsia"/>
          <w:sz w:val="36"/>
          <w:szCs w:val="36"/>
        </w:rPr>
        <w:t>起草说明</w:t>
      </w:r>
    </w:p>
    <w:p w:rsidR="005D73F8" w:rsidRPr="00651EC7" w:rsidRDefault="005D73F8" w:rsidP="005D73F8">
      <w:pPr>
        <w:adjustRightInd w:val="0"/>
        <w:snapToGrid w:val="0"/>
        <w:spacing w:line="360" w:lineRule="auto"/>
        <w:ind w:firstLineChars="200" w:firstLine="640"/>
        <w:rPr>
          <w:rFonts w:ascii="Times New Roman" w:eastAsia="仿宋_GB2312" w:hAnsi="Times New Roman" w:cs="Times New Roman"/>
          <w:color w:val="000000"/>
          <w:sz w:val="32"/>
          <w:szCs w:val="32"/>
        </w:rPr>
      </w:pPr>
      <w:r w:rsidRPr="00651EC7">
        <w:rPr>
          <w:rFonts w:ascii="Times New Roman" w:eastAsia="仿宋_GB2312" w:hAnsi="Times New Roman" w:cs="Times New Roman" w:hint="eastAsia"/>
          <w:color w:val="000000"/>
          <w:sz w:val="32"/>
          <w:szCs w:val="32"/>
        </w:rPr>
        <w:t>为进一步规范</w:t>
      </w:r>
      <w:r w:rsidR="008F75AD" w:rsidRPr="008F75AD">
        <w:rPr>
          <w:rFonts w:ascii="Times New Roman" w:eastAsia="仿宋_GB2312" w:hAnsi="Times New Roman" w:cs="Times New Roman" w:hint="eastAsia"/>
          <w:color w:val="000000"/>
          <w:sz w:val="32"/>
          <w:szCs w:val="32"/>
        </w:rPr>
        <w:t>地拉罗司分散片</w:t>
      </w:r>
      <w:r w:rsidRPr="00651EC7">
        <w:rPr>
          <w:rFonts w:ascii="Times New Roman" w:eastAsia="仿宋_GB2312" w:hAnsi="Times New Roman" w:cs="Times New Roman" w:hint="eastAsia"/>
          <w:color w:val="000000"/>
          <w:sz w:val="32"/>
          <w:szCs w:val="32"/>
        </w:rPr>
        <w:t>生物等效性研究，药品审评中心组织起草了《</w:t>
      </w:r>
      <w:r w:rsidR="00983546" w:rsidRPr="00983546">
        <w:rPr>
          <w:rFonts w:ascii="Times New Roman" w:eastAsia="仿宋_GB2312" w:hAnsi="Times New Roman" w:cs="Times New Roman" w:hint="eastAsia"/>
          <w:color w:val="000000"/>
          <w:sz w:val="32"/>
          <w:szCs w:val="32"/>
        </w:rPr>
        <w:t>地拉罗司分散片生物等效性研究技术指导原则</w:t>
      </w:r>
      <w:r w:rsidRPr="00651EC7">
        <w:rPr>
          <w:rFonts w:ascii="Times New Roman" w:eastAsia="仿宋_GB2312" w:hAnsi="Times New Roman" w:cs="Times New Roman" w:hint="eastAsia"/>
          <w:color w:val="000000"/>
          <w:sz w:val="32"/>
          <w:szCs w:val="32"/>
        </w:rPr>
        <w:t>》，经中心内部讨论并征求专家意见，形成征求意见稿。现将有关情况说明如下：</w:t>
      </w:r>
    </w:p>
    <w:p w:rsidR="005D73F8" w:rsidRPr="00651EC7" w:rsidRDefault="005D73F8" w:rsidP="005D73F8">
      <w:pPr>
        <w:jc w:val="left"/>
        <w:rPr>
          <w:rFonts w:ascii="黑体" w:eastAsia="黑体" w:hAnsi="黑体" w:cs="Times New Roman"/>
          <w:sz w:val="32"/>
          <w:szCs w:val="32"/>
        </w:rPr>
      </w:pPr>
      <w:r w:rsidRPr="00651EC7">
        <w:rPr>
          <w:rFonts w:ascii="黑体" w:eastAsia="黑体" w:hAnsi="黑体" w:cs="Times New Roman" w:hint="eastAsia"/>
          <w:sz w:val="32"/>
          <w:szCs w:val="32"/>
        </w:rPr>
        <w:t>一、背景和目的</w:t>
      </w:r>
    </w:p>
    <w:p w:rsidR="008F420D" w:rsidRDefault="008F420D" w:rsidP="00113978">
      <w:pPr>
        <w:autoSpaceDE w:val="0"/>
        <w:autoSpaceDN w:val="0"/>
        <w:adjustRightInd w:val="0"/>
        <w:spacing w:before="120" w:line="360" w:lineRule="auto"/>
        <w:ind w:left="108" w:right="108" w:firstLineChars="200" w:firstLine="640"/>
        <w:rPr>
          <w:rFonts w:ascii="Times New Roman" w:eastAsia="仿宋_GB2312" w:hAnsi="Times New Roman"/>
          <w:kern w:val="0"/>
          <w:sz w:val="32"/>
          <w:szCs w:val="24"/>
        </w:rPr>
      </w:pPr>
      <w:r w:rsidRPr="008F420D">
        <w:rPr>
          <w:rFonts w:ascii="Times New Roman" w:eastAsia="仿宋_GB2312" w:hAnsi="Times New Roman" w:hint="eastAsia"/>
          <w:kern w:val="0"/>
          <w:sz w:val="32"/>
          <w:szCs w:val="24"/>
        </w:rPr>
        <w:t>地拉罗司分散片（</w:t>
      </w:r>
      <w:r w:rsidRPr="008F420D">
        <w:rPr>
          <w:rFonts w:ascii="Times New Roman" w:eastAsia="仿宋_GB2312" w:hAnsi="Times New Roman"/>
          <w:kern w:val="0"/>
          <w:sz w:val="32"/>
          <w:szCs w:val="24"/>
        </w:rPr>
        <w:t>Deferasirox Dispersible Tablets</w:t>
      </w:r>
      <w:r w:rsidRPr="008F420D">
        <w:rPr>
          <w:rFonts w:ascii="Times New Roman" w:eastAsia="仿宋_GB2312" w:hAnsi="Times New Roman"/>
          <w:kern w:val="0"/>
          <w:sz w:val="32"/>
          <w:szCs w:val="24"/>
        </w:rPr>
        <w:t>）主要活性成份为地拉罗司。用于治疗年龄大于</w:t>
      </w:r>
      <w:r w:rsidRPr="008F420D">
        <w:rPr>
          <w:rFonts w:ascii="Times New Roman" w:eastAsia="仿宋_GB2312" w:hAnsi="Times New Roman"/>
          <w:kern w:val="0"/>
          <w:sz w:val="32"/>
          <w:szCs w:val="24"/>
        </w:rPr>
        <w:t>2</w:t>
      </w:r>
      <w:r w:rsidRPr="008F420D">
        <w:rPr>
          <w:rFonts w:ascii="Times New Roman" w:eastAsia="仿宋_GB2312" w:hAnsi="Times New Roman"/>
          <w:kern w:val="0"/>
          <w:sz w:val="32"/>
          <w:szCs w:val="24"/>
        </w:rPr>
        <w:t>岁的</w:t>
      </w:r>
      <w:r w:rsidRPr="008F420D">
        <w:rPr>
          <w:rFonts w:ascii="Times New Roman" w:eastAsia="仿宋_GB2312" w:hAnsi="Times New Roman"/>
          <w:kern w:val="0"/>
          <w:sz w:val="32"/>
          <w:szCs w:val="24"/>
        </w:rPr>
        <w:t>β-</w:t>
      </w:r>
      <w:r w:rsidRPr="008F420D">
        <w:rPr>
          <w:rFonts w:ascii="Times New Roman" w:eastAsia="仿宋_GB2312" w:hAnsi="Times New Roman"/>
          <w:kern w:val="0"/>
          <w:sz w:val="32"/>
          <w:szCs w:val="24"/>
        </w:rPr>
        <w:t>地中海贫血患者因频繁输血（每月浓缩红细胞的给予量</w:t>
      </w:r>
      <w:r w:rsidRPr="008F420D">
        <w:rPr>
          <w:rFonts w:ascii="Times New Roman" w:eastAsia="仿宋_GB2312" w:hAnsi="Times New Roman"/>
          <w:kern w:val="0"/>
          <w:sz w:val="32"/>
          <w:szCs w:val="24"/>
        </w:rPr>
        <w:t>≥7ml/kg</w:t>
      </w:r>
      <w:r w:rsidRPr="008F420D">
        <w:rPr>
          <w:rFonts w:ascii="Times New Roman" w:eastAsia="仿宋_GB2312" w:hAnsi="Times New Roman"/>
          <w:kern w:val="0"/>
          <w:sz w:val="32"/>
          <w:szCs w:val="24"/>
        </w:rPr>
        <w:t>）所致慢性铁过载，也用于治疗</w:t>
      </w:r>
      <w:r w:rsidRPr="008F420D">
        <w:rPr>
          <w:rFonts w:ascii="Times New Roman" w:eastAsia="仿宋_GB2312" w:hAnsi="Times New Roman"/>
          <w:kern w:val="0"/>
          <w:sz w:val="32"/>
          <w:szCs w:val="24"/>
        </w:rPr>
        <w:t>10</w:t>
      </w:r>
      <w:r w:rsidRPr="008F420D">
        <w:rPr>
          <w:rFonts w:ascii="Times New Roman" w:eastAsia="仿宋_GB2312" w:hAnsi="Times New Roman"/>
          <w:kern w:val="0"/>
          <w:sz w:val="32"/>
          <w:szCs w:val="24"/>
        </w:rPr>
        <w:t>岁及</w:t>
      </w:r>
      <w:r w:rsidRPr="008F420D">
        <w:rPr>
          <w:rFonts w:ascii="Times New Roman" w:eastAsia="仿宋_GB2312" w:hAnsi="Times New Roman"/>
          <w:kern w:val="0"/>
          <w:sz w:val="32"/>
          <w:szCs w:val="24"/>
        </w:rPr>
        <w:t>10</w:t>
      </w:r>
      <w:r w:rsidRPr="008F420D">
        <w:rPr>
          <w:rFonts w:ascii="Times New Roman" w:eastAsia="仿宋_GB2312" w:hAnsi="Times New Roman"/>
          <w:kern w:val="0"/>
          <w:sz w:val="32"/>
          <w:szCs w:val="24"/>
        </w:rPr>
        <w:t>岁以上非输血依赖性地中海贫血综合征患者的慢性铁过载。根据原研说明书，本品应当在进餐前至少</w:t>
      </w:r>
      <w:r w:rsidRPr="008F420D">
        <w:rPr>
          <w:rFonts w:ascii="Times New Roman" w:eastAsia="仿宋_GB2312" w:hAnsi="Times New Roman"/>
          <w:kern w:val="0"/>
          <w:sz w:val="32"/>
          <w:szCs w:val="24"/>
        </w:rPr>
        <w:t>30</w:t>
      </w:r>
      <w:r w:rsidRPr="008F420D">
        <w:rPr>
          <w:rFonts w:ascii="Times New Roman" w:eastAsia="仿宋_GB2312" w:hAnsi="Times New Roman"/>
          <w:kern w:val="0"/>
          <w:sz w:val="32"/>
          <w:szCs w:val="24"/>
        </w:rPr>
        <w:t>分钟空腹服用。</w:t>
      </w:r>
    </w:p>
    <w:p w:rsidR="00113978" w:rsidRDefault="00113978" w:rsidP="00113978">
      <w:pPr>
        <w:autoSpaceDE w:val="0"/>
        <w:autoSpaceDN w:val="0"/>
        <w:adjustRightInd w:val="0"/>
        <w:spacing w:before="120" w:line="360" w:lineRule="auto"/>
        <w:ind w:left="108" w:right="108" w:firstLineChars="200" w:firstLine="640"/>
        <w:rPr>
          <w:rFonts w:ascii="仿宋_GB2312" w:eastAsia="仿宋_GB2312" w:cs="仿宋_GB2312"/>
          <w:color w:val="000000"/>
          <w:kern w:val="0"/>
          <w:sz w:val="32"/>
          <w:szCs w:val="32"/>
          <w:highlight w:val="yellow"/>
        </w:rPr>
      </w:pPr>
      <w:r>
        <w:rPr>
          <w:rFonts w:ascii="仿宋_GB2312" w:eastAsia="仿宋_GB2312" w:cs="仿宋_GB2312" w:hint="eastAsia"/>
          <w:color w:val="000000"/>
          <w:kern w:val="0"/>
          <w:sz w:val="32"/>
          <w:szCs w:val="32"/>
        </w:rPr>
        <w:t>为指导</w:t>
      </w:r>
      <w:r w:rsidR="008F420D" w:rsidRPr="008F420D">
        <w:rPr>
          <w:rFonts w:ascii="Times New Roman" w:eastAsia="仿宋_GB2312" w:hAnsi="Times New Roman" w:cs="Times New Roman" w:hint="eastAsia"/>
          <w:color w:val="000000"/>
          <w:sz w:val="32"/>
          <w:szCs w:val="32"/>
        </w:rPr>
        <w:t>地拉罗司分散片</w:t>
      </w:r>
      <w:r>
        <w:rPr>
          <w:rFonts w:ascii="Times New Roman" w:eastAsia="仿宋_GB2312" w:hAnsi="Times New Roman" w:cs="Times New Roman" w:hint="eastAsia"/>
          <w:sz w:val="32"/>
          <w:szCs w:val="32"/>
        </w:rPr>
        <w:t>生物等效性研究</w:t>
      </w:r>
      <w:r>
        <w:rPr>
          <w:rFonts w:ascii="仿宋_GB2312" w:eastAsia="仿宋_GB2312" w:cs="仿宋_GB2312" w:hint="eastAsia"/>
          <w:color w:val="000000"/>
          <w:kern w:val="0"/>
          <w:sz w:val="32"/>
          <w:szCs w:val="32"/>
        </w:rPr>
        <w:t>的开展，提供研究设计和评价要点的建议，药品审评中心组织起草了</w:t>
      </w:r>
      <w:r>
        <w:rPr>
          <w:rFonts w:ascii="Times New Roman" w:eastAsia="仿宋_GB2312" w:hAnsi="Times New Roman" w:cs="Times New Roman" w:hint="eastAsia"/>
          <w:color w:val="000000"/>
          <w:sz w:val="32"/>
          <w:szCs w:val="32"/>
        </w:rPr>
        <w:t>《</w:t>
      </w:r>
      <w:r w:rsidR="008F420D" w:rsidRPr="008F420D">
        <w:rPr>
          <w:rFonts w:ascii="Times New Roman" w:eastAsia="仿宋_GB2312" w:hAnsi="Times New Roman" w:cs="Times New Roman" w:hint="eastAsia"/>
          <w:color w:val="000000"/>
          <w:sz w:val="32"/>
          <w:szCs w:val="32"/>
        </w:rPr>
        <w:t>地拉罗司分散片</w:t>
      </w:r>
      <w:r>
        <w:rPr>
          <w:rFonts w:ascii="Times New Roman" w:eastAsia="仿宋_GB2312" w:hAnsi="Times New Roman" w:cs="Times New Roman" w:hint="eastAsia"/>
          <w:color w:val="000000"/>
          <w:sz w:val="32"/>
          <w:szCs w:val="32"/>
        </w:rPr>
        <w:t>生物等效性研究指导原则》，以期为该品种的生物等效性研究的评价提供技术参考。</w:t>
      </w:r>
    </w:p>
    <w:p w:rsidR="00113978" w:rsidRPr="00113978" w:rsidRDefault="00113978" w:rsidP="00113978">
      <w:pPr>
        <w:pStyle w:val="a7"/>
        <w:spacing w:line="360" w:lineRule="auto"/>
        <w:rPr>
          <w:rFonts w:ascii="黑体" w:eastAsia="黑体" w:hAnsi="黑体"/>
          <w:sz w:val="32"/>
          <w:szCs w:val="32"/>
        </w:rPr>
      </w:pPr>
      <w:r w:rsidRPr="00113978">
        <w:rPr>
          <w:rFonts w:ascii="黑体" w:eastAsia="黑体" w:hAnsi="黑体" w:hint="eastAsia"/>
          <w:sz w:val="32"/>
          <w:szCs w:val="32"/>
        </w:rPr>
        <w:t>二、起草过程</w:t>
      </w:r>
    </w:p>
    <w:p w:rsidR="00113978" w:rsidRPr="00113978" w:rsidRDefault="00113978" w:rsidP="00113978">
      <w:pPr>
        <w:pStyle w:val="a7"/>
        <w:spacing w:line="360" w:lineRule="auto"/>
        <w:ind w:firstLineChars="200" w:firstLine="640"/>
        <w:rPr>
          <w:rFonts w:ascii="Times New Roman" w:eastAsia="仿宋_GB2312" w:hAnsi="Times New Roman"/>
          <w:color w:val="000000"/>
          <w:kern w:val="0"/>
          <w:sz w:val="32"/>
          <w:szCs w:val="32"/>
        </w:rPr>
      </w:pPr>
      <w:r w:rsidRPr="00113978">
        <w:rPr>
          <w:rFonts w:ascii="Times New Roman" w:eastAsia="仿宋_GB2312" w:hAnsi="Times New Roman" w:hint="eastAsia"/>
          <w:color w:val="000000"/>
          <w:kern w:val="0"/>
          <w:sz w:val="32"/>
          <w:szCs w:val="32"/>
        </w:rPr>
        <w:t>本指导原则由统计与临床药理学部牵头，纳入了中心</w:t>
      </w:r>
      <w:r w:rsidRPr="00113978">
        <w:rPr>
          <w:rFonts w:ascii="Times New Roman" w:eastAsia="仿宋_GB2312" w:hAnsi="Times New Roman"/>
          <w:color w:val="000000"/>
          <w:kern w:val="0"/>
          <w:sz w:val="32"/>
          <w:szCs w:val="32"/>
        </w:rPr>
        <w:t>202</w:t>
      </w:r>
      <w:r w:rsidR="008F420D">
        <w:rPr>
          <w:rFonts w:ascii="Times New Roman" w:eastAsia="仿宋_GB2312" w:hAnsi="Times New Roman"/>
          <w:color w:val="000000"/>
          <w:kern w:val="0"/>
          <w:sz w:val="32"/>
          <w:szCs w:val="32"/>
        </w:rPr>
        <w:t>4</w:t>
      </w:r>
      <w:r w:rsidRPr="00113978">
        <w:rPr>
          <w:rFonts w:ascii="Times New Roman" w:eastAsia="仿宋_GB2312" w:hAnsi="Times New Roman" w:hint="eastAsia"/>
          <w:color w:val="000000"/>
          <w:kern w:val="0"/>
          <w:sz w:val="32"/>
          <w:szCs w:val="32"/>
        </w:rPr>
        <w:t>年指导原则制修订计划。核心工作组成员经充分研究后，于</w:t>
      </w:r>
      <w:r w:rsidRPr="00113978">
        <w:rPr>
          <w:rFonts w:ascii="Times New Roman" w:eastAsia="仿宋_GB2312" w:hAnsi="Times New Roman"/>
          <w:color w:val="000000"/>
          <w:kern w:val="0"/>
          <w:sz w:val="32"/>
          <w:szCs w:val="32"/>
        </w:rPr>
        <w:t>202</w:t>
      </w:r>
      <w:r w:rsidR="008F420D">
        <w:rPr>
          <w:rFonts w:ascii="Times New Roman" w:eastAsia="仿宋_GB2312" w:hAnsi="Times New Roman"/>
          <w:color w:val="000000"/>
          <w:kern w:val="0"/>
          <w:sz w:val="32"/>
          <w:szCs w:val="32"/>
        </w:rPr>
        <w:t>4</w:t>
      </w:r>
      <w:r w:rsidRPr="00113978">
        <w:rPr>
          <w:rFonts w:ascii="Times New Roman" w:eastAsia="仿宋_GB2312" w:hAnsi="Times New Roman" w:hint="eastAsia"/>
          <w:color w:val="000000"/>
          <w:kern w:val="0"/>
          <w:sz w:val="32"/>
          <w:szCs w:val="32"/>
        </w:rPr>
        <w:t>年</w:t>
      </w:r>
      <w:r w:rsidR="008F420D">
        <w:rPr>
          <w:rFonts w:ascii="Times New Roman" w:eastAsia="仿宋_GB2312" w:hAnsi="Times New Roman"/>
          <w:color w:val="000000"/>
          <w:kern w:val="0"/>
          <w:sz w:val="32"/>
          <w:szCs w:val="32"/>
        </w:rPr>
        <w:t>7</w:t>
      </w:r>
      <w:r w:rsidRPr="00113978">
        <w:rPr>
          <w:rFonts w:ascii="Times New Roman" w:eastAsia="仿宋_GB2312" w:hAnsi="Times New Roman" w:hint="eastAsia"/>
          <w:color w:val="000000"/>
          <w:kern w:val="0"/>
          <w:sz w:val="32"/>
          <w:szCs w:val="32"/>
        </w:rPr>
        <w:t>月形成初稿并组织召开改稿会，充分征求参会</w:t>
      </w:r>
      <w:r w:rsidRPr="00113978">
        <w:rPr>
          <w:rFonts w:ascii="Times New Roman" w:eastAsia="仿宋_GB2312" w:hAnsi="Times New Roman" w:hint="eastAsia"/>
          <w:color w:val="000000"/>
          <w:kern w:val="0"/>
          <w:sz w:val="32"/>
          <w:szCs w:val="32"/>
        </w:rPr>
        <w:lastRenderedPageBreak/>
        <w:t>专家意见，结合中心内部反馈意见，形成征求意见稿。</w:t>
      </w:r>
    </w:p>
    <w:p w:rsidR="00113978" w:rsidRPr="00113978" w:rsidRDefault="00113978" w:rsidP="00113978">
      <w:pPr>
        <w:pStyle w:val="a7"/>
        <w:spacing w:line="360" w:lineRule="auto"/>
        <w:rPr>
          <w:rFonts w:ascii="黑体" w:eastAsia="黑体" w:hAnsi="黑体"/>
          <w:sz w:val="32"/>
          <w:szCs w:val="32"/>
        </w:rPr>
      </w:pPr>
      <w:r w:rsidRPr="00113978">
        <w:rPr>
          <w:rFonts w:ascii="黑体" w:eastAsia="黑体" w:hAnsi="黑体" w:hint="eastAsia"/>
          <w:sz w:val="32"/>
          <w:szCs w:val="32"/>
        </w:rPr>
        <w:t>三、主要内容与说明</w:t>
      </w:r>
    </w:p>
    <w:p w:rsidR="00113978" w:rsidRPr="00113978" w:rsidRDefault="00113978" w:rsidP="00113978">
      <w:pPr>
        <w:pStyle w:val="a7"/>
        <w:spacing w:line="360" w:lineRule="auto"/>
        <w:ind w:firstLineChars="200" w:firstLine="640"/>
        <w:rPr>
          <w:rFonts w:ascii="Times New Roman" w:eastAsia="仿宋_GB2312" w:hAnsi="Times New Roman"/>
          <w:color w:val="000000"/>
          <w:kern w:val="0"/>
          <w:sz w:val="32"/>
          <w:szCs w:val="32"/>
        </w:rPr>
      </w:pPr>
      <w:r w:rsidRPr="00113978">
        <w:rPr>
          <w:rFonts w:ascii="Times New Roman" w:eastAsia="仿宋_GB2312" w:hAnsi="Times New Roman" w:hint="eastAsia"/>
          <w:color w:val="000000"/>
          <w:kern w:val="0"/>
          <w:sz w:val="32"/>
          <w:szCs w:val="32"/>
        </w:rPr>
        <w:t>本指导原则旨在为</w:t>
      </w:r>
      <w:r w:rsidR="008F420D" w:rsidRPr="008F420D">
        <w:rPr>
          <w:rFonts w:ascii="Times New Roman" w:eastAsia="仿宋_GB2312" w:hAnsi="Times New Roman" w:hint="eastAsia"/>
          <w:color w:val="000000"/>
          <w:kern w:val="0"/>
          <w:sz w:val="32"/>
          <w:szCs w:val="32"/>
        </w:rPr>
        <w:t>地拉罗司分散片</w:t>
      </w:r>
      <w:r w:rsidRPr="00113978">
        <w:rPr>
          <w:rFonts w:ascii="Times New Roman" w:eastAsia="仿宋_GB2312" w:hAnsi="Times New Roman" w:hint="eastAsia"/>
          <w:color w:val="000000"/>
          <w:kern w:val="0"/>
          <w:sz w:val="32"/>
          <w:szCs w:val="32"/>
        </w:rPr>
        <w:t>生物等效性研究提供技术指导，主要内容包括研究类型、受试人群、给药剂量、给药方法、血样采集、检测物质、生物等效性评价等。</w:t>
      </w:r>
      <w:r w:rsidR="00DB25CB" w:rsidRPr="00DB25CB">
        <w:rPr>
          <w:rFonts w:ascii="Times New Roman" w:eastAsia="仿宋_GB2312" w:hAnsi="Times New Roman" w:hint="eastAsia"/>
          <w:color w:val="000000"/>
          <w:kern w:val="0"/>
          <w:sz w:val="32"/>
          <w:szCs w:val="32"/>
        </w:rPr>
        <w:t>地拉罗司分散片</w:t>
      </w:r>
      <w:bookmarkStart w:id="0" w:name="_GoBack"/>
      <w:bookmarkEnd w:id="0"/>
      <w:r w:rsidRPr="00113978">
        <w:rPr>
          <w:rFonts w:ascii="Times New Roman" w:eastAsia="仿宋_GB2312" w:hAnsi="Times New Roman" w:hint="eastAsia"/>
          <w:color w:val="000000"/>
          <w:kern w:val="0"/>
          <w:sz w:val="32"/>
          <w:szCs w:val="32"/>
        </w:rPr>
        <w:t>生物等效性研究应符合本指导原则，还应参照《以药动学参数为终点评价指标的化学药物仿制药人体生物等效性研究技术指导原则》</w:t>
      </w:r>
      <w:r w:rsidR="008459D7" w:rsidRPr="008459D7">
        <w:rPr>
          <w:rFonts w:ascii="Times New Roman" w:eastAsia="仿宋_GB2312" w:hAnsi="Times New Roman" w:hint="eastAsia"/>
          <w:color w:val="000000"/>
          <w:kern w:val="0"/>
          <w:sz w:val="32"/>
          <w:szCs w:val="32"/>
        </w:rPr>
        <w:t>、</w:t>
      </w:r>
      <w:r w:rsidRPr="00113978">
        <w:rPr>
          <w:rFonts w:ascii="Times New Roman" w:eastAsia="仿宋_GB2312" w:hAnsi="Times New Roman" w:hint="eastAsia"/>
          <w:color w:val="000000"/>
          <w:kern w:val="0"/>
          <w:sz w:val="32"/>
          <w:szCs w:val="32"/>
        </w:rPr>
        <w:t>《生物等效性研究的统计学指导原则》等相关指导原则要求。</w:t>
      </w:r>
    </w:p>
    <w:p w:rsidR="00E66752" w:rsidRDefault="00684B64" w:rsidP="008459D7">
      <w:pPr>
        <w:jc w:val="left"/>
        <w:rPr>
          <w:rFonts w:ascii="黑体" w:eastAsia="黑体" w:hAnsi="黑体" w:cs="Times New Roman"/>
          <w:sz w:val="32"/>
          <w:szCs w:val="32"/>
        </w:rPr>
      </w:pPr>
      <w:r>
        <w:rPr>
          <w:rFonts w:ascii="黑体" w:eastAsia="黑体" w:hAnsi="黑体" w:cs="Times New Roman" w:hint="eastAsia"/>
          <w:sz w:val="32"/>
          <w:szCs w:val="32"/>
        </w:rPr>
        <w:t>四、需要说明的</w:t>
      </w:r>
      <w:r>
        <w:rPr>
          <w:rFonts w:ascii="黑体" w:eastAsia="黑体" w:hAnsi="黑体" w:cs="Times New Roman"/>
          <w:sz w:val="32"/>
          <w:szCs w:val="32"/>
        </w:rPr>
        <w:t>问题</w:t>
      </w:r>
    </w:p>
    <w:p w:rsidR="008459D7" w:rsidRPr="008459D7" w:rsidRDefault="008459D7" w:rsidP="008459D7">
      <w:pPr>
        <w:jc w:val="left"/>
        <w:rPr>
          <w:rFonts w:ascii="Times New Roman" w:eastAsia="仿宋_GB2312" w:hAnsi="Times New Roman"/>
          <w:color w:val="000000"/>
          <w:kern w:val="0"/>
          <w:sz w:val="32"/>
          <w:szCs w:val="32"/>
        </w:rPr>
      </w:pPr>
      <w:r w:rsidRPr="008459D7">
        <w:rPr>
          <w:rFonts w:ascii="Times New Roman" w:eastAsia="仿宋_GB2312" w:hAnsi="Times New Roman" w:hint="eastAsia"/>
          <w:color w:val="000000"/>
          <w:kern w:val="0"/>
          <w:sz w:val="32"/>
          <w:szCs w:val="32"/>
        </w:rPr>
        <w:t xml:space="preserve">    </w:t>
      </w:r>
      <w:r w:rsidRPr="008459D7">
        <w:rPr>
          <w:rFonts w:ascii="Times New Roman" w:eastAsia="仿宋_GB2312" w:hAnsi="Times New Roman" w:hint="eastAsia"/>
          <w:color w:val="000000"/>
          <w:kern w:val="0"/>
          <w:sz w:val="32"/>
          <w:szCs w:val="32"/>
        </w:rPr>
        <w:t>无</w:t>
      </w:r>
      <w:r w:rsidRPr="008459D7">
        <w:rPr>
          <w:rFonts w:ascii="Times New Roman" w:eastAsia="仿宋_GB2312" w:hAnsi="Times New Roman"/>
          <w:color w:val="000000"/>
          <w:kern w:val="0"/>
          <w:sz w:val="32"/>
          <w:szCs w:val="32"/>
        </w:rPr>
        <w:t>。</w:t>
      </w:r>
    </w:p>
    <w:sectPr w:rsidR="008459D7" w:rsidRPr="008459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2465" w:rsidRDefault="00402465" w:rsidP="005D73F8">
      <w:r>
        <w:separator/>
      </w:r>
    </w:p>
  </w:endnote>
  <w:endnote w:type="continuationSeparator" w:id="0">
    <w:p w:rsidR="00402465" w:rsidRDefault="00402465" w:rsidP="005D73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仿宋_GB2312">
    <w:altName w:val="FangSong_GB2312"/>
    <w:panose1 w:val="02010609030101010101"/>
    <w:charset w:val="86"/>
    <w:family w:val="modern"/>
    <w:pitch w:val="fixed"/>
    <w:sig w:usb0="00000003" w:usb1="080E0000" w:usb2="00000010" w:usb3="00000000" w:csb0="00040001"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2465" w:rsidRDefault="00402465" w:rsidP="005D73F8">
      <w:r>
        <w:separator/>
      </w:r>
    </w:p>
  </w:footnote>
  <w:footnote w:type="continuationSeparator" w:id="0">
    <w:p w:rsidR="00402465" w:rsidRDefault="00402465" w:rsidP="005D73F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3B4"/>
    <w:rsid w:val="00012378"/>
    <w:rsid w:val="00024801"/>
    <w:rsid w:val="000374DB"/>
    <w:rsid w:val="00066B49"/>
    <w:rsid w:val="000B00CE"/>
    <w:rsid w:val="000B2C4C"/>
    <w:rsid w:val="000B3C27"/>
    <w:rsid w:val="000E6B1F"/>
    <w:rsid w:val="00113978"/>
    <w:rsid w:val="00120818"/>
    <w:rsid w:val="00126138"/>
    <w:rsid w:val="00167344"/>
    <w:rsid w:val="001D4536"/>
    <w:rsid w:val="00227DD5"/>
    <w:rsid w:val="00263725"/>
    <w:rsid w:val="00285B65"/>
    <w:rsid w:val="00316828"/>
    <w:rsid w:val="00332872"/>
    <w:rsid w:val="00336602"/>
    <w:rsid w:val="00396F41"/>
    <w:rsid w:val="003D635E"/>
    <w:rsid w:val="003F4B6C"/>
    <w:rsid w:val="00402465"/>
    <w:rsid w:val="004B0053"/>
    <w:rsid w:val="004B4EC9"/>
    <w:rsid w:val="004C1567"/>
    <w:rsid w:val="004C3FC5"/>
    <w:rsid w:val="004D6F32"/>
    <w:rsid w:val="004E04B0"/>
    <w:rsid w:val="004F41CA"/>
    <w:rsid w:val="00517393"/>
    <w:rsid w:val="00526926"/>
    <w:rsid w:val="005357F5"/>
    <w:rsid w:val="00576F0C"/>
    <w:rsid w:val="005823BA"/>
    <w:rsid w:val="0059623B"/>
    <w:rsid w:val="005A6A6B"/>
    <w:rsid w:val="005C2D3A"/>
    <w:rsid w:val="005D68F3"/>
    <w:rsid w:val="005D73F8"/>
    <w:rsid w:val="005D76EF"/>
    <w:rsid w:val="00643EE1"/>
    <w:rsid w:val="00673167"/>
    <w:rsid w:val="00684B64"/>
    <w:rsid w:val="006D4C26"/>
    <w:rsid w:val="00705E53"/>
    <w:rsid w:val="00707C8B"/>
    <w:rsid w:val="0075575C"/>
    <w:rsid w:val="0077370B"/>
    <w:rsid w:val="00794376"/>
    <w:rsid w:val="007C4D26"/>
    <w:rsid w:val="007E0C0D"/>
    <w:rsid w:val="007F5961"/>
    <w:rsid w:val="00832C92"/>
    <w:rsid w:val="00841FD2"/>
    <w:rsid w:val="008459D7"/>
    <w:rsid w:val="00877939"/>
    <w:rsid w:val="0089050F"/>
    <w:rsid w:val="008A7CA3"/>
    <w:rsid w:val="008B6B41"/>
    <w:rsid w:val="008F420D"/>
    <w:rsid w:val="008F5E7D"/>
    <w:rsid w:val="008F75AD"/>
    <w:rsid w:val="00977CD1"/>
    <w:rsid w:val="00983546"/>
    <w:rsid w:val="009A7A06"/>
    <w:rsid w:val="00A31553"/>
    <w:rsid w:val="00A4569D"/>
    <w:rsid w:val="00AA7102"/>
    <w:rsid w:val="00AD03A3"/>
    <w:rsid w:val="00BE0CC0"/>
    <w:rsid w:val="00CB4A24"/>
    <w:rsid w:val="00CF3124"/>
    <w:rsid w:val="00D20D63"/>
    <w:rsid w:val="00D25D80"/>
    <w:rsid w:val="00D35068"/>
    <w:rsid w:val="00DB213D"/>
    <w:rsid w:val="00DB25CB"/>
    <w:rsid w:val="00DE2F1E"/>
    <w:rsid w:val="00E23746"/>
    <w:rsid w:val="00E460B7"/>
    <w:rsid w:val="00E66752"/>
    <w:rsid w:val="00E91628"/>
    <w:rsid w:val="00EA6B75"/>
    <w:rsid w:val="00EC5D62"/>
    <w:rsid w:val="00EF2DFD"/>
    <w:rsid w:val="00EF3C46"/>
    <w:rsid w:val="00EF4CE0"/>
    <w:rsid w:val="00F45C41"/>
    <w:rsid w:val="00F503B4"/>
    <w:rsid w:val="00F709AE"/>
    <w:rsid w:val="00FB2457"/>
    <w:rsid w:val="00FC1A3C"/>
    <w:rsid w:val="00FC5BA9"/>
    <w:rsid w:val="00FE0269"/>
    <w:rsid w:val="00FE6617"/>
    <w:rsid w:val="00FF23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28F4A27-18EB-487D-A84C-FFD80AB01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73F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D73F8"/>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5D73F8"/>
    <w:rPr>
      <w:sz w:val="18"/>
      <w:szCs w:val="18"/>
    </w:rPr>
  </w:style>
  <w:style w:type="paragraph" w:styleId="a5">
    <w:name w:val="footer"/>
    <w:basedOn w:val="a"/>
    <w:link w:val="a6"/>
    <w:uiPriority w:val="99"/>
    <w:unhideWhenUsed/>
    <w:rsid w:val="005D73F8"/>
    <w:pPr>
      <w:tabs>
        <w:tab w:val="center" w:pos="4153"/>
        <w:tab w:val="right" w:pos="8306"/>
      </w:tabs>
      <w:snapToGrid w:val="0"/>
      <w:jc w:val="left"/>
    </w:pPr>
    <w:rPr>
      <w:sz w:val="18"/>
      <w:szCs w:val="18"/>
    </w:rPr>
  </w:style>
  <w:style w:type="character" w:customStyle="1" w:styleId="a6">
    <w:name w:val="页脚 字符"/>
    <w:basedOn w:val="a0"/>
    <w:link w:val="a5"/>
    <w:uiPriority w:val="99"/>
    <w:rsid w:val="005D73F8"/>
    <w:rPr>
      <w:sz w:val="18"/>
      <w:szCs w:val="18"/>
    </w:rPr>
  </w:style>
  <w:style w:type="paragraph" w:styleId="a7">
    <w:name w:val="No Spacing"/>
    <w:uiPriority w:val="1"/>
    <w:qFormat/>
    <w:rsid w:val="00113978"/>
    <w:pPr>
      <w:widowControl w:val="0"/>
      <w:jc w:val="both"/>
    </w:pPr>
  </w:style>
  <w:style w:type="paragraph" w:customStyle="1" w:styleId="2">
    <w:name w:val="正文2"/>
    <w:basedOn w:val="a"/>
    <w:link w:val="20"/>
    <w:qFormat/>
    <w:rsid w:val="008459D7"/>
    <w:pPr>
      <w:widowControl/>
      <w:spacing w:line="276" w:lineRule="auto"/>
      <w:ind w:firstLineChars="200" w:firstLine="640"/>
    </w:pPr>
    <w:rPr>
      <w:rFonts w:ascii="Times New Roman" w:eastAsia="仿宋_GB2312" w:hAnsi="Times New Roman"/>
      <w:kern w:val="0"/>
      <w:sz w:val="32"/>
    </w:rPr>
  </w:style>
  <w:style w:type="character" w:customStyle="1" w:styleId="20">
    <w:name w:val="正文2 字符"/>
    <w:basedOn w:val="a0"/>
    <w:link w:val="2"/>
    <w:rsid w:val="008459D7"/>
    <w:rPr>
      <w:rFonts w:ascii="Times New Roman" w:eastAsia="仿宋_GB2312" w:hAnsi="Times New Roman"/>
      <w:kern w:val="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7325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104</Words>
  <Characters>597</Characters>
  <Application>Microsoft Office Word</Application>
  <DocSecurity>0</DocSecurity>
  <Lines>4</Lines>
  <Paragraphs>1</Paragraphs>
  <ScaleCrop>false</ScaleCrop>
  <Company>Microsoft</Company>
  <LinksUpToDate>false</LinksUpToDate>
  <CharactersWithSpaces>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刘冬</dc:creator>
  <cp:keywords/>
  <dc:description/>
  <cp:lastModifiedBy>刘霏霏</cp:lastModifiedBy>
  <cp:revision>6</cp:revision>
  <dcterms:created xsi:type="dcterms:W3CDTF">2023-10-27T07:23:00Z</dcterms:created>
  <dcterms:modified xsi:type="dcterms:W3CDTF">2024-09-27T06:30:00Z</dcterms:modified>
</cp:coreProperties>
</file>