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B78953" w14:textId="77777777" w:rsidR="00472086" w:rsidRDefault="00472086">
      <w:pPr>
        <w:autoSpaceDE w:val="0"/>
        <w:autoSpaceDN w:val="0"/>
        <w:adjustRightInd w:val="0"/>
        <w:jc w:val="center"/>
        <w:rPr>
          <w:rFonts w:ascii="方正小标宋简体" w:eastAsia="方正小标宋简体" w:hAnsi="宋体" w:cs="方正小标宋简体"/>
          <w:color w:val="000000"/>
          <w:kern w:val="0"/>
          <w:sz w:val="44"/>
          <w:szCs w:val="44"/>
        </w:rPr>
      </w:pPr>
    </w:p>
    <w:p w14:paraId="54235FF8" w14:textId="7C4268B3" w:rsidR="00561395" w:rsidRDefault="00000000">
      <w:pPr>
        <w:autoSpaceDE w:val="0"/>
        <w:autoSpaceDN w:val="0"/>
        <w:adjustRightInd w:val="0"/>
        <w:jc w:val="center"/>
        <w:rPr>
          <w:rFonts w:ascii="方正小标宋简体" w:eastAsia="方正小标宋简体" w:hAnsi="宋体" w:cs="方正小标宋简体"/>
          <w:color w:val="000000"/>
          <w:kern w:val="0"/>
          <w:sz w:val="44"/>
          <w:szCs w:val="44"/>
        </w:rPr>
      </w:pPr>
      <w:r>
        <w:rPr>
          <w:rFonts w:ascii="方正小标宋简体" w:eastAsia="方正小标宋简体" w:hAnsi="宋体" w:cs="方正小标宋简体" w:hint="eastAsia"/>
          <w:color w:val="000000"/>
          <w:kern w:val="0"/>
          <w:sz w:val="44"/>
          <w:szCs w:val="44"/>
        </w:rPr>
        <w:t>中医内科病证诊断疗效标准修订  眩晕</w:t>
      </w:r>
    </w:p>
    <w:p w14:paraId="6C258C53" w14:textId="77777777" w:rsidR="00561395" w:rsidRDefault="00000000">
      <w:pPr>
        <w:autoSpaceDE w:val="0"/>
        <w:autoSpaceDN w:val="0"/>
        <w:adjustRightInd w:val="0"/>
        <w:jc w:val="center"/>
        <w:rPr>
          <w:rFonts w:ascii="黑体" w:eastAsia="黑体" w:hAnsi="黑体" w:cs="方正小标宋简体"/>
          <w:color w:val="000000"/>
          <w:kern w:val="0"/>
          <w:sz w:val="72"/>
          <w:szCs w:val="72"/>
        </w:rPr>
      </w:pPr>
      <w:r>
        <w:rPr>
          <w:rFonts w:ascii="楷体" w:eastAsia="楷体" w:hAnsi="楷体" w:cs="楷体" w:hint="eastAsia"/>
          <w:color w:val="000000"/>
          <w:kern w:val="0"/>
          <w:sz w:val="48"/>
          <w:szCs w:val="48"/>
        </w:rPr>
        <w:t>（征求意见稿）</w:t>
      </w:r>
    </w:p>
    <w:p w14:paraId="7785472E" w14:textId="77777777" w:rsidR="00561395" w:rsidRDefault="00561395">
      <w:pPr>
        <w:autoSpaceDE w:val="0"/>
        <w:autoSpaceDN w:val="0"/>
        <w:adjustRightInd w:val="0"/>
        <w:ind w:firstLineChars="200" w:firstLine="1440"/>
        <w:rPr>
          <w:rFonts w:ascii="黑体" w:eastAsia="黑体" w:hAnsi="黑体" w:cs="方正小标宋简体"/>
          <w:color w:val="000000"/>
          <w:kern w:val="0"/>
          <w:sz w:val="72"/>
          <w:szCs w:val="72"/>
        </w:rPr>
      </w:pPr>
    </w:p>
    <w:p w14:paraId="4F08B9CE" w14:textId="77777777" w:rsidR="00561395" w:rsidRDefault="00561395">
      <w:pPr>
        <w:autoSpaceDE w:val="0"/>
        <w:autoSpaceDN w:val="0"/>
        <w:adjustRightInd w:val="0"/>
        <w:ind w:firstLineChars="200" w:firstLine="1440"/>
        <w:rPr>
          <w:rFonts w:ascii="黑体" w:eastAsia="黑体" w:hAnsi="黑体" w:cs="方正小标宋简体"/>
          <w:color w:val="000000"/>
          <w:kern w:val="0"/>
          <w:sz w:val="72"/>
          <w:szCs w:val="72"/>
        </w:rPr>
      </w:pPr>
    </w:p>
    <w:p w14:paraId="1CCCE4B0" w14:textId="77777777" w:rsidR="00561395" w:rsidRDefault="00561395">
      <w:pPr>
        <w:autoSpaceDE w:val="0"/>
        <w:autoSpaceDN w:val="0"/>
        <w:adjustRightInd w:val="0"/>
        <w:ind w:firstLineChars="200" w:firstLine="1440"/>
        <w:rPr>
          <w:rFonts w:ascii="黑体" w:eastAsia="黑体" w:hAnsi="黑体" w:cs="方正小标宋简体"/>
          <w:color w:val="000000"/>
          <w:kern w:val="0"/>
          <w:sz w:val="72"/>
          <w:szCs w:val="72"/>
        </w:rPr>
      </w:pPr>
    </w:p>
    <w:p w14:paraId="7B6DE709" w14:textId="77777777" w:rsidR="00561395" w:rsidRDefault="00000000">
      <w:pPr>
        <w:autoSpaceDE w:val="0"/>
        <w:autoSpaceDN w:val="0"/>
        <w:adjustRightInd w:val="0"/>
        <w:jc w:val="center"/>
        <w:rPr>
          <w:rFonts w:ascii="黑体" w:eastAsia="黑体" w:hAnsi="黑体" w:cs="方正小标宋简体"/>
          <w:color w:val="000000"/>
          <w:kern w:val="0"/>
          <w:sz w:val="72"/>
          <w:szCs w:val="72"/>
        </w:rPr>
      </w:pPr>
      <w:r>
        <w:rPr>
          <w:rFonts w:ascii="黑体" w:eastAsia="黑体" w:hAnsi="黑体" w:cs="方正小标宋简体" w:hint="eastAsia"/>
          <w:color w:val="000000"/>
          <w:kern w:val="0"/>
          <w:sz w:val="72"/>
          <w:szCs w:val="72"/>
        </w:rPr>
        <w:t>编制说明</w:t>
      </w:r>
    </w:p>
    <w:p w14:paraId="42453FD4" w14:textId="77777777" w:rsidR="00561395" w:rsidRDefault="00561395">
      <w:pPr>
        <w:rPr>
          <w:rFonts w:ascii="楷体" w:eastAsia="楷体" w:hAnsi="楷体" w:cs="Times New Roman"/>
          <w:b/>
          <w:bCs/>
          <w:sz w:val="32"/>
          <w:szCs w:val="32"/>
        </w:rPr>
      </w:pPr>
    </w:p>
    <w:p w14:paraId="75AE6FB8" w14:textId="77777777" w:rsidR="00561395" w:rsidRDefault="00561395">
      <w:pPr>
        <w:ind w:firstLineChars="200" w:firstLine="643"/>
        <w:rPr>
          <w:rFonts w:ascii="楷体" w:eastAsia="楷体" w:hAnsi="楷体" w:cs="Times New Roman"/>
          <w:b/>
          <w:bCs/>
          <w:sz w:val="32"/>
          <w:szCs w:val="32"/>
        </w:rPr>
      </w:pPr>
    </w:p>
    <w:p w14:paraId="4000DF87" w14:textId="77777777" w:rsidR="00561395" w:rsidRDefault="00561395">
      <w:pPr>
        <w:rPr>
          <w:rFonts w:ascii="楷体" w:eastAsia="楷体" w:hAnsi="楷体" w:cs="Times New Roman"/>
          <w:sz w:val="32"/>
          <w:szCs w:val="32"/>
        </w:rPr>
      </w:pPr>
    </w:p>
    <w:p w14:paraId="7C8C1747" w14:textId="77777777" w:rsidR="00561395" w:rsidRDefault="00561395">
      <w:pPr>
        <w:ind w:firstLineChars="200" w:firstLine="643"/>
        <w:rPr>
          <w:rFonts w:ascii="楷体" w:eastAsia="楷体" w:hAnsi="楷体" w:cs="Times New Roman"/>
          <w:b/>
          <w:bCs/>
          <w:sz w:val="32"/>
          <w:szCs w:val="32"/>
        </w:rPr>
      </w:pPr>
    </w:p>
    <w:p w14:paraId="25660BCF" w14:textId="77777777" w:rsidR="00561395" w:rsidRDefault="00561395">
      <w:pPr>
        <w:ind w:firstLineChars="200" w:firstLine="643"/>
        <w:rPr>
          <w:rFonts w:ascii="楷体" w:eastAsia="楷体" w:hAnsi="楷体" w:cs="Times New Roman"/>
          <w:b/>
          <w:bCs/>
          <w:sz w:val="32"/>
          <w:szCs w:val="32"/>
        </w:rPr>
      </w:pPr>
    </w:p>
    <w:p w14:paraId="56DFD858" w14:textId="77777777" w:rsidR="00561395" w:rsidRDefault="00000000">
      <w:pPr>
        <w:ind w:firstLineChars="200" w:firstLine="643"/>
        <w:rPr>
          <w:rFonts w:ascii="Times New Roman" w:eastAsia="仿宋" w:hAnsi="Times New Roman" w:cs="Times New Roman"/>
          <w:sz w:val="32"/>
          <w:szCs w:val="32"/>
        </w:rPr>
      </w:pPr>
      <w:r>
        <w:rPr>
          <w:rFonts w:ascii="楷体" w:eastAsia="楷体" w:hAnsi="楷体" w:cs="Times New Roman" w:hint="eastAsia"/>
          <w:b/>
          <w:bCs/>
          <w:sz w:val="32"/>
          <w:szCs w:val="32"/>
        </w:rPr>
        <w:t>标准层级：</w:t>
      </w:r>
      <w:r>
        <w:rPr>
          <w:rFonts w:ascii="Times New Roman" w:eastAsia="仿宋" w:hAnsi="Times New Roman" w:cs="Times New Roman"/>
          <w:sz w:val="32"/>
          <w:szCs w:val="32"/>
        </w:rPr>
        <w:t>行业标准</w:t>
      </w:r>
    </w:p>
    <w:p w14:paraId="647B8122" w14:textId="77777777" w:rsidR="00561395" w:rsidRDefault="00000000">
      <w:pPr>
        <w:ind w:firstLineChars="200" w:firstLine="643"/>
        <w:rPr>
          <w:rFonts w:ascii="Times New Roman" w:eastAsia="仿宋_GB2312" w:hAnsi="Times New Roman" w:cs="Times New Roman"/>
          <w:sz w:val="32"/>
          <w:szCs w:val="32"/>
        </w:rPr>
      </w:pPr>
      <w:r>
        <w:rPr>
          <w:rFonts w:ascii="楷体" w:eastAsia="楷体" w:hAnsi="楷体" w:cs="Times New Roman"/>
          <w:b/>
          <w:bCs/>
          <w:sz w:val="32"/>
          <w:szCs w:val="32"/>
        </w:rPr>
        <w:t>归口单位：</w:t>
      </w:r>
      <w:r>
        <w:rPr>
          <w:rFonts w:ascii="Times New Roman" w:eastAsia="仿宋_GB2312" w:hAnsi="Times New Roman" w:cs="Times New Roman"/>
          <w:sz w:val="32"/>
          <w:szCs w:val="32"/>
        </w:rPr>
        <w:t>国家中医药管理局</w:t>
      </w:r>
    </w:p>
    <w:p w14:paraId="7115D508" w14:textId="09423091" w:rsidR="00561395" w:rsidRDefault="00000000">
      <w:pPr>
        <w:ind w:firstLineChars="200" w:firstLine="643"/>
        <w:rPr>
          <w:rFonts w:ascii="Times New Roman" w:eastAsia="仿宋_GB2312" w:hAnsi="Times New Roman" w:cs="Times New Roman"/>
          <w:sz w:val="36"/>
          <w:szCs w:val="36"/>
        </w:rPr>
      </w:pPr>
      <w:r>
        <w:rPr>
          <w:rFonts w:ascii="楷体" w:eastAsia="楷体" w:hAnsi="楷体" w:cs="Times New Roman"/>
          <w:b/>
          <w:bCs/>
          <w:sz w:val="32"/>
          <w:szCs w:val="32"/>
        </w:rPr>
        <w:t>起草单位：</w:t>
      </w:r>
    </w:p>
    <w:p w14:paraId="0661638F" w14:textId="77777777" w:rsidR="00D30333" w:rsidRDefault="00D30333">
      <w:pPr>
        <w:ind w:firstLineChars="200" w:firstLine="720"/>
        <w:rPr>
          <w:rFonts w:ascii="Times New Roman" w:eastAsia="仿宋_GB2312" w:hAnsi="Times New Roman" w:cs="Times New Roman"/>
          <w:sz w:val="36"/>
          <w:szCs w:val="36"/>
        </w:rPr>
      </w:pPr>
    </w:p>
    <w:p w14:paraId="6D9A9262" w14:textId="3C329B4D" w:rsidR="00561395" w:rsidRDefault="00000000">
      <w:pPr>
        <w:pStyle w:val="Default"/>
        <w:ind w:firstLineChars="200" w:firstLine="720"/>
        <w:jc w:val="center"/>
        <w:rPr>
          <w:rFonts w:hint="eastAsia"/>
          <w:sz w:val="30"/>
          <w:szCs w:val="30"/>
        </w:rPr>
        <w:sectPr w:rsidR="00561395">
          <w:footerReference w:type="default" r:id="rId7"/>
          <w:pgSz w:w="11906" w:h="16838"/>
          <w:pgMar w:top="1440" w:right="1800" w:bottom="1440" w:left="1800" w:header="851" w:footer="992" w:gutter="0"/>
          <w:cols w:space="425"/>
          <w:docGrid w:type="lines" w:linePitch="312"/>
        </w:sectPr>
      </w:pPr>
      <w:r>
        <w:rPr>
          <w:rFonts w:ascii="Times New Roman" w:eastAsia="仿宋_GB2312" w:hAnsi="Times New Roman" w:cs="Times New Roman"/>
          <w:sz w:val="36"/>
          <w:szCs w:val="36"/>
        </w:rPr>
        <w:t>202</w:t>
      </w:r>
      <w:r>
        <w:rPr>
          <w:rFonts w:ascii="Times New Roman" w:eastAsia="仿宋_GB2312" w:hAnsi="Times New Roman" w:cs="Times New Roman" w:hint="eastAsia"/>
          <w:sz w:val="36"/>
          <w:szCs w:val="36"/>
        </w:rPr>
        <w:t>4</w:t>
      </w:r>
      <w:r>
        <w:rPr>
          <w:rFonts w:ascii="Times New Roman" w:eastAsia="仿宋_GB2312" w:hAnsi="Times New Roman" w:cs="Times New Roman"/>
          <w:sz w:val="36"/>
          <w:szCs w:val="36"/>
        </w:rPr>
        <w:t>年</w:t>
      </w:r>
      <w:r w:rsidR="00D30333">
        <w:rPr>
          <w:rFonts w:ascii="Times New Roman" w:eastAsia="仿宋_GB2312" w:hAnsi="Times New Roman" w:cs="Times New Roman" w:hint="eastAsia"/>
          <w:sz w:val="36"/>
          <w:szCs w:val="36"/>
        </w:rPr>
        <w:t>10</w:t>
      </w:r>
      <w:r>
        <w:rPr>
          <w:rFonts w:ascii="Times New Roman" w:eastAsia="仿宋_GB2312" w:hAnsi="Times New Roman" w:cs="Times New Roman"/>
          <w:sz w:val="36"/>
          <w:szCs w:val="36"/>
        </w:rPr>
        <w:t>月</w:t>
      </w:r>
    </w:p>
    <w:sdt>
      <w:sdtPr>
        <w:rPr>
          <w:rFonts w:asciiTheme="minorHAnsi" w:eastAsiaTheme="minorEastAsia" w:hAnsiTheme="minorHAnsi" w:cstheme="minorBidi"/>
          <w:color w:val="auto"/>
          <w:kern w:val="2"/>
          <w:sz w:val="21"/>
          <w:szCs w:val="22"/>
          <w:lang w:val="zh-CN"/>
        </w:rPr>
        <w:id w:val="1149253156"/>
        <w:docPartObj>
          <w:docPartGallery w:val="Table of Contents"/>
          <w:docPartUnique/>
        </w:docPartObj>
      </w:sdtPr>
      <w:sdtEndPr>
        <w:rPr>
          <w:rFonts w:ascii="仿宋_GB2312" w:eastAsia="仿宋_GB2312" w:hAnsi="仿宋_GB2312" w:cs="仿宋_GB2312" w:hint="eastAsia"/>
          <w:b/>
          <w:bCs/>
          <w:sz w:val="32"/>
          <w:szCs w:val="32"/>
        </w:rPr>
      </w:sdtEndPr>
      <w:sdtContent>
        <w:p w14:paraId="5DEEAAD1" w14:textId="77777777" w:rsidR="00561395" w:rsidRDefault="00000000">
          <w:pPr>
            <w:pStyle w:val="TOC10"/>
            <w:ind w:firstLineChars="200" w:firstLine="420"/>
            <w:jc w:val="center"/>
            <w:rPr>
              <w:rFonts w:ascii="方正小标宋简体" w:eastAsia="方正小标宋简体" w:hAnsi="黑体"/>
              <w:color w:val="auto"/>
              <w:sz w:val="44"/>
              <w:szCs w:val="44"/>
            </w:rPr>
          </w:pPr>
          <w:r>
            <w:rPr>
              <w:rFonts w:ascii="方正小标宋简体" w:eastAsia="方正小标宋简体" w:hAnsi="黑体" w:hint="eastAsia"/>
              <w:color w:val="auto"/>
              <w:sz w:val="44"/>
              <w:szCs w:val="44"/>
              <w:lang w:val="zh-CN"/>
            </w:rPr>
            <w:t>目  录</w:t>
          </w:r>
        </w:p>
        <w:p w14:paraId="281BFF73" w14:textId="77777777" w:rsidR="00561395" w:rsidRDefault="00000000">
          <w:pPr>
            <w:pStyle w:val="TOC1"/>
            <w:tabs>
              <w:tab w:val="clear" w:pos="8296"/>
              <w:tab w:val="right" w:leader="dot" w:pos="8306"/>
            </w:tabs>
            <w:rPr>
              <w:rFonts w:ascii="仿宋_GB2312" w:eastAsia="仿宋_GB2312" w:hAnsi="仿宋_GB2312" w:cs="仿宋_GB2312"/>
              <w:sz w:val="32"/>
              <w:szCs w:val="32"/>
            </w:rPr>
          </w:pPr>
          <w:r>
            <w:rPr>
              <w:rStyle w:val="af1"/>
              <w:rFonts w:hint="eastAsia"/>
            </w:rPr>
            <w:fldChar w:fldCharType="begin"/>
          </w:r>
          <w:r>
            <w:rPr>
              <w:rStyle w:val="af1"/>
              <w:rFonts w:ascii="仿宋_GB2312" w:eastAsia="仿宋_GB2312" w:hAnsi="仿宋_GB2312" w:cs="仿宋_GB2312" w:hint="eastAsia"/>
              <w:sz w:val="32"/>
              <w:szCs w:val="32"/>
            </w:rPr>
            <w:instrText xml:space="preserve"> TOC \o "1-3" \h \z \u </w:instrText>
          </w:r>
          <w:r>
            <w:rPr>
              <w:rStyle w:val="af1"/>
              <w:rFonts w:hint="eastAsia"/>
            </w:rPr>
            <w:fldChar w:fldCharType="separate"/>
          </w:r>
          <w:hyperlink w:anchor="_Toc18547" w:history="1">
            <w:r w:rsidR="00561395">
              <w:rPr>
                <w:rFonts w:ascii="仿宋_GB2312" w:eastAsia="仿宋_GB2312" w:hAnsi="仿宋_GB2312" w:cs="仿宋_GB2312" w:hint="eastAsia"/>
                <w:sz w:val="32"/>
                <w:szCs w:val="32"/>
              </w:rPr>
              <w:t>一、工作简况</w:t>
            </w:r>
            <w:r w:rsidR="00561395">
              <w:rPr>
                <w:rFonts w:ascii="仿宋_GB2312" w:eastAsia="仿宋_GB2312" w:hAnsi="仿宋_GB2312" w:cs="仿宋_GB2312" w:hint="eastAsia"/>
                <w:sz w:val="32"/>
                <w:szCs w:val="32"/>
              </w:rPr>
              <w:tab/>
            </w:r>
            <w:r w:rsidR="00561395">
              <w:rPr>
                <w:rFonts w:ascii="仿宋_GB2312" w:eastAsia="仿宋_GB2312" w:hAnsi="仿宋_GB2312" w:cs="仿宋_GB2312" w:hint="eastAsia"/>
                <w:sz w:val="32"/>
                <w:szCs w:val="32"/>
              </w:rPr>
              <w:fldChar w:fldCharType="begin"/>
            </w:r>
            <w:r w:rsidR="00561395">
              <w:rPr>
                <w:rFonts w:ascii="仿宋_GB2312" w:eastAsia="仿宋_GB2312" w:hAnsi="仿宋_GB2312" w:cs="仿宋_GB2312" w:hint="eastAsia"/>
                <w:sz w:val="32"/>
                <w:szCs w:val="32"/>
              </w:rPr>
              <w:instrText xml:space="preserve"> PAGEREF _Toc18547 \h </w:instrText>
            </w:r>
            <w:r w:rsidR="00561395">
              <w:rPr>
                <w:rFonts w:ascii="仿宋_GB2312" w:eastAsia="仿宋_GB2312" w:hAnsi="仿宋_GB2312" w:cs="仿宋_GB2312" w:hint="eastAsia"/>
                <w:sz w:val="32"/>
                <w:szCs w:val="32"/>
              </w:rPr>
            </w:r>
            <w:r w:rsidR="00561395">
              <w:rPr>
                <w:rFonts w:ascii="仿宋_GB2312" w:eastAsia="仿宋_GB2312" w:hAnsi="仿宋_GB2312" w:cs="仿宋_GB2312" w:hint="eastAsia"/>
                <w:sz w:val="32"/>
                <w:szCs w:val="32"/>
              </w:rPr>
              <w:fldChar w:fldCharType="separate"/>
            </w:r>
            <w:r w:rsidR="00561395">
              <w:rPr>
                <w:rFonts w:ascii="仿宋_GB2312" w:eastAsia="仿宋_GB2312" w:hAnsi="仿宋_GB2312" w:cs="仿宋_GB2312" w:hint="eastAsia"/>
                <w:sz w:val="32"/>
                <w:szCs w:val="32"/>
              </w:rPr>
              <w:t>1</w:t>
            </w:r>
            <w:r w:rsidR="00561395">
              <w:rPr>
                <w:rFonts w:ascii="仿宋_GB2312" w:eastAsia="仿宋_GB2312" w:hAnsi="仿宋_GB2312" w:cs="仿宋_GB2312" w:hint="eastAsia"/>
                <w:sz w:val="32"/>
                <w:szCs w:val="32"/>
              </w:rPr>
              <w:fldChar w:fldCharType="end"/>
            </w:r>
          </w:hyperlink>
        </w:p>
        <w:p w14:paraId="5523AB5A" w14:textId="77777777" w:rsidR="00561395" w:rsidRDefault="00561395">
          <w:pPr>
            <w:pStyle w:val="TOC2"/>
            <w:tabs>
              <w:tab w:val="clear" w:pos="8296"/>
              <w:tab w:val="right" w:leader="dot" w:pos="8306"/>
            </w:tabs>
            <w:rPr>
              <w:rFonts w:ascii="仿宋_GB2312" w:eastAsia="仿宋_GB2312" w:hAnsi="仿宋_GB2312" w:cs="仿宋_GB2312"/>
              <w:sz w:val="32"/>
              <w:szCs w:val="32"/>
            </w:rPr>
          </w:pPr>
          <w:hyperlink w:anchor="_Toc26334" w:history="1">
            <w:r>
              <w:rPr>
                <w:rFonts w:ascii="仿宋_GB2312" w:eastAsia="仿宋_GB2312" w:hAnsi="仿宋_GB2312" w:cs="仿宋_GB2312" w:hint="eastAsia"/>
                <w:sz w:val="32"/>
                <w:szCs w:val="32"/>
              </w:rPr>
              <w:t>（一）工作背景</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_Toc26334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fldChar w:fldCharType="end"/>
            </w:r>
          </w:hyperlink>
        </w:p>
        <w:p w14:paraId="54718DF6" w14:textId="77777777" w:rsidR="00561395" w:rsidRDefault="00561395">
          <w:pPr>
            <w:pStyle w:val="TOC2"/>
            <w:tabs>
              <w:tab w:val="clear" w:pos="8296"/>
              <w:tab w:val="right" w:leader="dot" w:pos="8306"/>
            </w:tabs>
            <w:rPr>
              <w:rFonts w:ascii="仿宋_GB2312" w:eastAsia="仿宋_GB2312" w:hAnsi="仿宋_GB2312" w:cs="仿宋_GB2312"/>
              <w:sz w:val="32"/>
              <w:szCs w:val="32"/>
            </w:rPr>
          </w:pPr>
          <w:hyperlink w:anchor="_Toc1035" w:history="1">
            <w:r>
              <w:rPr>
                <w:rFonts w:ascii="仿宋_GB2312" w:eastAsia="仿宋_GB2312" w:hAnsi="仿宋_GB2312" w:cs="仿宋_GB2312" w:hint="eastAsia"/>
                <w:sz w:val="32"/>
                <w:szCs w:val="32"/>
              </w:rPr>
              <w:t>（二）关键进展</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_Toc1035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fldChar w:fldCharType="end"/>
            </w:r>
          </w:hyperlink>
        </w:p>
        <w:p w14:paraId="235FF049" w14:textId="77777777" w:rsidR="00561395" w:rsidRDefault="00561395">
          <w:pPr>
            <w:pStyle w:val="TOC2"/>
            <w:tabs>
              <w:tab w:val="clear" w:pos="8296"/>
              <w:tab w:val="right" w:leader="dot" w:pos="8306"/>
            </w:tabs>
            <w:rPr>
              <w:rFonts w:ascii="仿宋_GB2312" w:eastAsia="仿宋_GB2312" w:hAnsi="仿宋_GB2312" w:cs="仿宋_GB2312"/>
              <w:sz w:val="32"/>
              <w:szCs w:val="32"/>
            </w:rPr>
          </w:pPr>
          <w:hyperlink w:anchor="_Toc17513" w:history="1">
            <w:r>
              <w:rPr>
                <w:rFonts w:ascii="仿宋_GB2312" w:eastAsia="仿宋_GB2312" w:hAnsi="仿宋_GB2312" w:cs="仿宋_GB2312" w:hint="eastAsia"/>
                <w:sz w:val="32"/>
                <w:szCs w:val="32"/>
              </w:rPr>
              <w:t>（三）起草单位</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_Toc17513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fldChar w:fldCharType="end"/>
            </w:r>
          </w:hyperlink>
        </w:p>
        <w:p w14:paraId="3291D2CC" w14:textId="77777777" w:rsidR="00561395" w:rsidRDefault="00561395">
          <w:pPr>
            <w:pStyle w:val="TOC2"/>
            <w:tabs>
              <w:tab w:val="clear" w:pos="8296"/>
              <w:tab w:val="right" w:leader="dot" w:pos="8306"/>
            </w:tabs>
            <w:rPr>
              <w:rFonts w:ascii="仿宋_GB2312" w:eastAsia="仿宋_GB2312" w:hAnsi="仿宋_GB2312" w:cs="仿宋_GB2312"/>
              <w:sz w:val="32"/>
              <w:szCs w:val="32"/>
            </w:rPr>
          </w:pPr>
          <w:hyperlink w:anchor="_Toc30736" w:history="1">
            <w:r>
              <w:rPr>
                <w:rFonts w:ascii="仿宋_GB2312" w:eastAsia="仿宋_GB2312" w:hAnsi="仿宋_GB2312" w:cs="仿宋_GB2312" w:hint="eastAsia"/>
                <w:sz w:val="32"/>
                <w:szCs w:val="32"/>
              </w:rPr>
              <w:t>（四）主要起草人</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_Toc30736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fldChar w:fldCharType="end"/>
            </w:r>
          </w:hyperlink>
        </w:p>
        <w:p w14:paraId="1F50B161" w14:textId="77777777" w:rsidR="00561395" w:rsidRDefault="00561395">
          <w:pPr>
            <w:pStyle w:val="TOC1"/>
            <w:tabs>
              <w:tab w:val="clear" w:pos="8296"/>
              <w:tab w:val="right" w:leader="dot" w:pos="8306"/>
            </w:tabs>
            <w:rPr>
              <w:rFonts w:ascii="仿宋_GB2312" w:eastAsia="仿宋_GB2312" w:hAnsi="仿宋_GB2312" w:cs="仿宋_GB2312"/>
              <w:sz w:val="32"/>
              <w:szCs w:val="32"/>
            </w:rPr>
          </w:pPr>
          <w:hyperlink w:anchor="_Toc2434" w:history="1">
            <w:r>
              <w:rPr>
                <w:rFonts w:ascii="仿宋_GB2312" w:eastAsia="仿宋_GB2312" w:hAnsi="仿宋_GB2312" w:cs="仿宋_GB2312" w:hint="eastAsia"/>
                <w:sz w:val="32"/>
                <w:szCs w:val="32"/>
              </w:rPr>
              <w:t>二、标准制定原则</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_Toc2434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fldChar w:fldCharType="end"/>
            </w:r>
          </w:hyperlink>
        </w:p>
        <w:p w14:paraId="75B1A4D6" w14:textId="77777777" w:rsidR="00561395" w:rsidRDefault="00561395">
          <w:pPr>
            <w:pStyle w:val="TOC2"/>
            <w:tabs>
              <w:tab w:val="clear" w:pos="8296"/>
              <w:tab w:val="right" w:leader="dot" w:pos="8306"/>
            </w:tabs>
            <w:rPr>
              <w:rFonts w:ascii="仿宋_GB2312" w:eastAsia="仿宋_GB2312" w:hAnsi="仿宋_GB2312" w:cs="仿宋_GB2312"/>
              <w:sz w:val="32"/>
              <w:szCs w:val="32"/>
            </w:rPr>
          </w:pPr>
          <w:hyperlink w:anchor="_Toc28647" w:history="1">
            <w:r>
              <w:rPr>
                <w:rFonts w:ascii="仿宋_GB2312" w:eastAsia="仿宋_GB2312" w:hAnsi="仿宋_GB2312" w:cs="仿宋_GB2312" w:hint="eastAsia"/>
                <w:sz w:val="32"/>
                <w:szCs w:val="32"/>
              </w:rPr>
              <w:t>（一）科学性</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_Toc28647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fldChar w:fldCharType="end"/>
            </w:r>
          </w:hyperlink>
        </w:p>
        <w:p w14:paraId="3B0D9456" w14:textId="77777777" w:rsidR="00561395" w:rsidRDefault="00561395">
          <w:pPr>
            <w:pStyle w:val="TOC2"/>
            <w:tabs>
              <w:tab w:val="clear" w:pos="8296"/>
              <w:tab w:val="right" w:leader="dot" w:pos="8306"/>
            </w:tabs>
            <w:rPr>
              <w:rFonts w:ascii="仿宋_GB2312" w:eastAsia="仿宋_GB2312" w:hAnsi="仿宋_GB2312" w:cs="仿宋_GB2312"/>
              <w:sz w:val="32"/>
              <w:szCs w:val="32"/>
            </w:rPr>
          </w:pPr>
          <w:hyperlink w:anchor="_Toc19642" w:history="1">
            <w:r>
              <w:rPr>
                <w:rFonts w:ascii="仿宋_GB2312" w:eastAsia="仿宋_GB2312" w:hAnsi="仿宋_GB2312" w:cs="仿宋_GB2312" w:hint="eastAsia"/>
                <w:sz w:val="32"/>
                <w:szCs w:val="32"/>
              </w:rPr>
              <w:t>（二）先进性</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_Toc19642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fldChar w:fldCharType="end"/>
            </w:r>
          </w:hyperlink>
        </w:p>
        <w:p w14:paraId="130084FB" w14:textId="77777777" w:rsidR="00561395" w:rsidRDefault="00561395">
          <w:pPr>
            <w:pStyle w:val="TOC2"/>
            <w:tabs>
              <w:tab w:val="clear" w:pos="8296"/>
              <w:tab w:val="right" w:leader="dot" w:pos="8306"/>
            </w:tabs>
            <w:rPr>
              <w:rFonts w:ascii="仿宋_GB2312" w:eastAsia="仿宋_GB2312" w:hAnsi="仿宋_GB2312" w:cs="仿宋_GB2312"/>
              <w:sz w:val="32"/>
              <w:szCs w:val="32"/>
            </w:rPr>
          </w:pPr>
          <w:hyperlink w:anchor="_Toc9644" w:history="1">
            <w:r>
              <w:rPr>
                <w:rFonts w:ascii="仿宋_GB2312" w:eastAsia="仿宋_GB2312" w:hAnsi="仿宋_GB2312" w:cs="仿宋_GB2312" w:hint="eastAsia"/>
                <w:sz w:val="32"/>
                <w:szCs w:val="32"/>
              </w:rPr>
              <w:t>（三）可操作性</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_Toc9644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fldChar w:fldCharType="end"/>
            </w:r>
          </w:hyperlink>
        </w:p>
        <w:p w14:paraId="15FA4D94" w14:textId="77777777" w:rsidR="00561395" w:rsidRDefault="00561395">
          <w:pPr>
            <w:pStyle w:val="TOC1"/>
            <w:tabs>
              <w:tab w:val="clear" w:pos="8296"/>
              <w:tab w:val="right" w:leader="dot" w:pos="8306"/>
            </w:tabs>
            <w:rPr>
              <w:rFonts w:ascii="仿宋_GB2312" w:eastAsia="仿宋_GB2312" w:hAnsi="仿宋_GB2312" w:cs="仿宋_GB2312"/>
              <w:sz w:val="32"/>
              <w:szCs w:val="32"/>
            </w:rPr>
          </w:pPr>
          <w:hyperlink w:anchor="_Toc11841" w:history="1">
            <w:r>
              <w:rPr>
                <w:rFonts w:ascii="仿宋_GB2312" w:eastAsia="仿宋_GB2312" w:hAnsi="仿宋_GB2312" w:cs="仿宋_GB2312" w:hint="eastAsia"/>
                <w:sz w:val="32"/>
                <w:szCs w:val="32"/>
              </w:rPr>
              <w:t>三、主要内容</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_Toc11841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fldChar w:fldCharType="end"/>
            </w:r>
          </w:hyperlink>
        </w:p>
        <w:p w14:paraId="3E7EE9AD" w14:textId="77777777" w:rsidR="00561395" w:rsidRDefault="00561395">
          <w:pPr>
            <w:pStyle w:val="TOC2"/>
            <w:tabs>
              <w:tab w:val="clear" w:pos="8296"/>
              <w:tab w:val="right" w:leader="dot" w:pos="8306"/>
            </w:tabs>
            <w:rPr>
              <w:rFonts w:ascii="仿宋_GB2312" w:eastAsia="仿宋_GB2312" w:hAnsi="仿宋_GB2312" w:cs="仿宋_GB2312"/>
              <w:sz w:val="32"/>
              <w:szCs w:val="32"/>
            </w:rPr>
          </w:pPr>
          <w:hyperlink w:anchor="_Toc30003" w:history="1">
            <w:r>
              <w:rPr>
                <w:rFonts w:ascii="仿宋_GB2312" w:eastAsia="仿宋_GB2312" w:hAnsi="仿宋_GB2312" w:cs="仿宋_GB2312" w:hint="eastAsia"/>
                <w:kern w:val="0"/>
                <w:sz w:val="32"/>
                <w:szCs w:val="32"/>
              </w:rPr>
              <w:t>（一</w:t>
            </w:r>
            <w:r>
              <w:rPr>
                <w:rFonts w:ascii="仿宋_GB2312" w:eastAsia="仿宋_GB2312" w:hAnsi="仿宋_GB2312" w:cs="仿宋_GB2312" w:hint="eastAsia"/>
                <w:sz w:val="32"/>
                <w:szCs w:val="32"/>
              </w:rPr>
              <w:t>）总体结构</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_Toc30003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fldChar w:fldCharType="end"/>
            </w:r>
          </w:hyperlink>
        </w:p>
        <w:p w14:paraId="25D7738E" w14:textId="77777777" w:rsidR="00561395" w:rsidRDefault="00561395">
          <w:pPr>
            <w:pStyle w:val="TOC2"/>
            <w:tabs>
              <w:tab w:val="clear" w:pos="8296"/>
              <w:tab w:val="right" w:leader="dot" w:pos="8306"/>
            </w:tabs>
            <w:rPr>
              <w:rFonts w:ascii="仿宋_GB2312" w:eastAsia="仿宋_GB2312" w:hAnsi="仿宋_GB2312" w:cs="仿宋_GB2312"/>
              <w:sz w:val="32"/>
              <w:szCs w:val="32"/>
            </w:rPr>
          </w:pPr>
          <w:hyperlink w:anchor="_Toc28025" w:history="1">
            <w:r>
              <w:rPr>
                <w:rFonts w:ascii="仿宋_GB2312" w:eastAsia="仿宋_GB2312" w:hAnsi="仿宋_GB2312" w:cs="仿宋_GB2312" w:hint="eastAsia"/>
                <w:sz w:val="32"/>
                <w:szCs w:val="32"/>
              </w:rPr>
              <w:t>（二）各部分内容</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_Toc28025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fldChar w:fldCharType="end"/>
            </w:r>
          </w:hyperlink>
        </w:p>
        <w:p w14:paraId="5578E307" w14:textId="77777777" w:rsidR="00561395" w:rsidRDefault="00561395">
          <w:pPr>
            <w:pStyle w:val="TOC1"/>
            <w:tabs>
              <w:tab w:val="clear" w:pos="8296"/>
              <w:tab w:val="right" w:leader="dot" w:pos="8306"/>
            </w:tabs>
            <w:rPr>
              <w:rFonts w:ascii="仿宋_GB2312" w:eastAsia="仿宋_GB2312" w:hAnsi="仿宋_GB2312" w:cs="仿宋_GB2312"/>
              <w:sz w:val="32"/>
              <w:szCs w:val="32"/>
            </w:rPr>
          </w:pPr>
          <w:hyperlink w:anchor="_Toc4042" w:history="1">
            <w:r>
              <w:rPr>
                <w:rFonts w:ascii="仿宋_GB2312" w:eastAsia="仿宋_GB2312" w:hAnsi="仿宋_GB2312" w:cs="仿宋_GB2312" w:hint="eastAsia"/>
                <w:sz w:val="32"/>
                <w:szCs w:val="32"/>
              </w:rPr>
              <w:t>四、主要工作过程</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_Toc4042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fldChar w:fldCharType="end"/>
            </w:r>
          </w:hyperlink>
        </w:p>
        <w:p w14:paraId="19AA7895" w14:textId="77777777" w:rsidR="00561395" w:rsidRDefault="00561395">
          <w:pPr>
            <w:pStyle w:val="TOC2"/>
            <w:tabs>
              <w:tab w:val="clear" w:pos="8296"/>
              <w:tab w:val="right" w:leader="dot" w:pos="8306"/>
            </w:tabs>
            <w:rPr>
              <w:rFonts w:ascii="仿宋_GB2312" w:eastAsia="仿宋_GB2312" w:hAnsi="仿宋_GB2312" w:cs="仿宋_GB2312"/>
              <w:sz w:val="32"/>
              <w:szCs w:val="32"/>
            </w:rPr>
          </w:pPr>
          <w:hyperlink w:anchor="_Toc28703" w:history="1">
            <w:r>
              <w:rPr>
                <w:rFonts w:ascii="仿宋_GB2312" w:eastAsia="仿宋_GB2312" w:hAnsi="仿宋_GB2312" w:cs="仿宋_GB2312" w:hint="eastAsia"/>
                <w:sz w:val="32"/>
                <w:szCs w:val="32"/>
              </w:rPr>
              <w:t>（一）立项阶段</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_Toc28703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fldChar w:fldCharType="end"/>
            </w:r>
          </w:hyperlink>
        </w:p>
        <w:p w14:paraId="3BE0BB54" w14:textId="77777777" w:rsidR="00561395" w:rsidRDefault="00561395">
          <w:pPr>
            <w:pStyle w:val="TOC2"/>
            <w:tabs>
              <w:tab w:val="clear" w:pos="8296"/>
              <w:tab w:val="right" w:leader="dot" w:pos="8306"/>
            </w:tabs>
            <w:rPr>
              <w:rFonts w:ascii="仿宋_GB2312" w:eastAsia="仿宋_GB2312" w:hAnsi="仿宋_GB2312" w:cs="仿宋_GB2312"/>
              <w:sz w:val="32"/>
              <w:szCs w:val="32"/>
            </w:rPr>
          </w:pPr>
          <w:hyperlink w:anchor="_Toc32567" w:history="1">
            <w:r>
              <w:rPr>
                <w:rFonts w:ascii="仿宋_GB2312" w:eastAsia="仿宋_GB2312" w:hAnsi="仿宋_GB2312" w:cs="仿宋_GB2312" w:hint="eastAsia"/>
                <w:sz w:val="32"/>
                <w:szCs w:val="32"/>
              </w:rPr>
              <w:t>（二）起草阶段</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_Toc32567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fldChar w:fldCharType="end"/>
            </w:r>
          </w:hyperlink>
        </w:p>
        <w:p w14:paraId="377F5F21" w14:textId="77777777" w:rsidR="00561395" w:rsidRDefault="00561395">
          <w:pPr>
            <w:pStyle w:val="TOC2"/>
            <w:tabs>
              <w:tab w:val="clear" w:pos="8296"/>
              <w:tab w:val="right" w:leader="dot" w:pos="8306"/>
            </w:tabs>
            <w:rPr>
              <w:rFonts w:ascii="仿宋_GB2312" w:eastAsia="仿宋_GB2312" w:hAnsi="仿宋_GB2312" w:cs="仿宋_GB2312"/>
              <w:sz w:val="32"/>
              <w:szCs w:val="32"/>
            </w:rPr>
          </w:pPr>
          <w:hyperlink w:anchor="_Toc28637" w:history="1">
            <w:r>
              <w:rPr>
                <w:rFonts w:ascii="仿宋_GB2312" w:eastAsia="仿宋_GB2312" w:hAnsi="仿宋_GB2312" w:cs="仿宋_GB2312" w:hint="eastAsia"/>
                <w:sz w:val="32"/>
                <w:szCs w:val="32"/>
              </w:rPr>
              <w:t>（三）征求意见并形成报批稿</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_Toc28637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fldChar w:fldCharType="end"/>
            </w:r>
          </w:hyperlink>
        </w:p>
        <w:p w14:paraId="2C71581F" w14:textId="77777777" w:rsidR="00561395" w:rsidRDefault="00561395">
          <w:pPr>
            <w:pStyle w:val="TOC1"/>
            <w:tabs>
              <w:tab w:val="clear" w:pos="8296"/>
              <w:tab w:val="right" w:leader="dot" w:pos="8306"/>
            </w:tabs>
            <w:rPr>
              <w:rFonts w:ascii="仿宋_GB2312" w:eastAsia="仿宋_GB2312" w:hAnsi="仿宋_GB2312" w:cs="仿宋_GB2312"/>
              <w:sz w:val="32"/>
              <w:szCs w:val="32"/>
            </w:rPr>
          </w:pPr>
          <w:hyperlink w:anchor="_Toc31118" w:history="1">
            <w:r>
              <w:rPr>
                <w:rFonts w:ascii="仿宋_GB2312" w:eastAsia="仿宋_GB2312" w:hAnsi="仿宋_GB2312" w:cs="仿宋_GB2312" w:hint="eastAsia"/>
                <w:sz w:val="32"/>
                <w:szCs w:val="32"/>
              </w:rPr>
              <w:t>五、与有关法律、行政法规及相关标准的关系</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_Toc31118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fldChar w:fldCharType="end"/>
            </w:r>
          </w:hyperlink>
        </w:p>
        <w:p w14:paraId="134E5CA7" w14:textId="77777777" w:rsidR="00561395" w:rsidRDefault="00561395">
          <w:pPr>
            <w:pStyle w:val="TOC1"/>
            <w:tabs>
              <w:tab w:val="clear" w:pos="8296"/>
              <w:tab w:val="right" w:leader="dot" w:pos="8306"/>
            </w:tabs>
            <w:rPr>
              <w:rFonts w:ascii="仿宋_GB2312" w:eastAsia="仿宋_GB2312" w:hAnsi="仿宋_GB2312" w:cs="仿宋_GB2312"/>
              <w:sz w:val="32"/>
              <w:szCs w:val="32"/>
            </w:rPr>
          </w:pPr>
          <w:hyperlink w:anchor="_Toc26942" w:history="1">
            <w:r>
              <w:rPr>
                <w:rFonts w:ascii="仿宋_GB2312" w:eastAsia="仿宋_GB2312" w:hAnsi="仿宋_GB2312" w:cs="仿宋_GB2312" w:hint="eastAsia"/>
                <w:sz w:val="32"/>
                <w:szCs w:val="32"/>
              </w:rPr>
              <w:t>六、采用国际国外标准的情况</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_Toc26942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fldChar w:fldCharType="end"/>
            </w:r>
          </w:hyperlink>
        </w:p>
        <w:p w14:paraId="40453FC5" w14:textId="77777777" w:rsidR="00561395" w:rsidRDefault="00561395">
          <w:pPr>
            <w:pStyle w:val="TOC1"/>
            <w:tabs>
              <w:tab w:val="clear" w:pos="8296"/>
              <w:tab w:val="right" w:leader="dot" w:pos="8306"/>
            </w:tabs>
            <w:rPr>
              <w:rFonts w:ascii="仿宋_GB2312" w:eastAsia="仿宋_GB2312" w:hAnsi="仿宋_GB2312" w:cs="仿宋_GB2312"/>
              <w:sz w:val="32"/>
              <w:szCs w:val="32"/>
            </w:rPr>
          </w:pPr>
          <w:hyperlink w:anchor="_Toc21715" w:history="1">
            <w:r>
              <w:rPr>
                <w:rFonts w:ascii="仿宋_GB2312" w:eastAsia="仿宋_GB2312" w:hAnsi="仿宋_GB2312" w:cs="仿宋_GB2312" w:hint="eastAsia"/>
                <w:sz w:val="32"/>
                <w:szCs w:val="32"/>
              </w:rPr>
              <w:t>七、重大分歧意见的处理经过和依据</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_Toc21715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fldChar w:fldCharType="end"/>
            </w:r>
          </w:hyperlink>
        </w:p>
        <w:p w14:paraId="3BAC3EE2" w14:textId="77777777" w:rsidR="00561395" w:rsidRDefault="00561395">
          <w:pPr>
            <w:pStyle w:val="TOC1"/>
            <w:tabs>
              <w:tab w:val="clear" w:pos="8296"/>
              <w:tab w:val="right" w:leader="dot" w:pos="8306"/>
            </w:tabs>
            <w:rPr>
              <w:rFonts w:ascii="仿宋_GB2312" w:eastAsia="仿宋_GB2312" w:hAnsi="仿宋_GB2312" w:cs="仿宋_GB2312"/>
              <w:sz w:val="32"/>
              <w:szCs w:val="32"/>
            </w:rPr>
          </w:pPr>
          <w:hyperlink w:anchor="_Toc32597" w:history="1">
            <w:r>
              <w:rPr>
                <w:rFonts w:ascii="仿宋_GB2312" w:eastAsia="仿宋_GB2312" w:hAnsi="仿宋_GB2312" w:cs="仿宋_GB2312" w:hint="eastAsia"/>
                <w:sz w:val="32"/>
                <w:szCs w:val="32"/>
              </w:rPr>
              <w:t>八、贯彻标准的要求和措施建议</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_Toc32597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fldChar w:fldCharType="end"/>
            </w:r>
          </w:hyperlink>
        </w:p>
        <w:p w14:paraId="59F54788" w14:textId="77777777" w:rsidR="00561395" w:rsidRDefault="00561395">
          <w:pPr>
            <w:pStyle w:val="TOC1"/>
            <w:tabs>
              <w:tab w:val="clear" w:pos="8296"/>
              <w:tab w:val="right" w:leader="dot" w:pos="8306"/>
            </w:tabs>
            <w:rPr>
              <w:rFonts w:ascii="仿宋_GB2312" w:eastAsia="仿宋_GB2312" w:hAnsi="仿宋_GB2312" w:cs="仿宋_GB2312"/>
              <w:sz w:val="32"/>
              <w:szCs w:val="32"/>
            </w:rPr>
          </w:pPr>
          <w:hyperlink w:anchor="_Toc8319" w:history="1">
            <w:r>
              <w:rPr>
                <w:rFonts w:ascii="仿宋_GB2312" w:eastAsia="仿宋_GB2312" w:hAnsi="仿宋_GB2312" w:cs="仿宋_GB2312" w:hint="eastAsia"/>
                <w:sz w:val="32"/>
                <w:szCs w:val="32"/>
              </w:rPr>
              <w:t>九、废止现行有关标准的建议</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_Toc8319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fldChar w:fldCharType="end"/>
            </w:r>
          </w:hyperlink>
        </w:p>
        <w:p w14:paraId="15210E1B" w14:textId="4F22E734" w:rsidR="00561395" w:rsidRDefault="00561395">
          <w:pPr>
            <w:pStyle w:val="TOC1"/>
            <w:tabs>
              <w:tab w:val="clear" w:pos="8296"/>
              <w:tab w:val="right" w:leader="dot" w:pos="8306"/>
            </w:tabs>
            <w:rPr>
              <w:rFonts w:ascii="仿宋_GB2312" w:eastAsia="仿宋_GB2312" w:hAnsi="仿宋_GB2312" w:cs="仿宋_GB2312"/>
              <w:sz w:val="32"/>
              <w:szCs w:val="32"/>
            </w:rPr>
          </w:pPr>
          <w:hyperlink w:anchor="_Toc24989" w:history="1">
            <w:r>
              <w:rPr>
                <w:rFonts w:ascii="仿宋_GB2312" w:eastAsia="仿宋_GB2312" w:hAnsi="仿宋_GB2312" w:cs="仿宋_GB2312" w:hint="eastAsia"/>
                <w:sz w:val="32"/>
                <w:szCs w:val="32"/>
              </w:rPr>
              <w:t>十、其他应当说明的事项</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_Toc24989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fldChar w:fldCharType="end"/>
            </w:r>
          </w:hyperlink>
        </w:p>
        <w:p w14:paraId="3026D343" w14:textId="77777777" w:rsidR="00561395" w:rsidRDefault="00000000">
          <w:pPr>
            <w:pStyle w:val="TOC1"/>
            <w:ind w:firstLineChars="200" w:firstLine="640"/>
            <w:rPr>
              <w:rFonts w:ascii="仿宋_GB2312" w:eastAsia="仿宋_GB2312" w:hAnsi="仿宋_GB2312" w:cs="仿宋_GB2312"/>
              <w:sz w:val="32"/>
              <w:szCs w:val="32"/>
            </w:rPr>
            <w:sectPr w:rsidR="00561395">
              <w:pgSz w:w="11906" w:h="16838"/>
              <w:pgMar w:top="1440" w:right="1800" w:bottom="1440" w:left="1800" w:header="851" w:footer="992" w:gutter="0"/>
              <w:cols w:space="425"/>
              <w:docGrid w:type="lines" w:linePitch="312"/>
            </w:sectPr>
          </w:pPr>
          <w:r>
            <w:rPr>
              <w:rFonts w:ascii="仿宋_GB2312" w:eastAsia="仿宋_GB2312" w:hAnsi="仿宋_GB2312" w:cs="仿宋_GB2312" w:hint="eastAsia"/>
              <w:sz w:val="32"/>
              <w:szCs w:val="32"/>
            </w:rPr>
            <w:fldChar w:fldCharType="end"/>
          </w:r>
        </w:p>
      </w:sdtContent>
    </w:sdt>
    <w:p w14:paraId="5C8386AF" w14:textId="77777777" w:rsidR="00561395" w:rsidRDefault="00000000">
      <w:pPr>
        <w:pStyle w:val="1"/>
        <w:ind w:firstLineChars="200" w:firstLine="640"/>
      </w:pPr>
      <w:bookmarkStart w:id="0" w:name="_Toc18547"/>
      <w:r>
        <w:rPr>
          <w:rFonts w:hint="eastAsia"/>
        </w:rPr>
        <w:lastRenderedPageBreak/>
        <w:t>一、工作简况</w:t>
      </w:r>
      <w:bookmarkEnd w:id="0"/>
    </w:p>
    <w:p w14:paraId="3CD2BD25" w14:textId="77777777" w:rsidR="00561395" w:rsidRDefault="00000000">
      <w:pPr>
        <w:pStyle w:val="2"/>
        <w:ind w:firstLineChars="200" w:firstLine="643"/>
        <w:rPr>
          <w:rFonts w:ascii="仿宋_GB2312" w:eastAsia="仿宋_GB2312" w:hAnsi="仿宋" w:cs="仿宋_GB2312"/>
        </w:rPr>
      </w:pPr>
      <w:bookmarkStart w:id="1" w:name="_Toc26334"/>
      <w:r>
        <w:rPr>
          <w:rFonts w:hint="eastAsia"/>
        </w:rPr>
        <w:t>（一）工作背景</w:t>
      </w:r>
      <w:bookmarkEnd w:id="1"/>
    </w:p>
    <w:p w14:paraId="7BAEF88C" w14:textId="77777777" w:rsidR="00561395" w:rsidRDefault="00000000">
      <w:pPr>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《中医病证诊断疗效标准》（ZY/T 001.1～001.9）由国家中医药管理局于1995年1月1日正式实施。该标准自发布以来，已广泛应用于中医临床和科研工作中，有效提升了中医药行业的标准化水平，对中医药的传承、创新与学科建设起到了重要作用。《中医药标准化中长期发展规划纲要（2011-2020年）》提出，要研究制定中医疗效评价标准，修订中医病证诊断疗效标准，并开展中医临床疗效评价标准的示范性研究。这些政策的实施，凸显了修订该标准的重要性和意义。ZY/T 001.1～001.9自发布以来已近30年，其中一些技术内容缺乏科学研究方法和证据支撑，难以满足当前中医疾病诊断、疗效评价和证候评价的需求，不足以支撑新时代中医药高质量发展的要求。</w:t>
      </w:r>
    </w:p>
    <w:p w14:paraId="02821756" w14:textId="77777777" w:rsidR="00561395" w:rsidRDefault="00000000">
      <w:pPr>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以内科病证眩晕为例，目前《中医病证诊断疗效标准  眩晕》存在诊断标准缺乏较好的敏感度、特异度和判断准确率，疗效评价标准缺乏较为满意的信度、效度和反应度，不能适应现代中医临床实际的需要等问题。因此启动《中医内科病证诊断疗效标准  眩晕》的修订工作，为提升中医临床诊疗服务质量和规范中医临床行为提供指导依据，同时也有助于在新的历史时期继续推动中医药的发展，并更好地服务于患者。</w:t>
      </w:r>
    </w:p>
    <w:p w14:paraId="53C5F71D" w14:textId="77777777" w:rsidR="00561395" w:rsidRDefault="00000000">
      <w:pPr>
        <w:pStyle w:val="2"/>
        <w:ind w:firstLineChars="200" w:firstLine="643"/>
      </w:pPr>
      <w:bookmarkStart w:id="2" w:name="_Toc1035"/>
      <w:r>
        <w:rPr>
          <w:rFonts w:hint="eastAsia"/>
        </w:rPr>
        <w:t>（二）关键进展</w:t>
      </w:r>
      <w:bookmarkEnd w:id="2"/>
    </w:p>
    <w:p w14:paraId="6CA5E834" w14:textId="77777777" w:rsidR="00561395" w:rsidRDefault="00000000">
      <w:pPr>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2017年至今，国家中医药管理局陆续开展《中医病证诊断疗效评价行业标准示范性修订》研究，每年5-10个病种，眩晕为第一批示范病种。团队开展了眩晕</w:t>
      </w:r>
      <w:r>
        <w:rPr>
          <w:rFonts w:ascii="仿宋_GB2312" w:eastAsia="仿宋_GB2312" w:hint="eastAsia"/>
          <w:sz w:val="32"/>
          <w:szCs w:val="32"/>
        </w:rPr>
        <w:t>行业标准示范性修订的与预研究。</w:t>
      </w:r>
    </w:p>
    <w:p w14:paraId="33CA0D79" w14:textId="77777777" w:rsidR="00561395" w:rsidRDefault="00000000">
      <w:pPr>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lastRenderedPageBreak/>
        <w:t>眩晕标准修订工作于2024年启动，2024年7月正式完成标准文本起草。本文件修订期间，按照GB/T 1.1-2020《标准化工作导则 第1部分:标准化文件的结构和起草规则》、ZY/T 10—2024《中医病证诊断与疗效评价规范制修订通则》起草，结合中医相关科室专家、中西医结合专家、方法学专家等多学科专家意见，于2024年6月成立了《中医内科病证诊断疗效标准修订--眩晕》项目起草工作组。项目起草组遵循修订程序，通过原标准适用性评价，古籍文献研究，现代文献研究，专家问卷调查德尔菲法等步骤，形成了《中医内科病证诊断疗效标准修订  眩晕》的草案，包括疾病诊断、鉴别诊断、证候分类、疗效评定等部分。经专家指导组审核后，报国家中医药管理局开展为期一个月的公开征求意见。本文件制定过程中关键进展的时间节点如下：</w:t>
      </w:r>
    </w:p>
    <w:p w14:paraId="6973BB16" w14:textId="77777777" w:rsidR="00561395" w:rsidRDefault="00000000">
      <w:pPr>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2024年5月启动，成立了《中医内科病证诊断疗效标准修订  眩晕》项目起草工作组。</w:t>
      </w:r>
    </w:p>
    <w:p w14:paraId="17DD3CEC" w14:textId="77777777" w:rsidR="00561395" w:rsidRDefault="00000000">
      <w:pPr>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2024年6月完成古代文献研究与现代文献研究。</w:t>
      </w:r>
    </w:p>
    <w:p w14:paraId="1D76DBDD" w14:textId="77777777" w:rsidR="00561395" w:rsidRDefault="00000000">
      <w:pPr>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2024年7月完成适用性评价，3轮专家问卷，形成标准草案。</w:t>
      </w:r>
    </w:p>
    <w:p w14:paraId="73DD749D" w14:textId="77777777" w:rsidR="00561395" w:rsidRDefault="00000000">
      <w:pPr>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2024年7月，召开专家共识会议，就标准草案广泛征求意见，征集到25</w:t>
      </w:r>
      <w:r>
        <w:rPr>
          <w:rFonts w:ascii="仿宋_GB2312" w:eastAsia="仿宋_GB2312" w:hAnsi="仿宋" w:cs="仿宋_GB2312"/>
          <w:sz w:val="32"/>
          <w:szCs w:val="32"/>
        </w:rPr>
        <w:t>位专家</w:t>
      </w:r>
      <w:r>
        <w:rPr>
          <w:rFonts w:ascii="仿宋_GB2312" w:eastAsia="仿宋_GB2312" w:hAnsi="仿宋" w:cs="仿宋_GB2312" w:hint="eastAsia"/>
          <w:sz w:val="32"/>
          <w:szCs w:val="32"/>
        </w:rPr>
        <w:t>提出的</w:t>
      </w:r>
      <w:r>
        <w:rPr>
          <w:rFonts w:ascii="仿宋_GB2312" w:eastAsia="仿宋_GB2312" w:hAnsi="仿宋" w:cs="仿宋_GB2312"/>
          <w:sz w:val="32"/>
          <w:szCs w:val="32"/>
        </w:rPr>
        <w:t>共</w:t>
      </w:r>
      <w:r>
        <w:rPr>
          <w:rFonts w:ascii="仿宋_GB2312" w:eastAsia="仿宋_GB2312" w:hAnsi="仿宋" w:cs="仿宋_GB2312" w:hint="eastAsia"/>
          <w:sz w:val="32"/>
          <w:szCs w:val="32"/>
        </w:rPr>
        <w:t>9</w:t>
      </w:r>
      <w:r>
        <w:rPr>
          <w:rFonts w:ascii="仿宋_GB2312" w:eastAsia="仿宋_GB2312" w:hAnsi="仿宋" w:cs="仿宋_GB2312"/>
          <w:sz w:val="32"/>
          <w:szCs w:val="32"/>
        </w:rPr>
        <w:t>条意见</w:t>
      </w:r>
      <w:r>
        <w:rPr>
          <w:rFonts w:ascii="仿宋_GB2312" w:eastAsia="仿宋_GB2312" w:hAnsi="仿宋" w:cs="仿宋_GB2312" w:hint="eastAsia"/>
          <w:sz w:val="32"/>
          <w:szCs w:val="32"/>
        </w:rPr>
        <w:t>。其中，9条达成共识，0条未共识，并形成《中医内科病证诊断与疗效评价规范  眩晕》征求意见稿。</w:t>
      </w:r>
    </w:p>
    <w:p w14:paraId="11CFA83E" w14:textId="77777777" w:rsidR="00561395" w:rsidRDefault="00000000">
      <w:pPr>
        <w:spacing w:line="600" w:lineRule="exact"/>
        <w:ind w:firstLineChars="200" w:firstLine="640"/>
        <w:contextualSpacing/>
        <w:rPr>
          <w:rFonts w:ascii="仿宋_GB2312" w:eastAsia="仿宋_GB2312" w:hAnsi="仿宋" w:cs="仿宋_GB2312"/>
          <w:sz w:val="32"/>
          <w:szCs w:val="32"/>
        </w:rPr>
      </w:pPr>
      <w:r>
        <w:rPr>
          <w:rFonts w:ascii="仿宋_GB2312" w:eastAsia="仿宋_GB2312" w:hAnsi="仿宋" w:cs="仿宋_GB2312" w:hint="eastAsia"/>
          <w:sz w:val="32"/>
          <w:szCs w:val="32"/>
        </w:rPr>
        <w:t>2024年7月，完成修订后标准适用性评价与临床应用评价。</w:t>
      </w:r>
    </w:p>
    <w:p w14:paraId="66761A14" w14:textId="77777777" w:rsidR="00561395" w:rsidRDefault="00000000">
      <w:pPr>
        <w:pStyle w:val="2"/>
        <w:ind w:firstLineChars="200" w:firstLine="643"/>
      </w:pPr>
      <w:bookmarkStart w:id="3" w:name="_Toc17513"/>
      <w:r>
        <w:rPr>
          <w:rFonts w:hint="eastAsia"/>
        </w:rPr>
        <w:t>（三）起草单位</w:t>
      </w:r>
      <w:bookmarkEnd w:id="3"/>
    </w:p>
    <w:p w14:paraId="5BD35D03" w14:textId="0E5FC2AC" w:rsidR="00561395" w:rsidRDefault="00000000">
      <w:pPr>
        <w:widowControl/>
        <w:ind w:firstLineChars="200" w:firstLine="640"/>
        <w:jc w:val="left"/>
        <w:rPr>
          <w:rFonts w:ascii="仿宋_GB2312" w:eastAsia="仿宋_GB2312" w:hAnsi="仿宋" w:cs="仿宋_GB2312"/>
          <w:sz w:val="32"/>
          <w:szCs w:val="32"/>
        </w:rPr>
      </w:pPr>
      <w:r>
        <w:rPr>
          <w:rFonts w:ascii="仿宋_GB2312" w:eastAsia="仿宋_GB2312" w:hAnsi="仿宋" w:cs="仿宋_GB2312" w:hint="eastAsia"/>
          <w:sz w:val="32"/>
          <w:szCs w:val="32"/>
        </w:rPr>
        <w:t>本文件的起草单位：</w:t>
      </w:r>
    </w:p>
    <w:p w14:paraId="56A41D92" w14:textId="77777777" w:rsidR="00561395" w:rsidRDefault="00000000">
      <w:pPr>
        <w:pStyle w:val="2"/>
        <w:ind w:firstLineChars="200" w:firstLine="643"/>
      </w:pPr>
      <w:bookmarkStart w:id="4" w:name="_Toc30736"/>
      <w:r>
        <w:rPr>
          <w:rFonts w:hint="eastAsia"/>
        </w:rPr>
        <w:lastRenderedPageBreak/>
        <w:t>（四）主要起草人</w:t>
      </w:r>
      <w:bookmarkEnd w:id="4"/>
    </w:p>
    <w:p w14:paraId="710F4FF0" w14:textId="00341B8C" w:rsidR="00561395" w:rsidRDefault="00000000">
      <w:pPr>
        <w:spacing w:line="600" w:lineRule="exact"/>
        <w:ind w:firstLineChars="200" w:firstLine="640"/>
        <w:contextualSpacing/>
        <w:rPr>
          <w:rFonts w:ascii="仿宋_GB2312" w:eastAsia="仿宋_GB2312" w:hAnsi="仿宋" w:cs="仿宋_GB2312"/>
          <w:sz w:val="32"/>
          <w:szCs w:val="32"/>
        </w:rPr>
      </w:pPr>
      <w:r>
        <w:rPr>
          <w:rFonts w:ascii="仿宋_GB2312" w:eastAsia="仿宋_GB2312" w:hAnsi="仿宋" w:cs="仿宋_GB2312" w:hint="eastAsia"/>
          <w:sz w:val="32"/>
          <w:szCs w:val="32"/>
        </w:rPr>
        <w:t>本文件的主要起草人：</w:t>
      </w:r>
    </w:p>
    <w:p w14:paraId="737AAB96" w14:textId="77777777" w:rsidR="00561395" w:rsidRDefault="00000000">
      <w:pPr>
        <w:pStyle w:val="1"/>
        <w:ind w:firstLineChars="200" w:firstLine="640"/>
      </w:pPr>
      <w:bookmarkStart w:id="5" w:name="_Toc2434"/>
      <w:r>
        <w:rPr>
          <w:rFonts w:hint="eastAsia"/>
        </w:rPr>
        <w:t>二、标准制定原则</w:t>
      </w:r>
      <w:bookmarkEnd w:id="5"/>
    </w:p>
    <w:p w14:paraId="44158E01" w14:textId="77777777" w:rsidR="00561395" w:rsidRDefault="00000000">
      <w:pPr>
        <w:pStyle w:val="Default"/>
        <w:spacing w:line="600" w:lineRule="exact"/>
        <w:ind w:firstLineChars="200" w:firstLine="640"/>
        <w:contextualSpacing/>
        <w:jc w:val="both"/>
        <w:rPr>
          <w:rFonts w:ascii="仿宋_GB2312" w:eastAsia="仿宋_GB2312" w:hAnsi="仿宋" w:cs="仿宋_GB2312"/>
          <w:sz w:val="32"/>
          <w:szCs w:val="32"/>
        </w:rPr>
      </w:pPr>
      <w:r>
        <w:rPr>
          <w:rFonts w:ascii="仿宋_GB2312" w:eastAsia="仿宋_GB2312" w:hAnsi="仿宋" w:cs="仿宋_GB2312" w:hint="eastAsia"/>
          <w:sz w:val="32"/>
          <w:szCs w:val="32"/>
        </w:rPr>
        <w:t>按照</w:t>
      </w:r>
      <w:r>
        <w:rPr>
          <w:rFonts w:ascii="仿宋_GB2312" w:eastAsia="仿宋_GB2312" w:hAnsi="仿宋" w:cs="仿宋_GB2312"/>
          <w:sz w:val="32"/>
          <w:szCs w:val="32"/>
        </w:rPr>
        <w:t>GB/T 1.1</w:t>
      </w:r>
      <w:r>
        <w:rPr>
          <w:rFonts w:ascii="仿宋_GB2312" w:eastAsia="仿宋_GB2312" w:hAnsi="仿宋" w:cs="仿宋_GB2312"/>
          <w:sz w:val="32"/>
          <w:szCs w:val="32"/>
        </w:rPr>
        <w:t>—</w:t>
      </w:r>
      <w:r>
        <w:rPr>
          <w:rFonts w:ascii="仿宋_GB2312" w:eastAsia="仿宋_GB2312" w:hAnsi="仿宋" w:cs="仿宋_GB2312"/>
          <w:sz w:val="32"/>
          <w:szCs w:val="32"/>
        </w:rPr>
        <w:t>2020《标准化工作导则 第1部分：标准化文件的结构和起草规则》的规定起草。</w:t>
      </w:r>
      <w:r>
        <w:rPr>
          <w:rFonts w:ascii="仿宋_GB2312" w:eastAsia="仿宋_GB2312" w:hAnsi="仿宋" w:cs="仿宋_GB2312" w:hint="eastAsia"/>
          <w:sz w:val="32"/>
          <w:szCs w:val="32"/>
        </w:rPr>
        <w:t>原则如下：</w:t>
      </w:r>
    </w:p>
    <w:p w14:paraId="09F5A797" w14:textId="77777777" w:rsidR="00561395" w:rsidRDefault="00000000">
      <w:pPr>
        <w:pStyle w:val="2"/>
        <w:ind w:firstLineChars="200" w:firstLine="643"/>
      </w:pPr>
      <w:bookmarkStart w:id="6" w:name="_Toc28647"/>
      <w:r>
        <w:rPr>
          <w:rFonts w:hint="eastAsia"/>
        </w:rPr>
        <w:t>（一）科学性</w:t>
      </w:r>
      <w:bookmarkEnd w:id="6"/>
    </w:p>
    <w:p w14:paraId="302AFC8F" w14:textId="77777777" w:rsidR="00561395" w:rsidRDefault="00000000">
      <w:pPr>
        <w:pStyle w:val="Default"/>
        <w:spacing w:line="600" w:lineRule="exact"/>
        <w:ind w:firstLineChars="200" w:firstLine="640"/>
        <w:contextualSpacing/>
        <w:jc w:val="both"/>
        <w:rPr>
          <w:rFonts w:ascii="仿宋_GB2312" w:eastAsia="仿宋_GB2312" w:hAnsi="仿宋" w:cs="仿宋_GB2312"/>
          <w:color w:val="auto"/>
          <w:sz w:val="32"/>
          <w:szCs w:val="32"/>
        </w:rPr>
      </w:pPr>
      <w:r>
        <w:rPr>
          <w:rFonts w:ascii="仿宋_GB2312" w:eastAsia="仿宋_GB2312" w:hAnsi="仿宋" w:cs="仿宋_GB2312" w:hint="eastAsia"/>
          <w:color w:val="auto"/>
          <w:sz w:val="32"/>
          <w:szCs w:val="32"/>
        </w:rPr>
        <w:t>科学性是编制本标准的核心要素之一。在制定本标准时，严格遵循国际国内制定指南的科学流程，确保所提供的诊断依据、证候分类、疗效评定等具有科学依据。如在进行方法学质量评价过程中，在方法学专家的指导下，确定检索策略及筛选过程，采用Cochrane偏倚风险评估工具，进行文献质量的评价等。在专家共识形成过程中，经过专家问卷调查，充分征求各领域专家的意见，保障建议的权威性和可靠性。在统计学分析过程中，充分利用统计学方法，在方法学家指导下，对研究数据进行研究的分析和解释，支持诊断与疗效评价的科学性。并且在本标准的制定过程中，融入了多学科专家，进行了合作及交流，整合中西医的优势资源，进一步保障了本标准制定的科学性。</w:t>
      </w:r>
    </w:p>
    <w:p w14:paraId="7C27D655" w14:textId="77777777" w:rsidR="00561395" w:rsidRDefault="00000000">
      <w:pPr>
        <w:pStyle w:val="2"/>
        <w:ind w:firstLineChars="200" w:firstLine="643"/>
      </w:pPr>
      <w:bookmarkStart w:id="7" w:name="_Toc19642"/>
      <w:r>
        <w:rPr>
          <w:rFonts w:hint="eastAsia"/>
        </w:rPr>
        <w:t>（二）先进性</w:t>
      </w:r>
      <w:bookmarkEnd w:id="7"/>
    </w:p>
    <w:p w14:paraId="1F5679A9" w14:textId="77777777" w:rsidR="00561395" w:rsidRDefault="00000000">
      <w:pPr>
        <w:pStyle w:val="Default"/>
        <w:spacing w:line="600" w:lineRule="exact"/>
        <w:ind w:firstLineChars="200" w:firstLine="640"/>
        <w:jc w:val="both"/>
        <w:rPr>
          <w:rFonts w:ascii="仿宋_GB2312" w:eastAsia="仿宋_GB2312" w:hAnsi="仿宋" w:cs="仿宋_GB2312"/>
          <w:color w:val="auto"/>
          <w:sz w:val="32"/>
          <w:szCs w:val="32"/>
        </w:rPr>
      </w:pPr>
      <w:r>
        <w:rPr>
          <w:rFonts w:ascii="仿宋_GB2312" w:eastAsia="仿宋_GB2312" w:hAnsi="仿宋" w:cs="仿宋_GB2312" w:hint="eastAsia"/>
          <w:color w:val="auto"/>
          <w:sz w:val="32"/>
          <w:szCs w:val="32"/>
        </w:rPr>
        <w:t>先进性是本标准编制原则的重要方面。在制定本标准时，充分研究和分析中医药标准制修订的科学方法和理论，在兼顾原标准的适用性的同时，还考虑到未来的发展趋势和需求，在原标准基础上增加标准范围、规范性引用文件以及术语和定义、主次症划分等内容，体现标准的前瞻性和引导性。</w:t>
      </w:r>
    </w:p>
    <w:p w14:paraId="538608C2" w14:textId="77777777" w:rsidR="00561395" w:rsidRDefault="00000000">
      <w:pPr>
        <w:pStyle w:val="2"/>
        <w:ind w:firstLineChars="200" w:firstLine="643"/>
      </w:pPr>
      <w:bookmarkStart w:id="8" w:name="_Toc9644"/>
      <w:r>
        <w:rPr>
          <w:rFonts w:hint="eastAsia"/>
        </w:rPr>
        <w:lastRenderedPageBreak/>
        <w:t>（三）可操作性</w:t>
      </w:r>
      <w:bookmarkEnd w:id="8"/>
    </w:p>
    <w:p w14:paraId="580AD570" w14:textId="77777777" w:rsidR="00561395" w:rsidRDefault="00000000">
      <w:pPr>
        <w:pStyle w:val="Default"/>
        <w:spacing w:line="600" w:lineRule="exact"/>
        <w:ind w:firstLineChars="200" w:firstLine="640"/>
        <w:jc w:val="both"/>
        <w:rPr>
          <w:rFonts w:ascii="仿宋_GB2312" w:eastAsia="仿宋_GB2312" w:hAnsi="仿宋" w:cs="仿宋_GB2312"/>
          <w:color w:val="auto"/>
          <w:sz w:val="32"/>
          <w:szCs w:val="32"/>
        </w:rPr>
      </w:pPr>
      <w:r>
        <w:rPr>
          <w:rFonts w:ascii="仿宋_GB2312" w:eastAsia="仿宋_GB2312" w:hAnsi="仿宋" w:cs="仿宋_GB2312" w:hint="eastAsia"/>
          <w:color w:val="auto"/>
          <w:sz w:val="32"/>
          <w:szCs w:val="32"/>
        </w:rPr>
        <w:t>可操作性是本标准编制的另一重要原则。在指定本标准时，应保障所提供的诊断依据、证候分类、疗效评定便于临床医生操作和执行。首先是明确的诊断依据，本标准提供了明确的眩晕诊断标准，包括主要症状、伴随症状、实验室相关检查、鉴别诊断等，便于临床医生进行准确的诊断。其次，操作性强的证候分类的方法，使用易于理解的语言描述风阳上扰证、痰浊上蒙证、瘀阻脑窍证等的临床表现，便于临床医生操作和执行等。</w:t>
      </w:r>
    </w:p>
    <w:p w14:paraId="32AB1729" w14:textId="77777777" w:rsidR="00561395" w:rsidRDefault="00000000">
      <w:pPr>
        <w:pStyle w:val="1"/>
        <w:ind w:firstLineChars="200" w:firstLine="640"/>
      </w:pPr>
      <w:bookmarkStart w:id="9" w:name="_Toc11841"/>
      <w:r>
        <w:rPr>
          <w:rFonts w:hint="eastAsia"/>
        </w:rPr>
        <w:t>三、主要内容</w:t>
      </w:r>
      <w:bookmarkEnd w:id="9"/>
    </w:p>
    <w:p w14:paraId="68A441D4" w14:textId="77777777" w:rsidR="00561395" w:rsidRDefault="00000000">
      <w:pPr>
        <w:pStyle w:val="2"/>
        <w:ind w:firstLineChars="200" w:firstLine="643"/>
      </w:pPr>
      <w:bookmarkStart w:id="10" w:name="_Toc30003"/>
      <w:r>
        <w:rPr>
          <w:rFonts w:hint="eastAsia"/>
          <w:color w:val="000000"/>
          <w:kern w:val="0"/>
        </w:rPr>
        <w:t>（一</w:t>
      </w:r>
      <w:r>
        <w:rPr>
          <w:rFonts w:hint="eastAsia"/>
        </w:rPr>
        <w:t>）总体结构</w:t>
      </w:r>
      <w:bookmarkEnd w:id="10"/>
    </w:p>
    <w:p w14:paraId="007E5C3A" w14:textId="77777777" w:rsidR="00561395"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共设6章、2个附录，规定了眩晕的中医疾病名及代码</w:t>
      </w:r>
      <w:r>
        <w:rPr>
          <w:rFonts w:ascii="仿宋_GB2312" w:eastAsia="仿宋_GB2312" w:hAnsi="仿宋" w:cs="仿宋_GB2312" w:hint="eastAsia"/>
          <w:color w:val="auto"/>
          <w:sz w:val="32"/>
          <w:szCs w:val="32"/>
        </w:rPr>
        <w:t>、疾病诊断与鉴别诊断、与西医疾病的对应情况、证候分类、疗效评价的主要指标与次要指标等</w:t>
      </w:r>
      <w:r>
        <w:rPr>
          <w:rFonts w:ascii="仿宋_GB2312" w:eastAsia="仿宋_GB2312" w:hAnsi="仿宋" w:cs="仿宋_GB2312" w:hint="eastAsia"/>
          <w:sz w:val="32"/>
          <w:szCs w:val="32"/>
        </w:rPr>
        <w:t>，确定了本标准的结构及要求，为提升中医临床诊疗服务质量和规范中医临床行为提供指导依据。</w:t>
      </w:r>
    </w:p>
    <w:p w14:paraId="0AA4DA5E" w14:textId="77777777" w:rsidR="00561395" w:rsidRDefault="00000000">
      <w:pPr>
        <w:pStyle w:val="2"/>
        <w:ind w:firstLineChars="200" w:firstLine="643"/>
      </w:pPr>
      <w:bookmarkStart w:id="11" w:name="_Toc28025"/>
      <w:r>
        <w:rPr>
          <w:rFonts w:hint="eastAsia"/>
        </w:rPr>
        <w:t>（二）各部分内容</w:t>
      </w:r>
      <w:bookmarkEnd w:id="11"/>
    </w:p>
    <w:p w14:paraId="7159EB97" w14:textId="77777777" w:rsidR="00561395"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第1章明确了本文件的内容、适用范围和适用对象。</w:t>
      </w:r>
    </w:p>
    <w:p w14:paraId="21AFE1FA" w14:textId="77777777" w:rsidR="00561395"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第2章列出了本文件主要引用的标准规范文件。</w:t>
      </w:r>
    </w:p>
    <w:p w14:paraId="737CF514" w14:textId="77777777" w:rsidR="00561395"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第3章列出了本文件中涉及的术语和定义。</w:t>
      </w:r>
    </w:p>
    <w:p w14:paraId="1BD3087D" w14:textId="77777777" w:rsidR="00561395"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第4章规定了眩晕的疾病诊断及鉴别诊断。</w:t>
      </w:r>
    </w:p>
    <w:p w14:paraId="09F95F95" w14:textId="77777777" w:rsidR="00561395"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第5章规定了眩晕的证候分类及诊断。</w:t>
      </w:r>
    </w:p>
    <w:p w14:paraId="3ED48523" w14:textId="77777777" w:rsidR="00561395"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第6章规定了眩晕的疗效评价。</w:t>
      </w:r>
    </w:p>
    <w:p w14:paraId="7A04576B" w14:textId="77777777" w:rsidR="00561395" w:rsidRDefault="00000000">
      <w:pPr>
        <w:pStyle w:val="1"/>
        <w:ind w:firstLineChars="200" w:firstLine="640"/>
      </w:pPr>
      <w:bookmarkStart w:id="12" w:name="_Toc4042"/>
      <w:r>
        <w:rPr>
          <w:rFonts w:hint="eastAsia"/>
        </w:rPr>
        <w:lastRenderedPageBreak/>
        <w:t>四、主要工作过程</w:t>
      </w:r>
      <w:bookmarkEnd w:id="12"/>
    </w:p>
    <w:p w14:paraId="139A9D8F" w14:textId="77777777" w:rsidR="00561395" w:rsidRDefault="00000000">
      <w:pPr>
        <w:pStyle w:val="2"/>
        <w:ind w:firstLineChars="200" w:firstLine="643"/>
      </w:pPr>
      <w:bookmarkStart w:id="13" w:name="_Toc28703"/>
      <w:r>
        <w:rPr>
          <w:rFonts w:hint="eastAsia"/>
        </w:rPr>
        <w:t>（一）立项阶段</w:t>
      </w:r>
      <w:bookmarkEnd w:id="13"/>
    </w:p>
    <w:p w14:paraId="2D9B29D4" w14:textId="77777777" w:rsidR="00561395" w:rsidRDefault="00000000">
      <w:pPr>
        <w:pStyle w:val="Default"/>
        <w:spacing w:line="600" w:lineRule="exact"/>
        <w:ind w:firstLineChars="200" w:firstLine="640"/>
        <w:jc w:val="both"/>
        <w:rPr>
          <w:rFonts w:ascii="仿宋_GB2312" w:eastAsia="仿宋_GB2312" w:hAnsi="仿宋" w:cs="仿宋_GB2312"/>
          <w:color w:val="auto"/>
          <w:sz w:val="32"/>
          <w:szCs w:val="32"/>
        </w:rPr>
      </w:pPr>
      <w:r>
        <w:rPr>
          <w:rFonts w:ascii="仿宋_GB2312" w:eastAsia="仿宋_GB2312" w:hAnsi="仿宋" w:cs="仿宋_GB2312" w:hint="eastAsia"/>
          <w:color w:val="auto"/>
          <w:sz w:val="32"/>
          <w:szCs w:val="32"/>
        </w:rPr>
        <w:t>2024年5月至2024年6月，为启动部署阶段。主要工作内容如下：</w:t>
      </w:r>
    </w:p>
    <w:p w14:paraId="34A06A4E" w14:textId="77777777" w:rsidR="00561395" w:rsidRDefault="00000000">
      <w:pPr>
        <w:pStyle w:val="Default"/>
        <w:spacing w:line="600" w:lineRule="exact"/>
        <w:ind w:firstLineChars="200" w:firstLine="643"/>
        <w:jc w:val="both"/>
        <w:rPr>
          <w:rFonts w:ascii="仿宋_GB2312" w:eastAsia="仿宋_GB2312" w:hAnsi="仿宋" w:cs="仿宋_GB2312"/>
          <w:b/>
          <w:bCs/>
          <w:color w:val="auto"/>
          <w:sz w:val="32"/>
          <w:szCs w:val="32"/>
        </w:rPr>
      </w:pPr>
      <w:r>
        <w:rPr>
          <w:rFonts w:ascii="仿宋_GB2312" w:eastAsia="仿宋_GB2312" w:hAnsi="仿宋" w:cs="仿宋_GB2312" w:hint="eastAsia"/>
          <w:b/>
          <w:bCs/>
          <w:color w:val="auto"/>
          <w:sz w:val="32"/>
          <w:szCs w:val="32"/>
        </w:rPr>
        <w:t>1.标准立项</w:t>
      </w:r>
    </w:p>
    <w:p w14:paraId="091B0656" w14:textId="3254EF1C" w:rsidR="00561395" w:rsidRDefault="00000000">
      <w:pPr>
        <w:pStyle w:val="Default"/>
        <w:spacing w:line="600" w:lineRule="exact"/>
        <w:ind w:firstLineChars="200" w:firstLine="640"/>
        <w:jc w:val="both"/>
        <w:rPr>
          <w:rFonts w:ascii="仿宋_GB2312" w:eastAsia="仿宋_GB2312" w:hAnsi="仿宋" w:cs="仿宋_GB2312"/>
          <w:color w:val="auto"/>
          <w:sz w:val="32"/>
          <w:szCs w:val="32"/>
        </w:rPr>
      </w:pPr>
      <w:r>
        <w:rPr>
          <w:rFonts w:ascii="仿宋_GB2312" w:eastAsia="仿宋_GB2312" w:hAnsi="仿宋" w:cs="仿宋_GB2312"/>
          <w:color w:val="auto"/>
          <w:sz w:val="32"/>
          <w:szCs w:val="32"/>
        </w:rPr>
        <w:t>202</w:t>
      </w:r>
      <w:r>
        <w:rPr>
          <w:rFonts w:ascii="仿宋_GB2312" w:eastAsia="仿宋_GB2312" w:hAnsi="仿宋" w:cs="仿宋_GB2312" w:hint="eastAsia"/>
          <w:color w:val="auto"/>
          <w:sz w:val="32"/>
          <w:szCs w:val="32"/>
        </w:rPr>
        <w:t>4</w:t>
      </w:r>
      <w:r>
        <w:rPr>
          <w:rFonts w:ascii="仿宋_GB2312" w:eastAsia="仿宋_GB2312" w:hAnsi="仿宋" w:cs="仿宋_GB2312"/>
          <w:color w:val="auto"/>
          <w:sz w:val="32"/>
          <w:szCs w:val="32"/>
        </w:rPr>
        <w:t>年</w:t>
      </w:r>
      <w:r>
        <w:rPr>
          <w:rFonts w:ascii="仿宋_GB2312" w:eastAsia="仿宋_GB2312" w:hAnsi="仿宋" w:cs="仿宋_GB2312" w:hint="eastAsia"/>
          <w:color w:val="auto"/>
          <w:sz w:val="32"/>
          <w:szCs w:val="32"/>
        </w:rPr>
        <w:t>5</w:t>
      </w:r>
      <w:r>
        <w:rPr>
          <w:rFonts w:ascii="仿宋_GB2312" w:eastAsia="仿宋_GB2312" w:hAnsi="仿宋" w:cs="仿宋_GB2312"/>
          <w:color w:val="auto"/>
          <w:sz w:val="32"/>
          <w:szCs w:val="32"/>
        </w:rPr>
        <w:t>月，牵头专家向</w:t>
      </w:r>
      <w:r>
        <w:rPr>
          <w:rFonts w:ascii="仿宋_GB2312" w:eastAsia="仿宋_GB2312" w:hAnsi="仿宋" w:cs="仿宋_GB2312" w:hint="eastAsia"/>
          <w:color w:val="auto"/>
          <w:sz w:val="32"/>
          <w:szCs w:val="32"/>
        </w:rPr>
        <w:t>国家中医药管理局</w:t>
      </w:r>
      <w:r>
        <w:rPr>
          <w:rFonts w:ascii="仿宋_GB2312" w:eastAsia="仿宋_GB2312" w:hAnsi="仿宋" w:cs="仿宋_GB2312"/>
          <w:color w:val="auto"/>
          <w:sz w:val="32"/>
          <w:szCs w:val="32"/>
        </w:rPr>
        <w:t>申请标准立项。202</w:t>
      </w:r>
      <w:r>
        <w:rPr>
          <w:rFonts w:ascii="仿宋_GB2312" w:eastAsia="仿宋_GB2312" w:hAnsi="仿宋" w:cs="仿宋_GB2312" w:hint="eastAsia"/>
          <w:color w:val="auto"/>
          <w:sz w:val="32"/>
          <w:szCs w:val="32"/>
        </w:rPr>
        <w:t>4</w:t>
      </w:r>
      <w:r>
        <w:rPr>
          <w:rFonts w:ascii="仿宋_GB2312" w:eastAsia="仿宋_GB2312" w:hAnsi="仿宋" w:cs="仿宋_GB2312"/>
          <w:color w:val="auto"/>
          <w:sz w:val="32"/>
          <w:szCs w:val="32"/>
        </w:rPr>
        <w:t>年</w:t>
      </w:r>
      <w:r>
        <w:rPr>
          <w:rFonts w:ascii="仿宋_GB2312" w:eastAsia="仿宋_GB2312" w:hAnsi="仿宋" w:cs="仿宋_GB2312" w:hint="eastAsia"/>
          <w:color w:val="auto"/>
          <w:sz w:val="32"/>
          <w:szCs w:val="32"/>
        </w:rPr>
        <w:t>6</w:t>
      </w:r>
      <w:r>
        <w:rPr>
          <w:rFonts w:ascii="仿宋_GB2312" w:eastAsia="仿宋_GB2312" w:hAnsi="仿宋" w:cs="仿宋_GB2312"/>
          <w:color w:val="auto"/>
          <w:sz w:val="32"/>
          <w:szCs w:val="32"/>
        </w:rPr>
        <w:t>月，</w:t>
      </w:r>
      <w:r>
        <w:rPr>
          <w:rFonts w:ascii="仿宋_GB2312" w:eastAsia="仿宋_GB2312" w:hAnsi="仿宋" w:cs="仿宋_GB2312" w:hint="eastAsia"/>
          <w:color w:val="auto"/>
          <w:sz w:val="32"/>
          <w:szCs w:val="32"/>
        </w:rPr>
        <w:t>标准</w:t>
      </w:r>
      <w:r>
        <w:rPr>
          <w:rFonts w:ascii="仿宋_GB2312" w:eastAsia="仿宋_GB2312" w:hAnsi="仿宋" w:cs="仿宋_GB2312"/>
          <w:color w:val="auto"/>
          <w:sz w:val="32"/>
          <w:szCs w:val="32"/>
        </w:rPr>
        <w:t>项目起草组成立。</w:t>
      </w:r>
    </w:p>
    <w:p w14:paraId="6CCEB61B" w14:textId="77777777" w:rsidR="00561395" w:rsidRDefault="00000000">
      <w:pPr>
        <w:pStyle w:val="Default"/>
        <w:spacing w:line="600" w:lineRule="exact"/>
        <w:ind w:firstLineChars="200" w:firstLine="640"/>
        <w:jc w:val="both"/>
        <w:rPr>
          <w:rFonts w:ascii="仿宋_GB2312" w:eastAsia="仿宋_GB2312" w:hAnsi="仿宋" w:cs="仿宋_GB2312"/>
          <w:color w:val="auto"/>
          <w:sz w:val="32"/>
          <w:szCs w:val="32"/>
        </w:rPr>
      </w:pPr>
      <w:r>
        <w:rPr>
          <w:rFonts w:ascii="仿宋_GB2312" w:eastAsia="仿宋_GB2312" w:hAnsi="仿宋" w:cs="仿宋_GB2312" w:hint="eastAsia"/>
          <w:color w:val="auto"/>
          <w:sz w:val="32"/>
          <w:szCs w:val="32"/>
        </w:rPr>
        <w:t>2024年6月27日，召开《中医内科病证诊断疗效标准修订  眩晕》专家论证会，介绍前期工作基础与修订内容与思路等。</w:t>
      </w:r>
    </w:p>
    <w:p w14:paraId="512D11BC" w14:textId="77777777" w:rsidR="00561395" w:rsidRDefault="00000000">
      <w:pPr>
        <w:pStyle w:val="Default"/>
        <w:spacing w:line="600" w:lineRule="exact"/>
        <w:ind w:firstLineChars="200" w:firstLine="643"/>
        <w:jc w:val="both"/>
        <w:rPr>
          <w:rFonts w:ascii="仿宋_GB2312" w:eastAsia="仿宋_GB2312" w:hAnsi="仿宋" w:cs="仿宋_GB2312"/>
          <w:b/>
          <w:bCs/>
          <w:color w:val="auto"/>
          <w:sz w:val="32"/>
          <w:szCs w:val="32"/>
        </w:rPr>
      </w:pPr>
      <w:r>
        <w:rPr>
          <w:rFonts w:ascii="仿宋_GB2312" w:eastAsia="仿宋_GB2312" w:hAnsi="仿宋" w:cs="仿宋_GB2312" w:hint="eastAsia"/>
          <w:b/>
          <w:bCs/>
          <w:color w:val="auto"/>
          <w:sz w:val="32"/>
          <w:szCs w:val="32"/>
        </w:rPr>
        <w:t>2.</w:t>
      </w:r>
      <w:r>
        <w:rPr>
          <w:rFonts w:ascii="仿宋_GB2312" w:eastAsia="仿宋_GB2312" w:hAnsi="仿宋" w:cs="仿宋_GB2312"/>
          <w:b/>
          <w:bCs/>
          <w:color w:val="auto"/>
          <w:sz w:val="32"/>
          <w:szCs w:val="32"/>
        </w:rPr>
        <w:t>起草组组成情况</w:t>
      </w:r>
    </w:p>
    <w:p w14:paraId="65443776" w14:textId="38C52EC0" w:rsidR="00561395" w:rsidRDefault="009D0AC4">
      <w:pPr>
        <w:pStyle w:val="Default"/>
        <w:spacing w:line="600" w:lineRule="exact"/>
        <w:ind w:firstLineChars="200" w:firstLine="640"/>
        <w:jc w:val="both"/>
        <w:rPr>
          <w:rFonts w:ascii="仿宋_GB2312" w:eastAsia="仿宋_GB2312" w:hAnsi="仿宋" w:cs="仿宋_GB2312"/>
          <w:color w:val="auto"/>
          <w:sz w:val="32"/>
          <w:szCs w:val="32"/>
        </w:rPr>
      </w:pPr>
      <w:r>
        <w:rPr>
          <w:rFonts w:ascii="仿宋_GB2312" w:eastAsia="仿宋_GB2312" w:hAnsi="仿宋" w:cs="仿宋_GB2312" w:hint="eastAsia"/>
          <w:color w:val="auto"/>
          <w:sz w:val="32"/>
          <w:szCs w:val="32"/>
        </w:rPr>
        <w:t>略。</w:t>
      </w:r>
    </w:p>
    <w:p w14:paraId="0510A368" w14:textId="77777777" w:rsidR="00561395" w:rsidRDefault="00000000">
      <w:pPr>
        <w:pStyle w:val="Default"/>
        <w:spacing w:line="600" w:lineRule="exact"/>
        <w:ind w:firstLineChars="200" w:firstLine="643"/>
        <w:jc w:val="both"/>
        <w:rPr>
          <w:rFonts w:ascii="仿宋_GB2312" w:eastAsia="仿宋_GB2312" w:hAnsi="仿宋" w:cs="仿宋_GB2312"/>
          <w:color w:val="auto"/>
          <w:sz w:val="32"/>
          <w:szCs w:val="32"/>
        </w:rPr>
      </w:pPr>
      <w:r>
        <w:rPr>
          <w:rFonts w:ascii="仿宋_GB2312" w:eastAsia="仿宋_GB2312" w:hAnsi="仿宋" w:cs="仿宋_GB2312" w:hint="eastAsia"/>
          <w:b/>
          <w:bCs/>
          <w:color w:val="auto"/>
          <w:sz w:val="32"/>
          <w:szCs w:val="32"/>
        </w:rPr>
        <w:t>3.原标准适用性评价</w:t>
      </w:r>
    </w:p>
    <w:p w14:paraId="6A5971B8" w14:textId="77777777" w:rsidR="00561395" w:rsidRDefault="00000000">
      <w:pPr>
        <w:pStyle w:val="Default"/>
        <w:spacing w:line="600" w:lineRule="exact"/>
        <w:ind w:firstLineChars="200" w:firstLine="640"/>
        <w:jc w:val="both"/>
        <w:rPr>
          <w:rFonts w:ascii="仿宋_GB2312" w:eastAsia="仿宋_GB2312" w:hAnsi="仿宋" w:cs="仿宋_GB2312"/>
          <w:color w:val="auto"/>
          <w:sz w:val="32"/>
          <w:szCs w:val="32"/>
        </w:rPr>
      </w:pPr>
      <w:r>
        <w:rPr>
          <w:rFonts w:ascii="仿宋_GB2312" w:eastAsia="仿宋_GB2312" w:hAnsi="仿宋" w:cs="仿宋_GB2312"/>
          <w:color w:val="auto"/>
          <w:sz w:val="32"/>
          <w:szCs w:val="32"/>
        </w:rPr>
        <w:t>基于原标准进行标准修订时，起草组对原标准进行适用性评价。对于原标准中完全合理的要素，可作为标准修订依据，或为制修订采用的研究方法提供参考。起草组结合原标准疾病定义、诊断依据、证候分类及疗效评定等内容设计问卷，开展原标准适用性评价。</w:t>
      </w:r>
    </w:p>
    <w:p w14:paraId="046C8EBE" w14:textId="77777777" w:rsidR="00561395" w:rsidRDefault="00000000">
      <w:pPr>
        <w:pStyle w:val="Default"/>
        <w:spacing w:line="600" w:lineRule="exact"/>
        <w:ind w:firstLineChars="200" w:firstLine="640"/>
        <w:jc w:val="both"/>
        <w:rPr>
          <w:rFonts w:ascii="仿宋_GB2312" w:eastAsia="仿宋_GB2312" w:hAnsi="仿宋" w:cs="仿宋_GB2312"/>
          <w:color w:val="auto"/>
          <w:sz w:val="32"/>
          <w:szCs w:val="32"/>
        </w:rPr>
      </w:pPr>
      <w:r>
        <w:rPr>
          <w:rFonts w:ascii="仿宋_GB2312" w:eastAsia="仿宋_GB2312" w:hAnsi="仿宋" w:cs="仿宋_GB2312"/>
          <w:color w:val="auto"/>
          <w:sz w:val="32"/>
          <w:szCs w:val="32"/>
        </w:rPr>
        <w:t>对于原标准适用性评价专家调查问卷，问卷共发放23份，回收22份，问卷回收率为96%，问卷有效率为100%。对于疾病定义，10名专家认为眩晕的疾病定义完全合理，占比45.45%；10名认为比较合理，占比45.45%。对于诊断依据，10名专家认为眩晕的诊断依据完全合理，占比45.45%；12名认为比较合理，占比54.55%。对于证候分类，6名专家认为眩晕的证候分类完全合理，占比27.27%；15名认为比较合理，占比68.18%，其中6人提及建议增加瘀血阻络证。对于疗效评定，7名专家认为眩晕的疗效评定完全合理，占比31.82%；14名认为比较合理，</w:t>
      </w:r>
      <w:r>
        <w:rPr>
          <w:rFonts w:ascii="仿宋_GB2312" w:eastAsia="仿宋_GB2312" w:hAnsi="仿宋" w:cs="仿宋_GB2312"/>
          <w:color w:val="auto"/>
          <w:sz w:val="32"/>
          <w:szCs w:val="32"/>
        </w:rPr>
        <w:lastRenderedPageBreak/>
        <w:t>占比63.64%，其中3人提及建议量化或量表评分。10名专家认为该标准在临床应用时的整体适用性很好，占比45.45%；12名认为较好，占比54.55%。报告</w:t>
      </w:r>
      <w:r>
        <w:rPr>
          <w:rFonts w:ascii="仿宋_GB2312" w:eastAsia="仿宋_GB2312" w:hAnsi="仿宋" w:cs="仿宋_GB2312" w:hint="eastAsia"/>
          <w:color w:val="auto"/>
          <w:sz w:val="32"/>
          <w:szCs w:val="32"/>
        </w:rPr>
        <w:t>显示</w:t>
      </w:r>
      <w:r>
        <w:rPr>
          <w:rFonts w:ascii="仿宋_GB2312" w:eastAsia="仿宋_GB2312" w:hAnsi="仿宋" w:cs="仿宋_GB2312"/>
          <w:color w:val="auto"/>
          <w:sz w:val="32"/>
          <w:szCs w:val="32"/>
        </w:rPr>
        <w:t>原标准中无完全合理人数</w:t>
      </w:r>
      <w:r>
        <w:rPr>
          <w:rFonts w:ascii="仿宋_GB2312" w:eastAsia="仿宋_GB2312" w:hAnsi="仿宋" w:cs="仿宋_GB2312"/>
          <w:color w:val="auto"/>
          <w:sz w:val="32"/>
          <w:szCs w:val="32"/>
        </w:rPr>
        <w:t>≥</w:t>
      </w:r>
      <w:r>
        <w:rPr>
          <w:rFonts w:ascii="仿宋_GB2312" w:eastAsia="仿宋_GB2312" w:hAnsi="仿宋" w:cs="仿宋_GB2312"/>
          <w:color w:val="auto"/>
          <w:sz w:val="32"/>
          <w:szCs w:val="32"/>
        </w:rPr>
        <w:t>70%的完全适用条目。调查结果说明，标准适应性不高，具有修订的必要性。</w:t>
      </w:r>
      <w:r>
        <w:rPr>
          <w:rFonts w:ascii="仿宋_GB2312" w:eastAsia="仿宋_GB2312" w:hAnsi="仿宋" w:cs="仿宋_GB2312" w:hint="eastAsia"/>
          <w:color w:val="auto"/>
          <w:sz w:val="32"/>
          <w:szCs w:val="32"/>
        </w:rPr>
        <w:t>详</w:t>
      </w:r>
      <w:r>
        <w:rPr>
          <w:rFonts w:ascii="仿宋_GB2312" w:eastAsia="仿宋_GB2312" w:hAnsi="仿宋" w:cs="仿宋_GB2312"/>
          <w:color w:val="auto"/>
          <w:sz w:val="32"/>
          <w:szCs w:val="32"/>
        </w:rPr>
        <w:t>见附件</w:t>
      </w:r>
      <w:r>
        <w:rPr>
          <w:rFonts w:ascii="仿宋_GB2312" w:eastAsia="仿宋_GB2312" w:hAnsi="仿宋" w:cs="仿宋_GB2312" w:hint="eastAsia"/>
          <w:color w:val="auto"/>
          <w:sz w:val="32"/>
          <w:szCs w:val="32"/>
        </w:rPr>
        <w:t>5</w:t>
      </w:r>
      <w:r>
        <w:rPr>
          <w:rFonts w:ascii="仿宋_GB2312" w:eastAsia="仿宋_GB2312" w:hAnsi="仿宋" w:cs="仿宋_GB2312"/>
          <w:color w:val="auto"/>
          <w:sz w:val="32"/>
          <w:szCs w:val="32"/>
        </w:rPr>
        <w:t>。</w:t>
      </w:r>
    </w:p>
    <w:p w14:paraId="53ACBBE8" w14:textId="77777777" w:rsidR="00561395" w:rsidRDefault="00000000">
      <w:pPr>
        <w:pStyle w:val="2"/>
        <w:ind w:firstLineChars="200" w:firstLine="643"/>
      </w:pPr>
      <w:bookmarkStart w:id="14" w:name="_Toc32567"/>
      <w:r>
        <w:rPr>
          <w:rFonts w:hint="eastAsia"/>
        </w:rPr>
        <w:t>（二）起草阶段</w:t>
      </w:r>
      <w:bookmarkEnd w:id="14"/>
    </w:p>
    <w:p w14:paraId="24B1858E" w14:textId="77777777" w:rsidR="00561395" w:rsidRDefault="00000000">
      <w:pPr>
        <w:pStyle w:val="Default"/>
        <w:spacing w:line="600" w:lineRule="exact"/>
        <w:ind w:firstLineChars="200" w:firstLine="640"/>
        <w:contextualSpacing/>
        <w:jc w:val="both"/>
        <w:rPr>
          <w:rFonts w:ascii="仿宋_GB2312" w:eastAsia="仿宋_GB2312" w:hAnsi="仿宋" w:cs="仿宋_GB2312"/>
          <w:sz w:val="32"/>
          <w:szCs w:val="32"/>
        </w:rPr>
      </w:pPr>
      <w:r>
        <w:rPr>
          <w:rFonts w:ascii="仿宋_GB2312" w:eastAsia="仿宋_GB2312" w:hAnsi="仿宋" w:cs="仿宋_GB2312" w:hint="eastAsia"/>
          <w:color w:val="auto"/>
          <w:sz w:val="32"/>
          <w:szCs w:val="32"/>
        </w:rPr>
        <w:t>2024年6月至2024年7月，为项目起草阶段。主要工作内容如下：</w:t>
      </w:r>
    </w:p>
    <w:p w14:paraId="495D5CFF" w14:textId="77777777" w:rsidR="00561395" w:rsidRDefault="00000000">
      <w:pPr>
        <w:pStyle w:val="Default"/>
        <w:spacing w:line="600" w:lineRule="exact"/>
        <w:ind w:firstLineChars="200" w:firstLine="643"/>
        <w:contextualSpacing/>
        <w:jc w:val="both"/>
        <w:rPr>
          <w:rFonts w:ascii="仿宋_GB2312" w:eastAsia="仿宋_GB2312" w:hAnsi="仿宋" w:cs="仿宋_GB2312"/>
          <w:b/>
          <w:bCs/>
          <w:sz w:val="32"/>
          <w:szCs w:val="32"/>
        </w:rPr>
      </w:pPr>
      <w:r>
        <w:rPr>
          <w:rFonts w:ascii="仿宋_GB2312" w:eastAsia="仿宋_GB2312" w:hAnsi="仿宋" w:cs="仿宋_GB2312" w:hint="eastAsia"/>
          <w:b/>
          <w:bCs/>
          <w:sz w:val="32"/>
          <w:szCs w:val="32"/>
        </w:rPr>
        <w:t>1.标准修订计划的制订</w:t>
      </w:r>
    </w:p>
    <w:p w14:paraId="1DC57642" w14:textId="77777777" w:rsidR="00561395" w:rsidRDefault="00000000">
      <w:pPr>
        <w:pStyle w:val="Default"/>
        <w:spacing w:line="600" w:lineRule="exact"/>
        <w:ind w:firstLineChars="200" w:firstLine="640"/>
        <w:contextualSpacing/>
        <w:jc w:val="both"/>
        <w:rPr>
          <w:rFonts w:ascii="仿宋_GB2312" w:eastAsia="仿宋_GB2312" w:hAnsi="仿宋" w:cs="仿宋_GB2312"/>
          <w:sz w:val="32"/>
          <w:szCs w:val="32"/>
        </w:rPr>
      </w:pPr>
      <w:r>
        <w:rPr>
          <w:rFonts w:ascii="仿宋_GB2312" w:eastAsia="仿宋_GB2312" w:hAnsi="仿宋" w:cs="仿宋_GB2312" w:hint="eastAsia"/>
          <w:sz w:val="32"/>
          <w:szCs w:val="32"/>
        </w:rPr>
        <w:t>工作组根据分配的任务，制订标准修订计划，确定编制时间节点。并征求有关专家意见，召开专家讨论会，完善研究计划，并落实修订具体实施步骤，工作组反复讨论，达成内部的共识，征求</w:t>
      </w:r>
      <w:r>
        <w:rPr>
          <w:rFonts w:ascii="仿宋_GB2312" w:eastAsia="仿宋_GB2312" w:hAnsi="仿宋" w:cs="仿宋_GB2312"/>
          <w:color w:val="auto"/>
          <w:sz w:val="32"/>
          <w:szCs w:val="32"/>
        </w:rPr>
        <w:t>指导委员会</w:t>
      </w:r>
      <w:r>
        <w:rPr>
          <w:rFonts w:ascii="仿宋_GB2312" w:eastAsia="仿宋_GB2312" w:hAnsi="仿宋" w:cs="仿宋_GB2312" w:hint="eastAsia"/>
          <w:sz w:val="32"/>
          <w:szCs w:val="32"/>
        </w:rPr>
        <w:t>意见，对修订内容及计划进行修改完善。标准修订时间节点见图1。</w:t>
      </w:r>
    </w:p>
    <w:p w14:paraId="3B5690BA" w14:textId="77777777" w:rsidR="00561395" w:rsidRDefault="00561395">
      <w:pPr>
        <w:pStyle w:val="Default"/>
        <w:spacing w:line="600" w:lineRule="exact"/>
        <w:ind w:firstLineChars="200" w:firstLine="640"/>
        <w:contextualSpacing/>
        <w:jc w:val="both"/>
        <w:rPr>
          <w:rFonts w:ascii="仿宋_GB2312" w:eastAsia="仿宋_GB2312" w:hAnsi="仿宋" w:cs="仿宋_GB2312"/>
          <w:sz w:val="32"/>
          <w:szCs w:val="32"/>
        </w:rPr>
      </w:pPr>
    </w:p>
    <w:p w14:paraId="02FB05BE" w14:textId="77777777" w:rsidR="00561395" w:rsidRDefault="00000000">
      <w:pPr>
        <w:pStyle w:val="Default"/>
        <w:spacing w:line="600" w:lineRule="exact"/>
        <w:ind w:firstLineChars="200" w:firstLine="480"/>
        <w:contextualSpacing/>
        <w:jc w:val="center"/>
        <w:rPr>
          <w:rFonts w:ascii="仿宋_GB2312" w:eastAsia="仿宋_GB2312" w:hAnsi="仿宋" w:cs="仿宋_GB2312"/>
          <w:sz w:val="32"/>
          <w:szCs w:val="32"/>
        </w:rPr>
      </w:pPr>
      <w:r>
        <w:rPr>
          <w:rStyle w:val="fontstyle01"/>
          <w:rFonts w:ascii="黑体" w:eastAsia="黑体" w:hAnsi="黑体" w:cs="Times New Roman" w:hint="default"/>
          <w:noProof/>
          <w:color w:val="auto"/>
          <w:kern w:val="2"/>
          <w:sz w:val="24"/>
        </w:rPr>
        <w:drawing>
          <wp:anchor distT="0" distB="0" distL="114300" distR="114300" simplePos="0" relativeHeight="251659264" behindDoc="0" locked="0" layoutInCell="1" allowOverlap="1" wp14:anchorId="04970E06" wp14:editId="32019F2C">
            <wp:simplePos x="0" y="0"/>
            <wp:positionH relativeFrom="column">
              <wp:posOffset>385445</wp:posOffset>
            </wp:positionH>
            <wp:positionV relativeFrom="paragraph">
              <wp:posOffset>154305</wp:posOffset>
            </wp:positionV>
            <wp:extent cx="5283835" cy="2078990"/>
            <wp:effectExtent l="0" t="0" r="0" b="0"/>
            <wp:wrapSquare wrapText="bothSides"/>
            <wp:docPr id="4" name="图片 4" descr="时间轴模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时间轴模板"/>
                    <pic:cNvPicPr>
                      <a:picLocks noChangeAspect="1"/>
                    </pic:cNvPicPr>
                  </pic:nvPicPr>
                  <pic:blipFill>
                    <a:blip r:embed="rId8"/>
                    <a:stretch>
                      <a:fillRect/>
                    </a:stretch>
                  </pic:blipFill>
                  <pic:spPr>
                    <a:xfrm>
                      <a:off x="0" y="0"/>
                      <a:ext cx="5283835" cy="2078990"/>
                    </a:xfrm>
                    <a:prstGeom prst="rect">
                      <a:avLst/>
                    </a:prstGeom>
                  </pic:spPr>
                </pic:pic>
              </a:graphicData>
            </a:graphic>
          </wp:anchor>
        </w:drawing>
      </w:r>
      <w:r>
        <w:rPr>
          <w:rStyle w:val="fontstyle01"/>
          <w:rFonts w:ascii="黑体" w:eastAsia="黑体" w:hAnsi="黑体" w:cs="Times New Roman" w:hint="default"/>
          <w:color w:val="auto"/>
          <w:kern w:val="2"/>
          <w:sz w:val="24"/>
        </w:rPr>
        <w:t>图1  标准修订时间节点</w:t>
      </w:r>
    </w:p>
    <w:p w14:paraId="7317F927" w14:textId="77777777" w:rsidR="00561395" w:rsidRDefault="00000000">
      <w:pPr>
        <w:pStyle w:val="Default"/>
        <w:spacing w:line="600" w:lineRule="exact"/>
        <w:ind w:firstLineChars="200" w:firstLine="643"/>
        <w:contextualSpacing/>
        <w:jc w:val="both"/>
        <w:rPr>
          <w:rFonts w:ascii="仿宋_GB2312" w:eastAsia="仿宋_GB2312" w:hAnsi="仿宋" w:cs="仿宋_GB2312"/>
          <w:b/>
          <w:bCs/>
          <w:sz w:val="32"/>
          <w:szCs w:val="32"/>
          <w:highlight w:val="yellow"/>
        </w:rPr>
      </w:pPr>
      <w:r>
        <w:rPr>
          <w:rFonts w:ascii="仿宋_GB2312" w:eastAsia="仿宋_GB2312" w:hAnsi="仿宋" w:cs="仿宋_GB2312" w:hint="eastAsia"/>
          <w:b/>
          <w:bCs/>
          <w:sz w:val="32"/>
          <w:szCs w:val="32"/>
        </w:rPr>
        <w:t>2.核心技术要素清单与研究方法的选择</w:t>
      </w:r>
    </w:p>
    <w:p w14:paraId="79BE30AC" w14:textId="77777777" w:rsidR="00561395" w:rsidRDefault="00000000">
      <w:pPr>
        <w:pStyle w:val="Default"/>
        <w:spacing w:line="600" w:lineRule="exact"/>
        <w:ind w:firstLineChars="200" w:firstLine="640"/>
        <w:contextualSpacing/>
        <w:jc w:val="both"/>
        <w:rPr>
          <w:rFonts w:ascii="仿宋_GB2312" w:eastAsia="仿宋_GB2312" w:hAnsi="仿宋" w:cs="仿宋_GB2312"/>
          <w:sz w:val="32"/>
          <w:szCs w:val="32"/>
        </w:rPr>
      </w:pPr>
      <w:r>
        <w:rPr>
          <w:rFonts w:ascii="仿宋_GB2312" w:eastAsia="仿宋_GB2312" w:hAnsi="仿宋" w:cs="仿宋_GB2312" w:hint="eastAsia"/>
          <w:sz w:val="32"/>
          <w:szCs w:val="32"/>
        </w:rPr>
        <w:t>各核心技术要素按照《通则》“7 核心技术要素”的相关要求形成，本标准修订采用中医古籍研究、现代文献研究、德尔菲法等确定核心技术要素，核心技术要素包含4部分内容，分别是：①中医疾病</w:t>
      </w:r>
      <w:r>
        <w:rPr>
          <w:rFonts w:ascii="仿宋_GB2312" w:eastAsia="仿宋_GB2312" w:hAnsi="仿宋" w:cs="仿宋_GB2312" w:hint="eastAsia"/>
          <w:sz w:val="32"/>
          <w:szCs w:val="32"/>
        </w:rPr>
        <w:lastRenderedPageBreak/>
        <w:t>名（代码）；②疾病诊断、分期及鉴别诊断；③证候分类及诊断；④疗效评价。其中，疾病诊断、分期及鉴别诊断包含3个核心技术要素；证候分类及诊断包含2个核心技术要素。7个核心技术要素中，疾病分期为非必选要素。</w:t>
      </w:r>
    </w:p>
    <w:p w14:paraId="105E2FCC" w14:textId="77777777" w:rsidR="00561395" w:rsidRDefault="00000000">
      <w:pPr>
        <w:pStyle w:val="Default"/>
        <w:spacing w:line="600" w:lineRule="exact"/>
        <w:ind w:firstLineChars="200" w:firstLine="640"/>
        <w:contextualSpacing/>
        <w:jc w:val="both"/>
        <w:rPr>
          <w:rFonts w:ascii="仿宋_GB2312" w:eastAsia="仿宋_GB2312" w:hAnsi="仿宋" w:cs="仿宋_GB2312"/>
          <w:sz w:val="32"/>
          <w:szCs w:val="32"/>
        </w:rPr>
      </w:pPr>
      <w:r>
        <w:rPr>
          <w:rFonts w:ascii="仿宋_GB2312" w:eastAsia="仿宋_GB2312" w:hAnsi="仿宋" w:cs="仿宋_GB2312" w:hint="eastAsia"/>
          <w:sz w:val="32"/>
          <w:szCs w:val="32"/>
        </w:rPr>
        <w:t>对于研究方法的选择，虚眩（A04.01.06）在确定眩晕病名的基础上，查阅《中医病证分类与代码》GB/T 15657，找到对应的名称及代码并列出。</w:t>
      </w:r>
    </w:p>
    <w:p w14:paraId="5A323EFD" w14:textId="37051738" w:rsidR="00561395" w:rsidRDefault="00000000" w:rsidP="00306B9A">
      <w:pPr>
        <w:pStyle w:val="Default"/>
        <w:spacing w:line="600" w:lineRule="exact"/>
        <w:ind w:firstLineChars="200" w:firstLine="640"/>
        <w:contextualSpacing/>
        <w:jc w:val="both"/>
        <w:rPr>
          <w:rFonts w:ascii="仿宋_GB2312" w:eastAsia="仿宋_GB2312" w:hAnsi="仿宋" w:cs="仿宋_GB2312"/>
          <w:sz w:val="32"/>
          <w:szCs w:val="32"/>
        </w:rPr>
      </w:pPr>
      <w:r>
        <w:rPr>
          <w:rFonts w:ascii="仿宋_GB2312" w:eastAsia="仿宋_GB2312" w:hAnsi="仿宋" w:cs="仿宋_GB2312" w:hint="eastAsia"/>
          <w:sz w:val="32"/>
          <w:szCs w:val="32"/>
        </w:rPr>
        <w:t>对于眩晕</w:t>
      </w:r>
      <w:r>
        <w:rPr>
          <w:rFonts w:ascii="仿宋_GB2312" w:eastAsia="仿宋_GB2312" w:hAnsi="仿宋" w:cs="仿宋_GB2312"/>
          <w:sz w:val="32"/>
          <w:szCs w:val="32"/>
        </w:rPr>
        <w:t>疾病诊断、疾病分期、鉴别诊断、证候分类、证候诊断和疗效评价的确定，在原标准适用性评价的基础上，选择古籍文献研究、现代文献研究</w:t>
      </w:r>
      <w:r>
        <w:rPr>
          <w:rFonts w:ascii="仿宋_GB2312" w:eastAsia="仿宋_GB2312" w:hAnsi="仿宋" w:cs="仿宋_GB2312" w:hint="eastAsia"/>
          <w:sz w:val="32"/>
          <w:szCs w:val="32"/>
        </w:rPr>
        <w:t>、德尔菲法等</w:t>
      </w:r>
      <w:r>
        <w:rPr>
          <w:rFonts w:ascii="仿宋_GB2312" w:eastAsia="仿宋_GB2312" w:hAnsi="仿宋" w:cs="仿宋_GB2312"/>
          <w:sz w:val="32"/>
          <w:szCs w:val="32"/>
        </w:rPr>
        <w:t>综合确定</w:t>
      </w:r>
      <w:r>
        <w:rPr>
          <w:rFonts w:ascii="仿宋_GB2312" w:eastAsia="仿宋_GB2312" w:hAnsi="仿宋" w:cs="仿宋_GB2312" w:hint="eastAsia"/>
          <w:sz w:val="32"/>
          <w:szCs w:val="32"/>
        </w:rPr>
        <w:t>，最后通过共识会议法形成。详见附件6。</w:t>
      </w:r>
    </w:p>
    <w:p w14:paraId="54A76446" w14:textId="77777777" w:rsidR="00561395" w:rsidRDefault="00000000">
      <w:pPr>
        <w:pStyle w:val="Default"/>
        <w:spacing w:line="600" w:lineRule="exact"/>
        <w:ind w:firstLineChars="200" w:firstLine="643"/>
        <w:contextualSpacing/>
        <w:jc w:val="both"/>
        <w:rPr>
          <w:rFonts w:ascii="仿宋_GB2312" w:eastAsia="仿宋_GB2312" w:hAnsi="仿宋" w:cs="仿宋_GB2312"/>
          <w:b/>
          <w:bCs/>
          <w:sz w:val="32"/>
          <w:szCs w:val="32"/>
        </w:rPr>
      </w:pPr>
      <w:r>
        <w:rPr>
          <w:rFonts w:ascii="仿宋_GB2312" w:eastAsia="仿宋_GB2312" w:hAnsi="仿宋" w:cs="仿宋_GB2312" w:hint="eastAsia"/>
          <w:b/>
          <w:bCs/>
          <w:sz w:val="32"/>
          <w:szCs w:val="32"/>
        </w:rPr>
        <w:t>3.古籍文献研究</w:t>
      </w:r>
    </w:p>
    <w:p w14:paraId="34BEAEA4" w14:textId="77777777" w:rsidR="00561395" w:rsidRDefault="00000000">
      <w:pPr>
        <w:pStyle w:val="Default"/>
        <w:spacing w:line="600" w:lineRule="exact"/>
        <w:ind w:firstLineChars="200" w:firstLine="640"/>
        <w:contextualSpacing/>
        <w:jc w:val="both"/>
        <w:rPr>
          <w:rFonts w:ascii="仿宋_GB2312" w:eastAsia="仿宋_GB2312" w:hAnsi="仿宋" w:cs="仿宋_GB2312"/>
          <w:sz w:val="32"/>
          <w:szCs w:val="32"/>
        </w:rPr>
      </w:pPr>
      <w:r>
        <w:rPr>
          <w:rFonts w:ascii="仿宋_GB2312" w:eastAsia="仿宋_GB2312" w:hAnsi="仿宋" w:cs="仿宋_GB2312" w:hint="eastAsia"/>
          <w:sz w:val="32"/>
          <w:szCs w:val="32"/>
        </w:rPr>
        <w:t>（1）纳入标准：</w:t>
      </w:r>
    </w:p>
    <w:p w14:paraId="123EA1EC" w14:textId="77777777" w:rsidR="00561395" w:rsidRDefault="00000000">
      <w:pPr>
        <w:pStyle w:val="Default"/>
        <w:spacing w:line="600" w:lineRule="exact"/>
        <w:ind w:firstLineChars="200" w:firstLine="640"/>
        <w:contextualSpacing/>
        <w:jc w:val="both"/>
        <w:rPr>
          <w:rFonts w:ascii="仿宋_GB2312" w:eastAsia="仿宋_GB2312" w:hAnsi="仿宋" w:cs="仿宋_GB2312"/>
          <w:sz w:val="32"/>
          <w:szCs w:val="32"/>
        </w:rPr>
      </w:pPr>
      <w:r>
        <w:rPr>
          <w:rFonts w:ascii="仿宋_GB2312" w:eastAsia="仿宋_GB2312" w:hAnsi="仿宋" w:cs="仿宋_GB2312" w:hint="eastAsia"/>
          <w:sz w:val="32"/>
          <w:szCs w:val="32"/>
        </w:rPr>
        <w:t>文献中所描述疾病属于“眩”“晕”“头痛”“头胀”“脉胀”范畴；文献内容包含有纳入的疾病名称相关的病因病机理论研究；文献中所描述疾病与现代高血压的发病过程、发病症状、进展机制相符。</w:t>
      </w:r>
    </w:p>
    <w:p w14:paraId="07D69422" w14:textId="77777777" w:rsidR="00561395" w:rsidRDefault="00000000">
      <w:pPr>
        <w:pStyle w:val="Default"/>
        <w:spacing w:line="600" w:lineRule="exact"/>
        <w:ind w:firstLineChars="200" w:firstLine="640"/>
        <w:contextualSpacing/>
        <w:jc w:val="both"/>
        <w:rPr>
          <w:rFonts w:ascii="仿宋_GB2312" w:eastAsia="仿宋_GB2312" w:hAnsi="仿宋" w:cs="仿宋_GB2312"/>
          <w:sz w:val="32"/>
          <w:szCs w:val="32"/>
        </w:rPr>
      </w:pPr>
      <w:r>
        <w:rPr>
          <w:rFonts w:ascii="仿宋_GB2312" w:eastAsia="仿宋_GB2312" w:hAnsi="仿宋" w:cs="仿宋_GB2312" w:hint="eastAsia"/>
          <w:sz w:val="32"/>
          <w:szCs w:val="32"/>
        </w:rPr>
        <w:t>（2）排除标准：</w:t>
      </w:r>
    </w:p>
    <w:p w14:paraId="4DFD9512" w14:textId="77777777" w:rsidR="00561395" w:rsidRDefault="00000000">
      <w:pPr>
        <w:pStyle w:val="Default"/>
        <w:spacing w:line="600" w:lineRule="exact"/>
        <w:ind w:firstLineChars="200" w:firstLine="640"/>
        <w:contextualSpacing/>
        <w:jc w:val="both"/>
        <w:rPr>
          <w:rFonts w:ascii="仿宋_GB2312" w:eastAsia="仿宋_GB2312" w:hAnsi="仿宋" w:cs="仿宋_GB2312"/>
          <w:sz w:val="32"/>
          <w:szCs w:val="32"/>
        </w:rPr>
      </w:pPr>
      <w:r>
        <w:rPr>
          <w:rFonts w:ascii="仿宋_GB2312" w:eastAsia="仿宋_GB2312" w:hAnsi="仿宋" w:cs="仿宋_GB2312" w:hint="eastAsia"/>
          <w:sz w:val="32"/>
          <w:szCs w:val="32"/>
        </w:rPr>
        <w:t>检索条目中症状出现不符合原发性高血压的病因、症状，如明确表示为外伤、虫毒等病因导致的眩晕，或神经系统疾病如急性前庭综合征、椎动脉压迫综合征等所致眩晕症时出现的空间定向能力受损或障碍，恶心呕吐，或眩晕后出现语言、运动功能障碍，听力下降等情况，或眩晕急性起病，病程较短，或伴随唇、舌色淡白，脉细弱的血虚、低血压眩晕的症状；条目中无纳入病名的病因、病机相关描述的</w:t>
      </w:r>
      <w:r>
        <w:rPr>
          <w:rFonts w:ascii="仿宋_GB2312" w:eastAsia="仿宋_GB2312" w:hAnsi="仿宋" w:cs="仿宋_GB2312" w:hint="eastAsia"/>
          <w:sz w:val="32"/>
          <w:szCs w:val="32"/>
        </w:rPr>
        <w:lastRenderedPageBreak/>
        <w:t>篇目；条目中与前文完全重复，或完全引用前人语句未提出自身观点的情况；条目中的论述或语义不清，无法确定病因病机理论的内容；检索的病名关键词并非疾病名组成者如：红晕、光眩目、心头痛硬、瞑眩反应、使人眩惑、目眩耳鸣等。</w:t>
      </w:r>
    </w:p>
    <w:p w14:paraId="144CC0A3" w14:textId="77777777" w:rsidR="00561395" w:rsidRDefault="00000000">
      <w:pPr>
        <w:pStyle w:val="Default"/>
        <w:spacing w:line="600" w:lineRule="exact"/>
        <w:ind w:firstLineChars="200" w:firstLine="640"/>
        <w:contextualSpacing/>
        <w:jc w:val="both"/>
        <w:rPr>
          <w:rFonts w:ascii="仿宋_GB2312" w:eastAsia="仿宋_GB2312" w:hAnsi="仿宋" w:cs="仿宋_GB2312"/>
          <w:sz w:val="32"/>
          <w:szCs w:val="32"/>
        </w:rPr>
      </w:pPr>
      <w:r>
        <w:rPr>
          <w:rFonts w:ascii="仿宋_GB2312" w:eastAsia="仿宋_GB2312" w:hAnsi="仿宋" w:cs="仿宋_GB2312"/>
          <w:sz w:val="32"/>
          <w:szCs w:val="32"/>
        </w:rPr>
        <w:t>（3）证据筛选流程及结果</w:t>
      </w:r>
      <w:r>
        <w:rPr>
          <w:rFonts w:ascii="仿宋_GB2312" w:eastAsia="仿宋_GB2312" w:hAnsi="仿宋" w:cs="仿宋_GB2312" w:hint="eastAsia"/>
          <w:sz w:val="32"/>
          <w:szCs w:val="32"/>
        </w:rPr>
        <w:t>：</w:t>
      </w:r>
    </w:p>
    <w:p w14:paraId="5F86F2AC" w14:textId="77777777" w:rsidR="00561395" w:rsidRDefault="00000000">
      <w:pPr>
        <w:pStyle w:val="Default"/>
        <w:spacing w:line="600" w:lineRule="exact"/>
        <w:ind w:firstLineChars="200" w:firstLine="640"/>
        <w:contextualSpacing/>
        <w:jc w:val="both"/>
        <w:rPr>
          <w:rFonts w:ascii="仿宋_GB2312" w:eastAsia="仿宋_GB2312" w:hAnsi="仿宋" w:cs="仿宋_GB2312"/>
          <w:sz w:val="32"/>
          <w:szCs w:val="32"/>
        </w:rPr>
      </w:pPr>
      <w:r>
        <w:rPr>
          <w:rFonts w:ascii="仿宋_GB2312" w:eastAsia="仿宋_GB2312" w:hAnsi="仿宋" w:cs="仿宋_GB2312"/>
          <w:sz w:val="32"/>
          <w:szCs w:val="32"/>
        </w:rPr>
        <w:t>证据筛选流程及结果，参见图</w:t>
      </w:r>
      <w:r>
        <w:rPr>
          <w:rFonts w:ascii="仿宋_GB2312" w:eastAsia="仿宋_GB2312" w:hAnsi="仿宋" w:cs="仿宋_GB2312" w:hint="eastAsia"/>
          <w:sz w:val="32"/>
          <w:szCs w:val="32"/>
        </w:rPr>
        <w:t>2</w:t>
      </w:r>
      <w:r>
        <w:rPr>
          <w:rFonts w:ascii="仿宋_GB2312" w:eastAsia="仿宋_GB2312" w:hAnsi="仿宋" w:cs="仿宋_GB2312"/>
          <w:sz w:val="32"/>
          <w:szCs w:val="32"/>
        </w:rPr>
        <w:t>。</w:t>
      </w:r>
    </w:p>
    <w:p w14:paraId="571898EF" w14:textId="77777777" w:rsidR="00561395" w:rsidRDefault="00561395">
      <w:pPr>
        <w:pStyle w:val="Default"/>
        <w:spacing w:line="360" w:lineRule="auto"/>
        <w:rPr>
          <w:rStyle w:val="fontstyle01"/>
          <w:rFonts w:hint="default"/>
          <w:b/>
          <w:color w:val="auto"/>
          <w:kern w:val="2"/>
        </w:rPr>
      </w:pPr>
    </w:p>
    <w:p w14:paraId="65AFEA9B" w14:textId="77777777" w:rsidR="00561395" w:rsidRDefault="00561395">
      <w:pPr>
        <w:pStyle w:val="Default"/>
        <w:spacing w:line="360" w:lineRule="auto"/>
        <w:ind w:firstLine="420"/>
        <w:rPr>
          <w:rStyle w:val="fontstyle01"/>
          <w:rFonts w:hint="default"/>
          <w:b/>
          <w:color w:val="auto"/>
          <w:kern w:val="2"/>
        </w:rPr>
      </w:pPr>
    </w:p>
    <w:p w14:paraId="1F42DEC3" w14:textId="77777777" w:rsidR="00561395" w:rsidRDefault="00561395" w:rsidP="00DC4A56">
      <w:pPr>
        <w:pStyle w:val="Default"/>
        <w:spacing w:line="360" w:lineRule="auto"/>
        <w:rPr>
          <w:rStyle w:val="fontstyle01"/>
          <w:rFonts w:hint="default"/>
          <w:b/>
          <w:color w:val="auto"/>
          <w:kern w:val="2"/>
        </w:rPr>
      </w:pPr>
    </w:p>
    <w:p w14:paraId="6368AE69" w14:textId="77777777" w:rsidR="00561395" w:rsidRDefault="00561395">
      <w:pPr>
        <w:pStyle w:val="Default"/>
        <w:spacing w:line="360" w:lineRule="auto"/>
        <w:ind w:firstLine="420"/>
        <w:rPr>
          <w:rStyle w:val="fontstyle01"/>
          <w:rFonts w:hint="default"/>
          <w:b/>
          <w:color w:val="auto"/>
          <w:kern w:val="2"/>
        </w:rPr>
      </w:pPr>
    </w:p>
    <w:p w14:paraId="41F7EE9A" w14:textId="77777777" w:rsidR="00561395" w:rsidRDefault="00000000">
      <w:pPr>
        <w:pStyle w:val="Default"/>
        <w:spacing w:line="360" w:lineRule="auto"/>
        <w:ind w:firstLine="420"/>
        <w:jc w:val="center"/>
        <w:rPr>
          <w:rStyle w:val="fontstyle01"/>
          <w:rFonts w:ascii="黑体" w:eastAsia="黑体" w:hAnsi="黑体" w:hint="default"/>
          <w:color w:val="auto"/>
          <w:kern w:val="2"/>
          <w:sz w:val="24"/>
        </w:rPr>
      </w:pPr>
      <w:r>
        <w:rPr>
          <w:noProof/>
        </w:rPr>
        <w:drawing>
          <wp:inline distT="0" distB="0" distL="114300" distR="114300" wp14:anchorId="03442E29" wp14:editId="69AB7FD5">
            <wp:extent cx="5619750" cy="4300855"/>
            <wp:effectExtent l="0" t="0" r="0" b="444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5619750" cy="4300855"/>
                    </a:xfrm>
                    <a:prstGeom prst="rect">
                      <a:avLst/>
                    </a:prstGeom>
                    <a:noFill/>
                    <a:ln>
                      <a:noFill/>
                    </a:ln>
                  </pic:spPr>
                </pic:pic>
              </a:graphicData>
            </a:graphic>
          </wp:inline>
        </w:drawing>
      </w:r>
    </w:p>
    <w:p w14:paraId="5F895878" w14:textId="77777777" w:rsidR="00561395" w:rsidRDefault="00000000">
      <w:pPr>
        <w:pStyle w:val="Default"/>
        <w:spacing w:line="360" w:lineRule="auto"/>
        <w:ind w:firstLine="420"/>
        <w:jc w:val="center"/>
        <w:rPr>
          <w:rStyle w:val="fontstyle01"/>
          <w:rFonts w:ascii="黑体" w:eastAsia="黑体" w:hAnsi="黑体" w:hint="default"/>
          <w:color w:val="auto"/>
          <w:kern w:val="2"/>
          <w:sz w:val="24"/>
        </w:rPr>
      </w:pPr>
      <w:r>
        <w:rPr>
          <w:rStyle w:val="fontstyle01"/>
          <w:rFonts w:ascii="黑体" w:eastAsia="黑体" w:hAnsi="黑体" w:hint="default"/>
          <w:color w:val="auto"/>
          <w:kern w:val="2"/>
          <w:sz w:val="24"/>
        </w:rPr>
        <w:t>图</w:t>
      </w:r>
      <w:r>
        <w:rPr>
          <w:rStyle w:val="fontstyle01"/>
          <w:rFonts w:ascii="黑体" w:eastAsia="黑体" w:hAnsi="黑体" w:cs="Times New Roman" w:hint="default"/>
          <w:color w:val="auto"/>
          <w:kern w:val="2"/>
          <w:sz w:val="24"/>
        </w:rPr>
        <w:t>2 古籍文献证</w:t>
      </w:r>
      <w:r>
        <w:rPr>
          <w:rStyle w:val="fontstyle01"/>
          <w:rFonts w:ascii="黑体" w:eastAsia="黑体" w:hAnsi="黑体" w:hint="default"/>
          <w:color w:val="auto"/>
          <w:kern w:val="2"/>
          <w:sz w:val="24"/>
        </w:rPr>
        <w:t>据筛选流程图</w:t>
      </w:r>
    </w:p>
    <w:p w14:paraId="3313DB38" w14:textId="77777777" w:rsidR="00561395" w:rsidRDefault="00000000">
      <w:pPr>
        <w:pStyle w:val="Default"/>
        <w:spacing w:line="600" w:lineRule="exact"/>
        <w:ind w:firstLineChars="200" w:firstLine="640"/>
        <w:contextualSpacing/>
        <w:jc w:val="both"/>
        <w:rPr>
          <w:rFonts w:ascii="仿宋_GB2312" w:eastAsia="仿宋_GB2312" w:hAnsi="仿宋" w:cs="仿宋_GB2312"/>
          <w:sz w:val="32"/>
          <w:szCs w:val="32"/>
        </w:rPr>
      </w:pPr>
      <w:r>
        <w:rPr>
          <w:rFonts w:ascii="仿宋_GB2312" w:eastAsia="仿宋_GB2312" w:hAnsi="仿宋" w:cs="仿宋_GB2312" w:hint="eastAsia"/>
          <w:sz w:val="32"/>
          <w:szCs w:val="32"/>
        </w:rPr>
        <w:lastRenderedPageBreak/>
        <w:t>（4）古籍文献梳理</w:t>
      </w:r>
    </w:p>
    <w:p w14:paraId="1BCDD534" w14:textId="77777777" w:rsidR="00561395" w:rsidRDefault="00000000">
      <w:pPr>
        <w:pStyle w:val="Default"/>
        <w:spacing w:line="600" w:lineRule="exact"/>
        <w:ind w:firstLineChars="200" w:firstLine="640"/>
        <w:contextualSpacing/>
        <w:jc w:val="both"/>
        <w:rPr>
          <w:rFonts w:ascii="仿宋_GB2312" w:eastAsia="仿宋_GB2312" w:hAnsi="仿宋" w:cs="仿宋_GB2312"/>
          <w:sz w:val="32"/>
          <w:szCs w:val="32"/>
        </w:rPr>
      </w:pPr>
      <w:r>
        <w:rPr>
          <w:rFonts w:ascii="仿宋_GB2312" w:eastAsia="仿宋_GB2312" w:hAnsi="仿宋" w:cs="仿宋_GB2312" w:hint="eastAsia"/>
          <w:sz w:val="32"/>
          <w:szCs w:val="32"/>
        </w:rPr>
        <w:t>共7条核心技术要素通过古籍研究收集证据。共采用133本古籍文献，提取317条古籍原文，形成古籍文献研究报告。其中疾病诊断部分共涉及85条条文，证候分类部分共涉及159条条文，其中风阳上扰证涉及62条条文，痰浊上蒙证涉及17条条文，气血亏虚证涉及27条条文，肝肾亏虚证涉及11条条文，瘀阻脑络证涉及37条条文等，并在附录中报告古籍原文、名称和作者等信息，详见附件7。</w:t>
      </w:r>
    </w:p>
    <w:p w14:paraId="4278E7E9" w14:textId="77777777" w:rsidR="00561395" w:rsidRDefault="00000000">
      <w:pPr>
        <w:pStyle w:val="Default"/>
        <w:spacing w:line="600" w:lineRule="exact"/>
        <w:ind w:firstLineChars="200" w:firstLine="643"/>
        <w:contextualSpacing/>
        <w:jc w:val="both"/>
        <w:rPr>
          <w:rFonts w:ascii="仿宋_GB2312" w:eastAsia="仿宋_GB2312" w:hAnsi="仿宋" w:cs="仿宋_GB2312"/>
          <w:sz w:val="32"/>
          <w:szCs w:val="32"/>
        </w:rPr>
      </w:pPr>
      <w:r>
        <w:rPr>
          <w:rFonts w:ascii="仿宋_GB2312" w:eastAsia="仿宋_GB2312" w:hAnsi="仿宋" w:cs="仿宋_GB2312" w:hint="eastAsia"/>
          <w:b/>
          <w:bCs/>
          <w:sz w:val="32"/>
          <w:szCs w:val="32"/>
        </w:rPr>
        <w:t>4.现代文献研究</w:t>
      </w:r>
    </w:p>
    <w:p w14:paraId="33659C14" w14:textId="77777777" w:rsidR="00561395" w:rsidRDefault="00000000">
      <w:pPr>
        <w:pStyle w:val="Default"/>
        <w:spacing w:line="600" w:lineRule="exact"/>
        <w:ind w:firstLineChars="200" w:firstLine="643"/>
        <w:contextualSpacing/>
        <w:jc w:val="both"/>
        <w:rPr>
          <w:rFonts w:ascii="仿宋_GB2312" w:eastAsia="仿宋_GB2312" w:hAnsi="仿宋" w:cs="仿宋_GB2312"/>
          <w:b/>
          <w:bCs/>
          <w:sz w:val="32"/>
          <w:szCs w:val="32"/>
        </w:rPr>
      </w:pPr>
      <w:r>
        <w:rPr>
          <w:rFonts w:ascii="仿宋_GB2312" w:eastAsia="仿宋_GB2312" w:hAnsi="仿宋" w:cs="仿宋_GB2312" w:hint="eastAsia"/>
          <w:b/>
          <w:bCs/>
          <w:sz w:val="32"/>
          <w:szCs w:val="32"/>
        </w:rPr>
        <w:t>（1）根据PICO检索数据库</w:t>
      </w:r>
    </w:p>
    <w:p w14:paraId="5C217B36" w14:textId="77777777" w:rsidR="00561395" w:rsidRDefault="00000000">
      <w:pPr>
        <w:pStyle w:val="Default"/>
        <w:spacing w:line="600" w:lineRule="exact"/>
        <w:ind w:firstLineChars="200" w:firstLine="640"/>
        <w:contextualSpacing/>
        <w:jc w:val="both"/>
        <w:rPr>
          <w:rFonts w:ascii="仿宋_GB2312" w:eastAsia="仿宋_GB2312" w:hAnsi="仿宋" w:cs="仿宋_GB2312"/>
          <w:sz w:val="32"/>
          <w:szCs w:val="32"/>
        </w:rPr>
      </w:pPr>
      <w:r>
        <w:rPr>
          <w:rFonts w:ascii="仿宋_GB2312" w:eastAsia="仿宋_GB2312" w:hAnsi="仿宋" w:cs="仿宋_GB2312" w:hint="eastAsia"/>
          <w:sz w:val="32"/>
          <w:szCs w:val="32"/>
        </w:rPr>
        <w:t>检索策略为电子检索：检索内容为国内外原始研究数据库和国内外临床试验注册库以及国内外指南文库。检索全文电子数据库主要包括原始研究数据库:①中文数据库:中国知网(CNKI)、中文科技期刊全文数据库(维普)、中国生物医学文献数据库(SinoMed)、万方全文数据库。②英文数据库:Pubmed，EMbase，Cochrane Library，Web of Science。③临床试验平台：Cochrance。</w:t>
      </w:r>
    </w:p>
    <w:p w14:paraId="0B80BF8E" w14:textId="77777777" w:rsidR="00561395" w:rsidRDefault="00000000">
      <w:pPr>
        <w:pStyle w:val="Default"/>
        <w:spacing w:line="600" w:lineRule="exact"/>
        <w:ind w:firstLineChars="200" w:firstLine="643"/>
        <w:contextualSpacing/>
        <w:jc w:val="both"/>
        <w:rPr>
          <w:rFonts w:ascii="仿宋_GB2312" w:eastAsia="仿宋_GB2312" w:hAnsi="仿宋" w:cs="仿宋_GB2312"/>
          <w:b/>
          <w:bCs/>
          <w:sz w:val="32"/>
          <w:szCs w:val="32"/>
        </w:rPr>
      </w:pPr>
      <w:r>
        <w:rPr>
          <w:rFonts w:ascii="仿宋_GB2312" w:eastAsia="仿宋_GB2312" w:hAnsi="仿宋" w:cs="仿宋_GB2312" w:hint="eastAsia"/>
          <w:b/>
          <w:bCs/>
          <w:sz w:val="32"/>
          <w:szCs w:val="32"/>
        </w:rPr>
        <w:t>（2）检索式</w:t>
      </w:r>
    </w:p>
    <w:p w14:paraId="65416481" w14:textId="77777777" w:rsidR="00561395" w:rsidRDefault="00000000">
      <w:pPr>
        <w:ind w:firstLineChars="200" w:firstLine="643"/>
        <w:rPr>
          <w:rFonts w:ascii="仿宋_GB2312" w:eastAsia="仿宋_GB2312" w:hAnsi="仿宋" w:cs="仿宋_GB2312"/>
          <w:b/>
          <w:bCs/>
          <w:color w:val="000000"/>
          <w:kern w:val="0"/>
          <w:sz w:val="32"/>
          <w:szCs w:val="32"/>
        </w:rPr>
      </w:pPr>
      <w:r>
        <w:rPr>
          <w:rFonts w:ascii="仿宋_GB2312" w:eastAsia="仿宋_GB2312" w:hAnsi="仿宋" w:cs="仿宋_GB2312" w:hint="eastAsia"/>
          <w:b/>
          <w:bCs/>
          <w:color w:val="000000"/>
          <w:kern w:val="0"/>
          <w:sz w:val="32"/>
          <w:szCs w:val="32"/>
        </w:rPr>
        <w:t>①证候分类及诊断文献检索策略</w:t>
      </w:r>
    </w:p>
    <w:p w14:paraId="18B9925D" w14:textId="77777777" w:rsidR="00561395" w:rsidRDefault="00000000">
      <w:pPr>
        <w:ind w:firstLineChars="200" w:firstLine="480"/>
        <w:jc w:val="center"/>
        <w:rPr>
          <w:rFonts w:ascii="仿宋_GB2312" w:eastAsia="仿宋_GB2312" w:hAnsi="仿宋" w:cs="仿宋_GB2312"/>
          <w:b/>
          <w:bCs/>
          <w:color w:val="000000"/>
          <w:kern w:val="0"/>
          <w:sz w:val="32"/>
          <w:szCs w:val="32"/>
        </w:rPr>
      </w:pPr>
      <w:r>
        <w:rPr>
          <w:rStyle w:val="fontstyle01"/>
          <w:rFonts w:ascii="黑体" w:eastAsia="黑体" w:hAnsi="黑体" w:cs="Times New Roman" w:hint="default"/>
          <w:color w:val="auto"/>
          <w:sz w:val="24"/>
        </w:rPr>
        <w:t>表1  证候分类及诊断文献检索策略及结果</w:t>
      </w:r>
    </w:p>
    <w:tbl>
      <w:tblPr>
        <w:tblStyle w:val="af"/>
        <w:tblW w:w="8520" w:type="dxa"/>
        <w:jc w:val="center"/>
        <w:tblLook w:val="04A0" w:firstRow="1" w:lastRow="0" w:firstColumn="1" w:lastColumn="0" w:noHBand="0" w:noVBand="1"/>
      </w:tblPr>
      <w:tblGrid>
        <w:gridCol w:w="1121"/>
        <w:gridCol w:w="4433"/>
        <w:gridCol w:w="1650"/>
        <w:gridCol w:w="1316"/>
      </w:tblGrid>
      <w:tr w:rsidR="00561395" w14:paraId="22EAC518" w14:textId="77777777">
        <w:trPr>
          <w:jc w:val="center"/>
        </w:trPr>
        <w:tc>
          <w:tcPr>
            <w:tcW w:w="1121" w:type="dxa"/>
            <w:vAlign w:val="center"/>
          </w:tcPr>
          <w:p w14:paraId="2230CA09" w14:textId="77777777" w:rsidR="00561395" w:rsidRDefault="00000000">
            <w:pPr>
              <w:widowControl/>
              <w:jc w:val="center"/>
              <w:textAlignment w:val="center"/>
              <w:rPr>
                <w:rFonts w:ascii="Times New Roman" w:eastAsia="宋体" w:hAnsi="Times New Roman" w:cs="Times New Roman"/>
                <w:b/>
                <w:bCs/>
                <w:color w:val="000000"/>
                <w:kern w:val="0"/>
                <w:sz w:val="18"/>
                <w:szCs w:val="18"/>
                <w:lang w:bidi="ar"/>
              </w:rPr>
            </w:pPr>
            <w:r>
              <w:rPr>
                <w:rFonts w:ascii="Times New Roman" w:eastAsia="宋体" w:hAnsi="Times New Roman" w:cs="Times New Roman" w:hint="eastAsia"/>
                <w:b/>
                <w:bCs/>
                <w:color w:val="000000"/>
                <w:kern w:val="0"/>
                <w:sz w:val="18"/>
                <w:szCs w:val="18"/>
                <w:lang w:bidi="ar"/>
              </w:rPr>
              <w:t>数据库</w:t>
            </w:r>
          </w:p>
        </w:tc>
        <w:tc>
          <w:tcPr>
            <w:tcW w:w="4433" w:type="dxa"/>
            <w:vAlign w:val="center"/>
          </w:tcPr>
          <w:p w14:paraId="44C3835A" w14:textId="77777777" w:rsidR="00561395" w:rsidRDefault="00000000">
            <w:pPr>
              <w:widowControl/>
              <w:jc w:val="center"/>
              <w:textAlignment w:val="center"/>
              <w:rPr>
                <w:rFonts w:ascii="Times New Roman" w:eastAsia="宋体" w:hAnsi="Times New Roman" w:cs="Times New Roman"/>
                <w:b/>
                <w:bCs/>
                <w:color w:val="000000"/>
                <w:kern w:val="0"/>
                <w:sz w:val="18"/>
                <w:szCs w:val="18"/>
                <w:lang w:bidi="ar"/>
              </w:rPr>
            </w:pPr>
            <w:r>
              <w:rPr>
                <w:rFonts w:ascii="Times New Roman" w:eastAsia="宋体" w:hAnsi="Times New Roman" w:cs="Times New Roman" w:hint="eastAsia"/>
                <w:b/>
                <w:bCs/>
                <w:color w:val="000000"/>
                <w:kern w:val="0"/>
                <w:sz w:val="18"/>
                <w:szCs w:val="18"/>
                <w:lang w:bidi="ar"/>
              </w:rPr>
              <w:t>检索式</w:t>
            </w:r>
          </w:p>
        </w:tc>
        <w:tc>
          <w:tcPr>
            <w:tcW w:w="1650" w:type="dxa"/>
            <w:vAlign w:val="center"/>
          </w:tcPr>
          <w:p w14:paraId="1B92E37F" w14:textId="77777777" w:rsidR="00561395" w:rsidRDefault="00000000">
            <w:pPr>
              <w:widowControl/>
              <w:jc w:val="center"/>
              <w:textAlignment w:val="center"/>
              <w:rPr>
                <w:rFonts w:ascii="Times New Roman" w:eastAsia="宋体" w:hAnsi="Times New Roman" w:cs="Times New Roman"/>
                <w:b/>
                <w:bCs/>
                <w:color w:val="000000"/>
                <w:kern w:val="0"/>
                <w:sz w:val="18"/>
                <w:szCs w:val="18"/>
                <w:lang w:bidi="ar"/>
              </w:rPr>
            </w:pPr>
            <w:r>
              <w:rPr>
                <w:rFonts w:ascii="Times New Roman" w:eastAsia="宋体" w:hAnsi="Times New Roman" w:cs="Times New Roman" w:hint="eastAsia"/>
                <w:b/>
                <w:bCs/>
                <w:color w:val="000000"/>
                <w:kern w:val="0"/>
                <w:sz w:val="18"/>
                <w:szCs w:val="18"/>
                <w:lang w:bidi="ar"/>
              </w:rPr>
              <w:t>时间范围</w:t>
            </w:r>
          </w:p>
        </w:tc>
        <w:tc>
          <w:tcPr>
            <w:tcW w:w="1316" w:type="dxa"/>
            <w:vAlign w:val="center"/>
          </w:tcPr>
          <w:p w14:paraId="6D2E43C5" w14:textId="77777777" w:rsidR="00561395" w:rsidRDefault="00000000">
            <w:pPr>
              <w:widowControl/>
              <w:jc w:val="center"/>
              <w:textAlignment w:val="center"/>
              <w:rPr>
                <w:rFonts w:ascii="Times New Roman" w:eastAsia="宋体" w:hAnsi="Times New Roman" w:cs="Times New Roman"/>
                <w:b/>
                <w:bCs/>
                <w:color w:val="000000"/>
                <w:kern w:val="0"/>
                <w:sz w:val="18"/>
                <w:szCs w:val="18"/>
                <w:lang w:bidi="ar"/>
              </w:rPr>
            </w:pPr>
            <w:r>
              <w:rPr>
                <w:rFonts w:ascii="Times New Roman" w:eastAsia="宋体" w:hAnsi="Times New Roman" w:cs="Times New Roman" w:hint="eastAsia"/>
                <w:b/>
                <w:bCs/>
                <w:color w:val="000000"/>
                <w:kern w:val="0"/>
                <w:sz w:val="18"/>
                <w:szCs w:val="18"/>
                <w:lang w:bidi="ar"/>
              </w:rPr>
              <w:t>检索数量</w:t>
            </w:r>
          </w:p>
        </w:tc>
      </w:tr>
      <w:tr w:rsidR="00561395" w14:paraId="74906104" w14:textId="77777777">
        <w:trPr>
          <w:jc w:val="center"/>
        </w:trPr>
        <w:tc>
          <w:tcPr>
            <w:tcW w:w="1121" w:type="dxa"/>
            <w:vAlign w:val="center"/>
          </w:tcPr>
          <w:p w14:paraId="2397EC2F"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知网</w:t>
            </w:r>
          </w:p>
        </w:tc>
        <w:tc>
          <w:tcPr>
            <w:tcW w:w="4433" w:type="dxa"/>
            <w:vAlign w:val="center"/>
          </w:tcPr>
          <w:p w14:paraId="164C7EF9"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高级检索</w:t>
            </w:r>
          </w:p>
          <w:p w14:paraId="0FAFDD44"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（主题：眩</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晕</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徇蒙招尤</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眴</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目瞑</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冒</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瞀</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风头旋</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头面风）</w:t>
            </w:r>
            <w:r>
              <w:rPr>
                <w:rFonts w:ascii="Times New Roman" w:eastAsia="宋体" w:hAnsi="Times New Roman" w:cs="Times New Roman" w:hint="eastAsia"/>
                <w:color w:val="000000"/>
                <w:kern w:val="0"/>
                <w:sz w:val="18"/>
                <w:szCs w:val="18"/>
                <w:lang w:bidi="ar"/>
              </w:rPr>
              <w:t>AND</w:t>
            </w:r>
            <w:r>
              <w:rPr>
                <w:rFonts w:ascii="Times New Roman" w:eastAsia="宋体" w:hAnsi="Times New Roman" w:cs="Times New Roman" w:hint="eastAsia"/>
                <w:color w:val="000000"/>
                <w:kern w:val="0"/>
                <w:sz w:val="18"/>
                <w:szCs w:val="18"/>
                <w:lang w:bidi="ar"/>
              </w:rPr>
              <w:t>（主题：证候</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证类</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证型</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证素</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证候要素</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证候类型）</w:t>
            </w:r>
            <w:r>
              <w:rPr>
                <w:rFonts w:ascii="Times New Roman" w:eastAsia="宋体" w:hAnsi="Times New Roman" w:cs="Times New Roman" w:hint="eastAsia"/>
                <w:color w:val="000000"/>
                <w:kern w:val="0"/>
                <w:sz w:val="18"/>
                <w:szCs w:val="18"/>
                <w:lang w:bidi="ar"/>
              </w:rPr>
              <w:t>AND</w:t>
            </w:r>
            <w:r>
              <w:rPr>
                <w:rFonts w:ascii="Times New Roman" w:eastAsia="宋体" w:hAnsi="Times New Roman" w:cs="Times New Roman" w:hint="eastAsia"/>
                <w:color w:val="000000"/>
                <w:kern w:val="0"/>
                <w:sz w:val="18"/>
                <w:szCs w:val="18"/>
                <w:lang w:bidi="ar"/>
              </w:rPr>
              <w:t>（主题：中医</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中药</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汤</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丸</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散</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膏</w:t>
            </w:r>
            <w:r>
              <w:rPr>
                <w:rFonts w:ascii="Times New Roman" w:eastAsia="宋体" w:hAnsi="Times New Roman" w:cs="Times New Roman" w:hint="eastAsia"/>
                <w:color w:val="000000"/>
                <w:kern w:val="0"/>
                <w:sz w:val="18"/>
                <w:szCs w:val="18"/>
                <w:lang w:bidi="ar"/>
              </w:rPr>
              <w:t xml:space="preserve"> +</w:t>
            </w:r>
            <w:r>
              <w:rPr>
                <w:rFonts w:ascii="Times New Roman" w:eastAsia="宋体" w:hAnsi="Times New Roman" w:cs="Times New Roman" w:hint="eastAsia"/>
                <w:color w:val="000000"/>
                <w:kern w:val="0"/>
                <w:sz w:val="18"/>
                <w:szCs w:val="18"/>
                <w:lang w:bidi="ar"/>
              </w:rPr>
              <w:t>丹</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耳穴</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针</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灸</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推拿</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按摩</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埋线</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拔罐</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刮痧</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外治）</w:t>
            </w:r>
            <w:r>
              <w:rPr>
                <w:rFonts w:ascii="Times New Roman" w:eastAsia="宋体" w:hAnsi="Times New Roman" w:cs="Times New Roman" w:hint="eastAsia"/>
                <w:color w:val="000000"/>
                <w:kern w:val="0"/>
                <w:sz w:val="18"/>
                <w:szCs w:val="18"/>
                <w:lang w:bidi="ar"/>
              </w:rPr>
              <w:t>NOT</w:t>
            </w:r>
            <w:r>
              <w:rPr>
                <w:rFonts w:ascii="Times New Roman" w:eastAsia="宋体" w:hAnsi="Times New Roman" w:cs="Times New Roman" w:hint="eastAsia"/>
                <w:color w:val="000000"/>
                <w:kern w:val="0"/>
                <w:sz w:val="18"/>
                <w:szCs w:val="18"/>
                <w:lang w:bidi="ar"/>
              </w:rPr>
              <w:t>（主题：感冒）</w:t>
            </w:r>
          </w:p>
        </w:tc>
        <w:tc>
          <w:tcPr>
            <w:tcW w:w="1650" w:type="dxa"/>
            <w:vAlign w:val="center"/>
          </w:tcPr>
          <w:p w14:paraId="68C84621"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起：</w:t>
            </w:r>
            <w:r>
              <w:rPr>
                <w:rFonts w:ascii="Times New Roman" w:eastAsia="宋体" w:hAnsi="Times New Roman" w:cs="Times New Roman" w:hint="eastAsia"/>
                <w:color w:val="000000"/>
                <w:kern w:val="0"/>
                <w:sz w:val="18"/>
                <w:szCs w:val="18"/>
                <w:lang w:bidi="ar"/>
              </w:rPr>
              <w:t>2014-01-01</w:t>
            </w:r>
          </w:p>
          <w:p w14:paraId="66374451"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止：</w:t>
            </w:r>
            <w:r>
              <w:rPr>
                <w:rFonts w:ascii="Times New Roman" w:eastAsia="宋体" w:hAnsi="Times New Roman" w:cs="Times New Roman" w:hint="eastAsia"/>
                <w:color w:val="000000"/>
                <w:kern w:val="0"/>
                <w:sz w:val="18"/>
                <w:szCs w:val="18"/>
                <w:lang w:bidi="ar"/>
              </w:rPr>
              <w:t>2024-06-30</w:t>
            </w:r>
          </w:p>
        </w:tc>
        <w:tc>
          <w:tcPr>
            <w:tcW w:w="1316" w:type="dxa"/>
            <w:vAlign w:val="center"/>
          </w:tcPr>
          <w:p w14:paraId="7144B994"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339</w:t>
            </w:r>
          </w:p>
        </w:tc>
      </w:tr>
      <w:tr w:rsidR="00561395" w14:paraId="503646CF" w14:textId="77777777">
        <w:trPr>
          <w:jc w:val="center"/>
        </w:trPr>
        <w:tc>
          <w:tcPr>
            <w:tcW w:w="1121" w:type="dxa"/>
            <w:vAlign w:val="center"/>
          </w:tcPr>
          <w:p w14:paraId="61E6D934"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万方</w:t>
            </w:r>
          </w:p>
        </w:tc>
        <w:tc>
          <w:tcPr>
            <w:tcW w:w="4433" w:type="dxa"/>
            <w:vAlign w:val="center"/>
          </w:tcPr>
          <w:p w14:paraId="70277861"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专业检索</w:t>
            </w:r>
          </w:p>
          <w:p w14:paraId="35420EEF"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lastRenderedPageBreak/>
              <w:t>题名或关键词</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眩</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晕</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徇蒙招尤</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眴</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目瞑</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冒</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瞀</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风头旋</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头面风</w:t>
            </w:r>
            <w:r>
              <w:rPr>
                <w:rFonts w:ascii="Times New Roman" w:eastAsia="宋体" w:hAnsi="Times New Roman" w:cs="Times New Roman" w:hint="eastAsia"/>
                <w:color w:val="000000"/>
                <w:kern w:val="0"/>
                <w:sz w:val="18"/>
                <w:szCs w:val="18"/>
                <w:lang w:bidi="ar"/>
              </w:rPr>
              <w:t xml:space="preserve">) and </w:t>
            </w:r>
            <w:r>
              <w:rPr>
                <w:rFonts w:ascii="Times New Roman" w:eastAsia="宋体" w:hAnsi="Times New Roman" w:cs="Times New Roman" w:hint="eastAsia"/>
                <w:color w:val="000000"/>
                <w:kern w:val="0"/>
                <w:sz w:val="18"/>
                <w:szCs w:val="18"/>
                <w:lang w:bidi="ar"/>
              </w:rPr>
              <w:t>题名或关键词</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证候</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证类</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证型</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证素</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证候要素</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证候类型</w:t>
            </w:r>
            <w:r>
              <w:rPr>
                <w:rFonts w:ascii="Times New Roman" w:eastAsia="宋体" w:hAnsi="Times New Roman" w:cs="Times New Roman" w:hint="eastAsia"/>
                <w:color w:val="000000"/>
                <w:kern w:val="0"/>
                <w:sz w:val="18"/>
                <w:szCs w:val="18"/>
                <w:lang w:bidi="ar"/>
              </w:rPr>
              <w:t xml:space="preserve">) and </w:t>
            </w:r>
            <w:r>
              <w:rPr>
                <w:rFonts w:ascii="Times New Roman" w:eastAsia="宋体" w:hAnsi="Times New Roman" w:cs="Times New Roman" w:hint="eastAsia"/>
                <w:color w:val="000000"/>
                <w:kern w:val="0"/>
                <w:sz w:val="18"/>
                <w:szCs w:val="18"/>
                <w:lang w:bidi="ar"/>
              </w:rPr>
              <w:t>题名或关键词</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中医</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中药</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汤</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丸</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散</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膏</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丹</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耳穴</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针</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灸</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推拿</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按摩</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埋线</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拔罐</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刮痧</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外治</w:t>
            </w:r>
            <w:r>
              <w:rPr>
                <w:rFonts w:ascii="Times New Roman" w:eastAsia="宋体" w:hAnsi="Times New Roman" w:cs="Times New Roman" w:hint="eastAsia"/>
                <w:color w:val="000000"/>
                <w:kern w:val="0"/>
                <w:sz w:val="18"/>
                <w:szCs w:val="18"/>
                <w:lang w:bidi="ar"/>
              </w:rPr>
              <w:t xml:space="preserve">) not </w:t>
            </w:r>
            <w:r>
              <w:rPr>
                <w:rFonts w:ascii="Times New Roman" w:eastAsia="宋体" w:hAnsi="Times New Roman" w:cs="Times New Roman" w:hint="eastAsia"/>
                <w:color w:val="000000"/>
                <w:kern w:val="0"/>
                <w:sz w:val="18"/>
                <w:szCs w:val="18"/>
                <w:lang w:bidi="ar"/>
              </w:rPr>
              <w:t>题名或关键词</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感冒</w:t>
            </w:r>
            <w:r>
              <w:rPr>
                <w:rFonts w:ascii="Times New Roman" w:eastAsia="宋体" w:hAnsi="Times New Roman" w:cs="Times New Roman" w:hint="eastAsia"/>
                <w:color w:val="000000"/>
                <w:kern w:val="0"/>
                <w:sz w:val="18"/>
                <w:szCs w:val="18"/>
                <w:lang w:bidi="ar"/>
              </w:rPr>
              <w:t>)</w:t>
            </w:r>
          </w:p>
        </w:tc>
        <w:tc>
          <w:tcPr>
            <w:tcW w:w="1650" w:type="dxa"/>
            <w:vAlign w:val="center"/>
          </w:tcPr>
          <w:p w14:paraId="4243BDAB"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lastRenderedPageBreak/>
              <w:t>起：</w:t>
            </w:r>
            <w:r>
              <w:rPr>
                <w:rFonts w:ascii="Times New Roman" w:eastAsia="宋体" w:hAnsi="Times New Roman" w:cs="Times New Roman" w:hint="eastAsia"/>
                <w:color w:val="000000"/>
                <w:kern w:val="0"/>
                <w:sz w:val="18"/>
                <w:szCs w:val="18"/>
                <w:lang w:bidi="ar"/>
              </w:rPr>
              <w:t>2014</w:t>
            </w:r>
            <w:r>
              <w:rPr>
                <w:rFonts w:ascii="Times New Roman" w:eastAsia="宋体" w:hAnsi="Times New Roman" w:cs="Times New Roman" w:hint="eastAsia"/>
                <w:color w:val="000000"/>
                <w:kern w:val="0"/>
                <w:sz w:val="18"/>
                <w:szCs w:val="18"/>
                <w:lang w:bidi="ar"/>
              </w:rPr>
              <w:t>年</w:t>
            </w:r>
          </w:p>
          <w:p w14:paraId="3BD0109A"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止：</w:t>
            </w:r>
            <w:r>
              <w:rPr>
                <w:rFonts w:ascii="Times New Roman" w:eastAsia="宋体" w:hAnsi="Times New Roman" w:cs="Times New Roman" w:hint="eastAsia"/>
                <w:color w:val="000000"/>
                <w:kern w:val="0"/>
                <w:sz w:val="18"/>
                <w:szCs w:val="18"/>
                <w:lang w:bidi="ar"/>
              </w:rPr>
              <w:t>2024-06-30</w:t>
            </w:r>
          </w:p>
        </w:tc>
        <w:tc>
          <w:tcPr>
            <w:tcW w:w="1316" w:type="dxa"/>
            <w:vAlign w:val="center"/>
          </w:tcPr>
          <w:p w14:paraId="3819C8BA"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314</w:t>
            </w:r>
          </w:p>
        </w:tc>
      </w:tr>
      <w:tr w:rsidR="00561395" w14:paraId="2538C652" w14:textId="77777777">
        <w:trPr>
          <w:jc w:val="center"/>
        </w:trPr>
        <w:tc>
          <w:tcPr>
            <w:tcW w:w="1121" w:type="dxa"/>
            <w:vAlign w:val="center"/>
          </w:tcPr>
          <w:p w14:paraId="4D4758BA"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维普</w:t>
            </w:r>
          </w:p>
        </w:tc>
        <w:tc>
          <w:tcPr>
            <w:tcW w:w="4433" w:type="dxa"/>
            <w:vAlign w:val="center"/>
          </w:tcPr>
          <w:p w14:paraId="4523B621"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高级检索</w:t>
            </w:r>
          </w:p>
          <w:p w14:paraId="060EF2AC"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篇名</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眩</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晕</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徇蒙招尤</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眴</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目瞑</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冒</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瞀</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风头旋</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头面风</w:t>
            </w:r>
            <w:r>
              <w:rPr>
                <w:rFonts w:ascii="Times New Roman" w:eastAsia="宋体" w:hAnsi="Times New Roman" w:cs="Times New Roman" w:hint="eastAsia"/>
                <w:color w:val="000000"/>
                <w:kern w:val="0"/>
                <w:sz w:val="18"/>
                <w:szCs w:val="18"/>
                <w:lang w:bidi="ar"/>
              </w:rPr>
              <w:t xml:space="preserve">) AND </w:t>
            </w:r>
            <w:r>
              <w:rPr>
                <w:rFonts w:ascii="Times New Roman" w:eastAsia="宋体" w:hAnsi="Times New Roman" w:cs="Times New Roman" w:hint="eastAsia"/>
                <w:color w:val="000000"/>
                <w:kern w:val="0"/>
                <w:sz w:val="18"/>
                <w:szCs w:val="18"/>
                <w:lang w:bidi="ar"/>
              </w:rPr>
              <w:t>篇名</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证候</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证类</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证型</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证素</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证候要素</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证候类型</w:t>
            </w:r>
            <w:r>
              <w:rPr>
                <w:rFonts w:ascii="Times New Roman" w:eastAsia="宋体" w:hAnsi="Times New Roman" w:cs="Times New Roman" w:hint="eastAsia"/>
                <w:color w:val="000000"/>
                <w:kern w:val="0"/>
                <w:sz w:val="18"/>
                <w:szCs w:val="18"/>
                <w:lang w:bidi="ar"/>
              </w:rPr>
              <w:t xml:space="preserve">)  and </w:t>
            </w:r>
            <w:r>
              <w:rPr>
                <w:rFonts w:ascii="Times New Roman" w:eastAsia="宋体" w:hAnsi="Times New Roman" w:cs="Times New Roman" w:hint="eastAsia"/>
                <w:color w:val="000000"/>
                <w:kern w:val="0"/>
                <w:sz w:val="18"/>
                <w:szCs w:val="18"/>
                <w:lang w:bidi="ar"/>
              </w:rPr>
              <w:t>篇名</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中医</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中药</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汤</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丸</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散</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膏</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丹</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耳穴</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针</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灸</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推拿</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按摩</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埋线</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拔罐</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刮痧</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外治</w:t>
            </w:r>
            <w:r>
              <w:rPr>
                <w:rFonts w:ascii="Times New Roman" w:eastAsia="宋体" w:hAnsi="Times New Roman" w:cs="Times New Roman" w:hint="eastAsia"/>
                <w:color w:val="000000"/>
                <w:kern w:val="0"/>
                <w:sz w:val="18"/>
                <w:szCs w:val="18"/>
                <w:lang w:bidi="ar"/>
              </w:rPr>
              <w:t xml:space="preserve">)  NOT </w:t>
            </w:r>
            <w:r>
              <w:rPr>
                <w:rFonts w:ascii="Times New Roman" w:eastAsia="宋体" w:hAnsi="Times New Roman" w:cs="Times New Roman" w:hint="eastAsia"/>
                <w:color w:val="000000"/>
                <w:kern w:val="0"/>
                <w:sz w:val="18"/>
                <w:szCs w:val="18"/>
                <w:lang w:bidi="ar"/>
              </w:rPr>
              <w:t>篇名</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感冒</w:t>
            </w:r>
            <w:r>
              <w:rPr>
                <w:rFonts w:ascii="Times New Roman" w:eastAsia="宋体" w:hAnsi="Times New Roman" w:cs="Times New Roman" w:hint="eastAsia"/>
                <w:color w:val="000000"/>
                <w:kern w:val="0"/>
                <w:sz w:val="18"/>
                <w:szCs w:val="18"/>
                <w:lang w:bidi="ar"/>
              </w:rPr>
              <w:t>)</w:t>
            </w:r>
          </w:p>
        </w:tc>
        <w:tc>
          <w:tcPr>
            <w:tcW w:w="1650" w:type="dxa"/>
            <w:vAlign w:val="center"/>
          </w:tcPr>
          <w:p w14:paraId="06806C6E"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起：</w:t>
            </w:r>
            <w:r>
              <w:rPr>
                <w:rFonts w:ascii="Times New Roman" w:eastAsia="宋体" w:hAnsi="Times New Roman" w:cs="Times New Roman" w:hint="eastAsia"/>
                <w:color w:val="000000"/>
                <w:kern w:val="0"/>
                <w:sz w:val="18"/>
                <w:szCs w:val="18"/>
                <w:lang w:bidi="ar"/>
              </w:rPr>
              <w:t>2014-01-01</w:t>
            </w:r>
          </w:p>
          <w:p w14:paraId="07CC776E"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止：</w:t>
            </w:r>
            <w:r>
              <w:rPr>
                <w:rFonts w:ascii="Times New Roman" w:eastAsia="宋体" w:hAnsi="Times New Roman" w:cs="Times New Roman" w:hint="eastAsia"/>
                <w:color w:val="000000"/>
                <w:kern w:val="0"/>
                <w:sz w:val="18"/>
                <w:szCs w:val="18"/>
                <w:lang w:bidi="ar"/>
              </w:rPr>
              <w:t>2024-06-30</w:t>
            </w:r>
          </w:p>
        </w:tc>
        <w:tc>
          <w:tcPr>
            <w:tcW w:w="1316" w:type="dxa"/>
            <w:vAlign w:val="center"/>
          </w:tcPr>
          <w:p w14:paraId="4A0E64AB"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64</w:t>
            </w:r>
          </w:p>
        </w:tc>
      </w:tr>
      <w:tr w:rsidR="00561395" w14:paraId="67E9166D" w14:textId="77777777">
        <w:trPr>
          <w:jc w:val="center"/>
        </w:trPr>
        <w:tc>
          <w:tcPr>
            <w:tcW w:w="1121" w:type="dxa"/>
            <w:vAlign w:val="center"/>
          </w:tcPr>
          <w:p w14:paraId="0E1CF53C"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CBM</w:t>
            </w:r>
          </w:p>
        </w:tc>
        <w:tc>
          <w:tcPr>
            <w:tcW w:w="4433" w:type="dxa"/>
            <w:vAlign w:val="center"/>
          </w:tcPr>
          <w:p w14:paraId="07F8B02E"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高级检索</w:t>
            </w:r>
          </w:p>
          <w:p w14:paraId="6A8B7CB8"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标题</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眩</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晕</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徇蒙招尤</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眴</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目瞑</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冒</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瞀</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风头旋</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头面风</w:t>
            </w:r>
            <w:r>
              <w:rPr>
                <w:rFonts w:ascii="Times New Roman" w:eastAsia="宋体" w:hAnsi="Times New Roman" w:cs="Times New Roman" w:hint="eastAsia"/>
                <w:color w:val="000000"/>
                <w:kern w:val="0"/>
                <w:sz w:val="18"/>
                <w:szCs w:val="18"/>
                <w:lang w:bidi="ar"/>
              </w:rPr>
              <w:t xml:space="preserve">) AND </w:t>
            </w:r>
            <w:r>
              <w:rPr>
                <w:rFonts w:ascii="Times New Roman" w:eastAsia="宋体" w:hAnsi="Times New Roman" w:cs="Times New Roman" w:hint="eastAsia"/>
                <w:color w:val="000000"/>
                <w:kern w:val="0"/>
                <w:sz w:val="18"/>
                <w:szCs w:val="18"/>
                <w:lang w:bidi="ar"/>
              </w:rPr>
              <w:t>标题</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证候</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证类</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证型</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证素</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证候要素</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证候类型</w:t>
            </w:r>
            <w:r>
              <w:rPr>
                <w:rFonts w:ascii="Times New Roman" w:eastAsia="宋体" w:hAnsi="Times New Roman" w:cs="Times New Roman" w:hint="eastAsia"/>
                <w:color w:val="000000"/>
                <w:kern w:val="0"/>
                <w:sz w:val="18"/>
                <w:szCs w:val="18"/>
                <w:lang w:bidi="ar"/>
              </w:rPr>
              <w:t xml:space="preserve">) AND </w:t>
            </w:r>
            <w:r>
              <w:rPr>
                <w:rFonts w:ascii="Times New Roman" w:eastAsia="宋体" w:hAnsi="Times New Roman" w:cs="Times New Roman" w:hint="eastAsia"/>
                <w:color w:val="000000"/>
                <w:kern w:val="0"/>
                <w:sz w:val="18"/>
                <w:szCs w:val="18"/>
                <w:lang w:bidi="ar"/>
              </w:rPr>
              <w:t>标题</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中医</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中药</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汤</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丸</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散</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膏</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丹</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耳穴</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针</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灸</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推拿</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按摩</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埋线</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拔罐</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刮痧</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外治</w:t>
            </w:r>
            <w:r>
              <w:rPr>
                <w:rFonts w:ascii="Times New Roman" w:eastAsia="宋体" w:hAnsi="Times New Roman" w:cs="Times New Roman" w:hint="eastAsia"/>
                <w:color w:val="000000"/>
                <w:kern w:val="0"/>
                <w:sz w:val="18"/>
                <w:szCs w:val="18"/>
                <w:lang w:bidi="ar"/>
              </w:rPr>
              <w:t xml:space="preserve">) NOT </w:t>
            </w:r>
            <w:r>
              <w:rPr>
                <w:rFonts w:ascii="Times New Roman" w:eastAsia="宋体" w:hAnsi="Times New Roman" w:cs="Times New Roman" w:hint="eastAsia"/>
                <w:color w:val="000000"/>
                <w:kern w:val="0"/>
                <w:sz w:val="18"/>
                <w:szCs w:val="18"/>
                <w:lang w:bidi="ar"/>
              </w:rPr>
              <w:t>标题</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感冒</w:t>
            </w:r>
            <w:r>
              <w:rPr>
                <w:rFonts w:ascii="Times New Roman" w:eastAsia="宋体" w:hAnsi="Times New Roman" w:cs="Times New Roman" w:hint="eastAsia"/>
                <w:color w:val="000000"/>
                <w:kern w:val="0"/>
                <w:sz w:val="18"/>
                <w:szCs w:val="18"/>
                <w:lang w:bidi="ar"/>
              </w:rPr>
              <w:t>)</w:t>
            </w:r>
          </w:p>
        </w:tc>
        <w:tc>
          <w:tcPr>
            <w:tcW w:w="1650" w:type="dxa"/>
            <w:vAlign w:val="center"/>
          </w:tcPr>
          <w:p w14:paraId="043C9EE6"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起：</w:t>
            </w:r>
            <w:r>
              <w:rPr>
                <w:rFonts w:ascii="Times New Roman" w:eastAsia="宋体" w:hAnsi="Times New Roman" w:cs="Times New Roman" w:hint="eastAsia"/>
                <w:color w:val="000000"/>
                <w:kern w:val="0"/>
                <w:sz w:val="18"/>
                <w:szCs w:val="18"/>
                <w:lang w:bidi="ar"/>
              </w:rPr>
              <w:t>2014</w:t>
            </w:r>
            <w:r>
              <w:rPr>
                <w:rFonts w:ascii="Times New Roman" w:eastAsia="宋体" w:hAnsi="Times New Roman" w:cs="Times New Roman" w:hint="eastAsia"/>
                <w:color w:val="000000"/>
                <w:kern w:val="0"/>
                <w:sz w:val="18"/>
                <w:szCs w:val="18"/>
                <w:lang w:bidi="ar"/>
              </w:rPr>
              <w:t>年</w:t>
            </w:r>
          </w:p>
          <w:p w14:paraId="24A8A14B"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止：</w:t>
            </w:r>
            <w:r>
              <w:rPr>
                <w:rFonts w:ascii="Times New Roman" w:eastAsia="宋体" w:hAnsi="Times New Roman" w:cs="Times New Roman" w:hint="eastAsia"/>
                <w:color w:val="000000"/>
                <w:kern w:val="0"/>
                <w:sz w:val="18"/>
                <w:szCs w:val="18"/>
                <w:lang w:bidi="ar"/>
              </w:rPr>
              <w:t>2024-06-30</w:t>
            </w:r>
          </w:p>
        </w:tc>
        <w:tc>
          <w:tcPr>
            <w:tcW w:w="1316" w:type="dxa"/>
            <w:vAlign w:val="center"/>
          </w:tcPr>
          <w:p w14:paraId="74407583"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68</w:t>
            </w:r>
          </w:p>
        </w:tc>
      </w:tr>
      <w:tr w:rsidR="00561395" w14:paraId="585E6A8B" w14:textId="77777777">
        <w:trPr>
          <w:jc w:val="center"/>
        </w:trPr>
        <w:tc>
          <w:tcPr>
            <w:tcW w:w="1121" w:type="dxa"/>
            <w:vAlign w:val="center"/>
          </w:tcPr>
          <w:p w14:paraId="740E4CE7"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Pubmed</w:t>
            </w:r>
          </w:p>
        </w:tc>
        <w:tc>
          <w:tcPr>
            <w:tcW w:w="4433" w:type="dxa"/>
            <w:vAlign w:val="center"/>
          </w:tcPr>
          <w:p w14:paraId="63A93D0A"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("Medicine, Chinese Traditional"[Majr]) AND "Vertigo"[Majr]</w:t>
            </w:r>
          </w:p>
        </w:tc>
        <w:tc>
          <w:tcPr>
            <w:tcW w:w="1650" w:type="dxa"/>
            <w:vAlign w:val="center"/>
          </w:tcPr>
          <w:p w14:paraId="6E97A40A"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起：</w:t>
            </w:r>
            <w:r>
              <w:rPr>
                <w:rFonts w:ascii="Times New Roman" w:eastAsia="宋体" w:hAnsi="Times New Roman" w:cs="Times New Roman" w:hint="eastAsia"/>
                <w:color w:val="000000"/>
                <w:kern w:val="0"/>
                <w:sz w:val="18"/>
                <w:szCs w:val="18"/>
                <w:lang w:bidi="ar"/>
              </w:rPr>
              <w:t>2014-01-01</w:t>
            </w:r>
          </w:p>
          <w:p w14:paraId="4A7CF3B1"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止：</w:t>
            </w:r>
            <w:r>
              <w:rPr>
                <w:rFonts w:ascii="Times New Roman" w:eastAsia="宋体" w:hAnsi="Times New Roman" w:cs="Times New Roman" w:hint="eastAsia"/>
                <w:color w:val="000000"/>
                <w:kern w:val="0"/>
                <w:sz w:val="18"/>
                <w:szCs w:val="18"/>
                <w:lang w:bidi="ar"/>
              </w:rPr>
              <w:t>2024-06-30</w:t>
            </w:r>
          </w:p>
        </w:tc>
        <w:tc>
          <w:tcPr>
            <w:tcW w:w="1316" w:type="dxa"/>
            <w:vAlign w:val="center"/>
          </w:tcPr>
          <w:p w14:paraId="369DA20C"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4</w:t>
            </w:r>
          </w:p>
        </w:tc>
      </w:tr>
      <w:tr w:rsidR="00561395" w14:paraId="61491096" w14:textId="77777777">
        <w:trPr>
          <w:jc w:val="center"/>
        </w:trPr>
        <w:tc>
          <w:tcPr>
            <w:tcW w:w="1121" w:type="dxa"/>
            <w:vAlign w:val="center"/>
          </w:tcPr>
          <w:p w14:paraId="392A3B93"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Web of Science</w:t>
            </w:r>
          </w:p>
        </w:tc>
        <w:tc>
          <w:tcPr>
            <w:tcW w:w="4433" w:type="dxa"/>
            <w:vAlign w:val="center"/>
          </w:tcPr>
          <w:p w14:paraId="243C5184"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(TI=(Vertigo)) AND TS=(Medicine, Chinese Traditional)</w:t>
            </w:r>
          </w:p>
        </w:tc>
        <w:tc>
          <w:tcPr>
            <w:tcW w:w="1650" w:type="dxa"/>
            <w:vAlign w:val="center"/>
          </w:tcPr>
          <w:p w14:paraId="391009FF"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起：</w:t>
            </w:r>
            <w:r>
              <w:rPr>
                <w:rFonts w:ascii="Times New Roman" w:eastAsia="宋体" w:hAnsi="Times New Roman" w:cs="Times New Roman" w:hint="eastAsia"/>
                <w:color w:val="000000"/>
                <w:kern w:val="0"/>
                <w:sz w:val="18"/>
                <w:szCs w:val="18"/>
                <w:lang w:bidi="ar"/>
              </w:rPr>
              <w:t>2014-01-01</w:t>
            </w:r>
          </w:p>
          <w:p w14:paraId="375C5BB2"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止：</w:t>
            </w:r>
            <w:r>
              <w:rPr>
                <w:rFonts w:ascii="Times New Roman" w:eastAsia="宋体" w:hAnsi="Times New Roman" w:cs="Times New Roman" w:hint="eastAsia"/>
                <w:color w:val="000000"/>
                <w:kern w:val="0"/>
                <w:sz w:val="18"/>
                <w:szCs w:val="18"/>
                <w:lang w:bidi="ar"/>
              </w:rPr>
              <w:t>2024-06-30</w:t>
            </w:r>
          </w:p>
        </w:tc>
        <w:tc>
          <w:tcPr>
            <w:tcW w:w="1316" w:type="dxa"/>
            <w:vAlign w:val="center"/>
          </w:tcPr>
          <w:p w14:paraId="6D369041"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31</w:t>
            </w:r>
          </w:p>
        </w:tc>
      </w:tr>
      <w:tr w:rsidR="00561395" w14:paraId="790D4121" w14:textId="77777777">
        <w:trPr>
          <w:jc w:val="center"/>
        </w:trPr>
        <w:tc>
          <w:tcPr>
            <w:tcW w:w="1121" w:type="dxa"/>
            <w:vAlign w:val="center"/>
          </w:tcPr>
          <w:p w14:paraId="4B0E37D0"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Embase</w:t>
            </w:r>
          </w:p>
        </w:tc>
        <w:tc>
          <w:tcPr>
            <w:tcW w:w="4433" w:type="dxa"/>
            <w:vAlign w:val="center"/>
          </w:tcPr>
          <w:p w14:paraId="7B8000EC"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'medicine, chinese traditional'/mj AND 'vertigo'/mj</w:t>
            </w:r>
          </w:p>
        </w:tc>
        <w:tc>
          <w:tcPr>
            <w:tcW w:w="1650" w:type="dxa"/>
            <w:vAlign w:val="center"/>
          </w:tcPr>
          <w:p w14:paraId="78B0602E"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起：</w:t>
            </w:r>
            <w:r>
              <w:rPr>
                <w:rFonts w:ascii="Times New Roman" w:eastAsia="宋体" w:hAnsi="Times New Roman" w:cs="Times New Roman" w:hint="eastAsia"/>
                <w:color w:val="000000"/>
                <w:kern w:val="0"/>
                <w:sz w:val="18"/>
                <w:szCs w:val="18"/>
                <w:lang w:bidi="ar"/>
              </w:rPr>
              <w:t>2014-01-01</w:t>
            </w:r>
          </w:p>
          <w:p w14:paraId="2166CE0F"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止：</w:t>
            </w:r>
            <w:r>
              <w:rPr>
                <w:rFonts w:ascii="Times New Roman" w:eastAsia="宋体" w:hAnsi="Times New Roman" w:cs="Times New Roman" w:hint="eastAsia"/>
                <w:color w:val="000000"/>
                <w:kern w:val="0"/>
                <w:sz w:val="18"/>
                <w:szCs w:val="18"/>
                <w:lang w:bidi="ar"/>
              </w:rPr>
              <w:t>2024-06-30</w:t>
            </w:r>
          </w:p>
        </w:tc>
        <w:tc>
          <w:tcPr>
            <w:tcW w:w="1316" w:type="dxa"/>
            <w:vAlign w:val="center"/>
          </w:tcPr>
          <w:p w14:paraId="7FFBC6F9"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13</w:t>
            </w:r>
          </w:p>
        </w:tc>
      </w:tr>
      <w:tr w:rsidR="00561395" w14:paraId="74B69FD5" w14:textId="77777777">
        <w:trPr>
          <w:jc w:val="center"/>
        </w:trPr>
        <w:tc>
          <w:tcPr>
            <w:tcW w:w="1121" w:type="dxa"/>
            <w:vAlign w:val="center"/>
          </w:tcPr>
          <w:p w14:paraId="0C8886CD"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Cochrance</w:t>
            </w:r>
          </w:p>
          <w:p w14:paraId="6CA82B08"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library</w:t>
            </w:r>
          </w:p>
        </w:tc>
        <w:tc>
          <w:tcPr>
            <w:tcW w:w="4433" w:type="dxa"/>
            <w:vAlign w:val="center"/>
          </w:tcPr>
          <w:p w14:paraId="0A87B377"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#1  MeSH descriptor: [Vertigo] explode all trees</w:t>
            </w:r>
          </w:p>
          <w:p w14:paraId="12FCA2E4"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 MeSH descriptor: [Medicine, Chinese Traditional] explode all trees</w:t>
            </w:r>
          </w:p>
          <w:p w14:paraId="0101C353"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#3  #1 AND #2</w:t>
            </w:r>
          </w:p>
        </w:tc>
        <w:tc>
          <w:tcPr>
            <w:tcW w:w="1650" w:type="dxa"/>
            <w:vAlign w:val="center"/>
          </w:tcPr>
          <w:p w14:paraId="3BAEE6FF"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起：</w:t>
            </w:r>
            <w:r>
              <w:rPr>
                <w:rFonts w:ascii="Times New Roman" w:eastAsia="宋体" w:hAnsi="Times New Roman" w:cs="Times New Roman" w:hint="eastAsia"/>
                <w:color w:val="000000"/>
                <w:kern w:val="0"/>
                <w:sz w:val="18"/>
                <w:szCs w:val="18"/>
                <w:lang w:bidi="ar"/>
              </w:rPr>
              <w:t>2014-01-01</w:t>
            </w:r>
          </w:p>
          <w:p w14:paraId="3FE0A60C"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止：</w:t>
            </w:r>
            <w:r>
              <w:rPr>
                <w:rFonts w:ascii="Times New Roman" w:eastAsia="宋体" w:hAnsi="Times New Roman" w:cs="Times New Roman" w:hint="eastAsia"/>
                <w:color w:val="000000"/>
                <w:kern w:val="0"/>
                <w:sz w:val="18"/>
                <w:szCs w:val="18"/>
                <w:lang w:bidi="ar"/>
              </w:rPr>
              <w:t>2024-06-30</w:t>
            </w:r>
          </w:p>
        </w:tc>
        <w:tc>
          <w:tcPr>
            <w:tcW w:w="1316" w:type="dxa"/>
            <w:vAlign w:val="center"/>
          </w:tcPr>
          <w:p w14:paraId="284EDE65"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w:t>
            </w:r>
          </w:p>
        </w:tc>
      </w:tr>
    </w:tbl>
    <w:p w14:paraId="1D1E91BC" w14:textId="77777777" w:rsidR="00561395" w:rsidRDefault="00000000">
      <w:pPr>
        <w:ind w:firstLine="641"/>
        <w:rPr>
          <w:rFonts w:ascii="仿宋_GB2312" w:eastAsia="仿宋_GB2312" w:hAnsi="仿宋" w:cs="仿宋_GB2312"/>
          <w:b/>
          <w:bCs/>
          <w:color w:val="000000"/>
          <w:kern w:val="0"/>
          <w:sz w:val="32"/>
          <w:szCs w:val="32"/>
        </w:rPr>
      </w:pPr>
      <w:r>
        <w:rPr>
          <w:rFonts w:ascii="仿宋_GB2312" w:eastAsia="仿宋_GB2312" w:hAnsi="仿宋" w:cs="仿宋_GB2312" w:hint="eastAsia"/>
          <w:b/>
          <w:bCs/>
          <w:color w:val="000000"/>
          <w:kern w:val="0"/>
          <w:sz w:val="32"/>
          <w:szCs w:val="32"/>
        </w:rPr>
        <w:t>②疗效评价检索策略</w:t>
      </w:r>
    </w:p>
    <w:p w14:paraId="38C9ADBE" w14:textId="77777777" w:rsidR="00561395" w:rsidRDefault="00000000">
      <w:pPr>
        <w:ind w:firstLine="641"/>
        <w:jc w:val="center"/>
        <w:rPr>
          <w:rFonts w:ascii="仿宋_GB2312" w:eastAsia="仿宋_GB2312" w:hAnsi="仿宋" w:cs="仿宋_GB2312"/>
          <w:b/>
          <w:bCs/>
          <w:color w:val="000000"/>
          <w:kern w:val="0"/>
          <w:sz w:val="32"/>
          <w:szCs w:val="32"/>
        </w:rPr>
      </w:pPr>
      <w:r>
        <w:rPr>
          <w:rStyle w:val="fontstyle01"/>
          <w:rFonts w:ascii="黑体" w:eastAsia="黑体" w:hAnsi="黑体" w:cs="Times New Roman" w:hint="default"/>
          <w:color w:val="auto"/>
          <w:sz w:val="24"/>
        </w:rPr>
        <w:t>表2  疗效评价文献检索策略及结果</w:t>
      </w:r>
    </w:p>
    <w:tbl>
      <w:tblPr>
        <w:tblStyle w:val="af"/>
        <w:tblW w:w="8520" w:type="dxa"/>
        <w:jc w:val="center"/>
        <w:tblLook w:val="04A0" w:firstRow="1" w:lastRow="0" w:firstColumn="1" w:lastColumn="0" w:noHBand="0" w:noVBand="1"/>
      </w:tblPr>
      <w:tblGrid>
        <w:gridCol w:w="1114"/>
        <w:gridCol w:w="4447"/>
        <w:gridCol w:w="1643"/>
        <w:gridCol w:w="1316"/>
      </w:tblGrid>
      <w:tr w:rsidR="00561395" w14:paraId="57ABAF24" w14:textId="77777777">
        <w:trPr>
          <w:jc w:val="center"/>
        </w:trPr>
        <w:tc>
          <w:tcPr>
            <w:tcW w:w="1114" w:type="dxa"/>
          </w:tcPr>
          <w:p w14:paraId="2C1B20B3" w14:textId="77777777" w:rsidR="00561395" w:rsidRDefault="00000000">
            <w:pPr>
              <w:widowControl/>
              <w:jc w:val="center"/>
              <w:textAlignment w:val="center"/>
              <w:rPr>
                <w:rFonts w:ascii="Times New Roman" w:eastAsia="宋体" w:hAnsi="Times New Roman" w:cs="Times New Roman"/>
                <w:b/>
                <w:bCs/>
                <w:color w:val="000000"/>
                <w:kern w:val="0"/>
                <w:sz w:val="18"/>
                <w:szCs w:val="18"/>
                <w:lang w:bidi="ar"/>
              </w:rPr>
            </w:pPr>
            <w:r>
              <w:rPr>
                <w:rFonts w:ascii="Times New Roman" w:eastAsia="宋体" w:hAnsi="Times New Roman" w:cs="Times New Roman" w:hint="eastAsia"/>
                <w:b/>
                <w:bCs/>
                <w:color w:val="000000"/>
                <w:kern w:val="0"/>
                <w:sz w:val="18"/>
                <w:szCs w:val="18"/>
                <w:lang w:bidi="ar"/>
              </w:rPr>
              <w:t>数据库</w:t>
            </w:r>
          </w:p>
        </w:tc>
        <w:tc>
          <w:tcPr>
            <w:tcW w:w="4447" w:type="dxa"/>
          </w:tcPr>
          <w:p w14:paraId="27C2423A" w14:textId="77777777" w:rsidR="00561395" w:rsidRDefault="00000000">
            <w:pPr>
              <w:widowControl/>
              <w:jc w:val="center"/>
              <w:textAlignment w:val="center"/>
              <w:rPr>
                <w:rFonts w:ascii="Times New Roman" w:eastAsia="宋体" w:hAnsi="Times New Roman" w:cs="Times New Roman"/>
                <w:b/>
                <w:bCs/>
                <w:color w:val="000000"/>
                <w:kern w:val="0"/>
                <w:sz w:val="18"/>
                <w:szCs w:val="18"/>
                <w:lang w:bidi="ar"/>
              </w:rPr>
            </w:pPr>
            <w:r>
              <w:rPr>
                <w:rFonts w:ascii="Times New Roman" w:eastAsia="宋体" w:hAnsi="Times New Roman" w:cs="Times New Roman" w:hint="eastAsia"/>
                <w:b/>
                <w:bCs/>
                <w:color w:val="000000"/>
                <w:kern w:val="0"/>
                <w:sz w:val="18"/>
                <w:szCs w:val="18"/>
                <w:lang w:bidi="ar"/>
              </w:rPr>
              <w:t>检索式</w:t>
            </w:r>
          </w:p>
        </w:tc>
        <w:tc>
          <w:tcPr>
            <w:tcW w:w="1643" w:type="dxa"/>
          </w:tcPr>
          <w:p w14:paraId="627384AF" w14:textId="77777777" w:rsidR="00561395" w:rsidRDefault="00000000">
            <w:pPr>
              <w:widowControl/>
              <w:jc w:val="center"/>
              <w:textAlignment w:val="center"/>
              <w:rPr>
                <w:rFonts w:ascii="Times New Roman" w:eastAsia="宋体" w:hAnsi="Times New Roman" w:cs="Times New Roman"/>
                <w:b/>
                <w:bCs/>
                <w:color w:val="000000"/>
                <w:kern w:val="0"/>
                <w:sz w:val="18"/>
                <w:szCs w:val="18"/>
                <w:lang w:bidi="ar"/>
              </w:rPr>
            </w:pPr>
            <w:r>
              <w:rPr>
                <w:rFonts w:ascii="Times New Roman" w:eastAsia="宋体" w:hAnsi="Times New Roman" w:cs="Times New Roman" w:hint="eastAsia"/>
                <w:b/>
                <w:bCs/>
                <w:color w:val="000000"/>
                <w:kern w:val="0"/>
                <w:sz w:val="18"/>
                <w:szCs w:val="18"/>
                <w:lang w:bidi="ar"/>
              </w:rPr>
              <w:t>时间范围</w:t>
            </w:r>
          </w:p>
        </w:tc>
        <w:tc>
          <w:tcPr>
            <w:tcW w:w="1316" w:type="dxa"/>
          </w:tcPr>
          <w:p w14:paraId="04B610B5" w14:textId="77777777" w:rsidR="00561395" w:rsidRDefault="00000000">
            <w:pPr>
              <w:widowControl/>
              <w:jc w:val="center"/>
              <w:textAlignment w:val="center"/>
              <w:rPr>
                <w:rFonts w:ascii="Times New Roman" w:eastAsia="宋体" w:hAnsi="Times New Roman" w:cs="Times New Roman"/>
                <w:b/>
                <w:bCs/>
                <w:color w:val="000000"/>
                <w:kern w:val="0"/>
                <w:sz w:val="18"/>
                <w:szCs w:val="18"/>
                <w:lang w:bidi="ar"/>
              </w:rPr>
            </w:pPr>
            <w:r>
              <w:rPr>
                <w:rFonts w:ascii="Times New Roman" w:eastAsia="宋体" w:hAnsi="Times New Roman" w:cs="Times New Roman" w:hint="eastAsia"/>
                <w:b/>
                <w:bCs/>
                <w:color w:val="000000"/>
                <w:kern w:val="0"/>
                <w:sz w:val="18"/>
                <w:szCs w:val="18"/>
                <w:lang w:bidi="ar"/>
              </w:rPr>
              <w:t>检索结果</w:t>
            </w:r>
          </w:p>
        </w:tc>
      </w:tr>
      <w:tr w:rsidR="00561395" w14:paraId="0E2FE0C0" w14:textId="77777777">
        <w:trPr>
          <w:jc w:val="center"/>
        </w:trPr>
        <w:tc>
          <w:tcPr>
            <w:tcW w:w="1114" w:type="dxa"/>
            <w:vAlign w:val="center"/>
          </w:tcPr>
          <w:p w14:paraId="706AEB8A"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知网</w:t>
            </w:r>
          </w:p>
        </w:tc>
        <w:tc>
          <w:tcPr>
            <w:tcW w:w="4447" w:type="dxa"/>
            <w:vAlign w:val="center"/>
          </w:tcPr>
          <w:p w14:paraId="50DB09D0"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高级检索</w:t>
            </w:r>
          </w:p>
          <w:p w14:paraId="7E1453FD"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（篇关摘：眩</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晕</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徇蒙招尤</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眴</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目瞑</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冒</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瞀</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风头旋</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头面风）</w:t>
            </w:r>
            <w:r>
              <w:rPr>
                <w:rFonts w:ascii="Times New Roman" w:eastAsia="宋体" w:hAnsi="Times New Roman" w:cs="Times New Roman" w:hint="eastAsia"/>
                <w:color w:val="000000"/>
                <w:kern w:val="0"/>
                <w:sz w:val="18"/>
                <w:szCs w:val="18"/>
                <w:lang w:bidi="ar"/>
              </w:rPr>
              <w:t>AND</w:t>
            </w:r>
            <w:r>
              <w:rPr>
                <w:rFonts w:ascii="Times New Roman" w:eastAsia="宋体" w:hAnsi="Times New Roman" w:cs="Times New Roman" w:hint="eastAsia"/>
                <w:color w:val="000000"/>
                <w:kern w:val="0"/>
                <w:sz w:val="18"/>
                <w:szCs w:val="18"/>
                <w:lang w:bidi="ar"/>
              </w:rPr>
              <w:t>（篇关摘：评价</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积分</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评分</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量表</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指标）</w:t>
            </w:r>
            <w:r>
              <w:rPr>
                <w:rFonts w:ascii="Times New Roman" w:eastAsia="宋体" w:hAnsi="Times New Roman" w:cs="Times New Roman" w:hint="eastAsia"/>
                <w:color w:val="000000"/>
                <w:kern w:val="0"/>
                <w:sz w:val="18"/>
                <w:szCs w:val="18"/>
                <w:lang w:bidi="ar"/>
              </w:rPr>
              <w:t>AND</w:t>
            </w:r>
            <w:r>
              <w:rPr>
                <w:rFonts w:ascii="Times New Roman" w:eastAsia="宋体" w:hAnsi="Times New Roman" w:cs="Times New Roman" w:hint="eastAsia"/>
                <w:color w:val="000000"/>
                <w:kern w:val="0"/>
                <w:sz w:val="18"/>
                <w:szCs w:val="18"/>
                <w:lang w:bidi="ar"/>
              </w:rPr>
              <w:t>（篇关摘：中医</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中药</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汤</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丸</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散</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膏</w:t>
            </w:r>
            <w:r>
              <w:rPr>
                <w:rFonts w:ascii="Times New Roman" w:eastAsia="宋体" w:hAnsi="Times New Roman" w:cs="Times New Roman" w:hint="eastAsia"/>
                <w:color w:val="000000"/>
                <w:kern w:val="0"/>
                <w:sz w:val="18"/>
                <w:szCs w:val="18"/>
                <w:lang w:bidi="ar"/>
              </w:rPr>
              <w:t xml:space="preserve"> +</w:t>
            </w:r>
            <w:r>
              <w:rPr>
                <w:rFonts w:ascii="Times New Roman" w:eastAsia="宋体" w:hAnsi="Times New Roman" w:cs="Times New Roman" w:hint="eastAsia"/>
                <w:color w:val="000000"/>
                <w:kern w:val="0"/>
                <w:sz w:val="18"/>
                <w:szCs w:val="18"/>
                <w:lang w:bidi="ar"/>
              </w:rPr>
              <w:t>丹</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耳穴</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针</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灸</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推拿</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按摩</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埋线</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拔罐</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刮痧</w:t>
            </w:r>
            <w:r>
              <w:rPr>
                <w:rFonts w:ascii="Times New Roman" w:eastAsia="宋体" w:hAnsi="Times New Roman" w:cs="Times New Roman" w:hint="eastAsia"/>
                <w:color w:val="000000"/>
                <w:kern w:val="0"/>
                <w:sz w:val="18"/>
                <w:szCs w:val="18"/>
                <w:lang w:bidi="ar"/>
              </w:rPr>
              <w:t xml:space="preserve"> + </w:t>
            </w:r>
            <w:r>
              <w:rPr>
                <w:rFonts w:ascii="Times New Roman" w:eastAsia="宋体" w:hAnsi="Times New Roman" w:cs="Times New Roman" w:hint="eastAsia"/>
                <w:color w:val="000000"/>
                <w:kern w:val="0"/>
                <w:sz w:val="18"/>
                <w:szCs w:val="18"/>
                <w:lang w:bidi="ar"/>
              </w:rPr>
              <w:t>外治）</w:t>
            </w:r>
            <w:r>
              <w:rPr>
                <w:rFonts w:ascii="Times New Roman" w:eastAsia="宋体" w:hAnsi="Times New Roman" w:cs="Times New Roman" w:hint="eastAsia"/>
                <w:color w:val="000000"/>
                <w:kern w:val="0"/>
                <w:sz w:val="18"/>
                <w:szCs w:val="18"/>
                <w:lang w:bidi="ar"/>
              </w:rPr>
              <w:t>NOT</w:t>
            </w:r>
            <w:r>
              <w:rPr>
                <w:rFonts w:ascii="Times New Roman" w:eastAsia="宋体" w:hAnsi="Times New Roman" w:cs="Times New Roman" w:hint="eastAsia"/>
                <w:color w:val="000000"/>
                <w:kern w:val="0"/>
                <w:sz w:val="18"/>
                <w:szCs w:val="18"/>
                <w:lang w:bidi="ar"/>
              </w:rPr>
              <w:t>（篇关摘：感冒）</w:t>
            </w:r>
          </w:p>
        </w:tc>
        <w:tc>
          <w:tcPr>
            <w:tcW w:w="1643" w:type="dxa"/>
            <w:vAlign w:val="center"/>
          </w:tcPr>
          <w:p w14:paraId="6CE71289"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起：</w:t>
            </w:r>
            <w:r>
              <w:rPr>
                <w:rFonts w:ascii="Times New Roman" w:eastAsia="宋体" w:hAnsi="Times New Roman" w:cs="Times New Roman" w:hint="eastAsia"/>
                <w:color w:val="000000"/>
                <w:kern w:val="0"/>
                <w:sz w:val="18"/>
                <w:szCs w:val="18"/>
                <w:lang w:bidi="ar"/>
              </w:rPr>
              <w:t>2014-01-01</w:t>
            </w:r>
          </w:p>
          <w:p w14:paraId="77BEF4E6"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止：</w:t>
            </w:r>
            <w:r>
              <w:rPr>
                <w:rFonts w:ascii="Times New Roman" w:eastAsia="宋体" w:hAnsi="Times New Roman" w:cs="Times New Roman" w:hint="eastAsia"/>
                <w:color w:val="000000"/>
                <w:kern w:val="0"/>
                <w:sz w:val="18"/>
                <w:szCs w:val="18"/>
                <w:lang w:bidi="ar"/>
              </w:rPr>
              <w:t>2024-06-30</w:t>
            </w:r>
          </w:p>
        </w:tc>
        <w:tc>
          <w:tcPr>
            <w:tcW w:w="1316" w:type="dxa"/>
            <w:vAlign w:val="center"/>
          </w:tcPr>
          <w:p w14:paraId="73C60161"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422</w:t>
            </w:r>
          </w:p>
        </w:tc>
      </w:tr>
      <w:tr w:rsidR="00561395" w14:paraId="4FE85DAC" w14:textId="77777777">
        <w:trPr>
          <w:jc w:val="center"/>
        </w:trPr>
        <w:tc>
          <w:tcPr>
            <w:tcW w:w="1114" w:type="dxa"/>
            <w:vAlign w:val="center"/>
          </w:tcPr>
          <w:p w14:paraId="5DCDD8A0"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lastRenderedPageBreak/>
              <w:t>万方</w:t>
            </w:r>
          </w:p>
        </w:tc>
        <w:tc>
          <w:tcPr>
            <w:tcW w:w="4447" w:type="dxa"/>
            <w:vAlign w:val="center"/>
          </w:tcPr>
          <w:p w14:paraId="3CFC58C7"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专业检索</w:t>
            </w:r>
          </w:p>
          <w:p w14:paraId="37E69E4A"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题名或关键词</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眩</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晕</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徇蒙招尤</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眴</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目瞑</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冒</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瞀</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风头旋</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头面风</w:t>
            </w:r>
            <w:r>
              <w:rPr>
                <w:rFonts w:ascii="Times New Roman" w:eastAsia="宋体" w:hAnsi="Times New Roman" w:cs="Times New Roman" w:hint="eastAsia"/>
                <w:color w:val="000000"/>
                <w:kern w:val="0"/>
                <w:sz w:val="18"/>
                <w:szCs w:val="18"/>
                <w:lang w:bidi="ar"/>
              </w:rPr>
              <w:t xml:space="preserve">) and </w:t>
            </w:r>
            <w:r>
              <w:rPr>
                <w:rFonts w:ascii="Times New Roman" w:eastAsia="宋体" w:hAnsi="Times New Roman" w:cs="Times New Roman" w:hint="eastAsia"/>
                <w:color w:val="000000"/>
                <w:kern w:val="0"/>
                <w:sz w:val="18"/>
                <w:szCs w:val="18"/>
                <w:lang w:bidi="ar"/>
              </w:rPr>
              <w:t>题名或关键词</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评价</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积分</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评分</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量表</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指标</w:t>
            </w:r>
            <w:r>
              <w:rPr>
                <w:rFonts w:ascii="Times New Roman" w:eastAsia="宋体" w:hAnsi="Times New Roman" w:cs="Times New Roman" w:hint="eastAsia"/>
                <w:color w:val="000000"/>
                <w:kern w:val="0"/>
                <w:sz w:val="18"/>
                <w:szCs w:val="18"/>
                <w:lang w:bidi="ar"/>
              </w:rPr>
              <w:t xml:space="preserve">) and </w:t>
            </w:r>
            <w:r>
              <w:rPr>
                <w:rFonts w:ascii="Times New Roman" w:eastAsia="宋体" w:hAnsi="Times New Roman" w:cs="Times New Roman" w:hint="eastAsia"/>
                <w:color w:val="000000"/>
                <w:kern w:val="0"/>
                <w:sz w:val="18"/>
                <w:szCs w:val="18"/>
                <w:lang w:bidi="ar"/>
              </w:rPr>
              <w:t>题名或关键词</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中医</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中药</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汤</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丸</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散</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膏</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丹</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耳穴</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针</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灸</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推拿</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按摩</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埋线</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拔罐</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刮痧</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外治</w:t>
            </w:r>
            <w:r>
              <w:rPr>
                <w:rFonts w:ascii="Times New Roman" w:eastAsia="宋体" w:hAnsi="Times New Roman" w:cs="Times New Roman" w:hint="eastAsia"/>
                <w:color w:val="000000"/>
                <w:kern w:val="0"/>
                <w:sz w:val="18"/>
                <w:szCs w:val="18"/>
                <w:lang w:bidi="ar"/>
              </w:rPr>
              <w:t xml:space="preserve">) not </w:t>
            </w:r>
            <w:r>
              <w:rPr>
                <w:rFonts w:ascii="Times New Roman" w:eastAsia="宋体" w:hAnsi="Times New Roman" w:cs="Times New Roman" w:hint="eastAsia"/>
                <w:color w:val="000000"/>
                <w:kern w:val="0"/>
                <w:sz w:val="18"/>
                <w:szCs w:val="18"/>
                <w:lang w:bidi="ar"/>
              </w:rPr>
              <w:t>题名或关键词</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感冒</w:t>
            </w:r>
            <w:r>
              <w:rPr>
                <w:rFonts w:ascii="Times New Roman" w:eastAsia="宋体" w:hAnsi="Times New Roman" w:cs="Times New Roman" w:hint="eastAsia"/>
                <w:color w:val="000000"/>
                <w:kern w:val="0"/>
                <w:sz w:val="18"/>
                <w:szCs w:val="18"/>
                <w:lang w:bidi="ar"/>
              </w:rPr>
              <w:t>)</w:t>
            </w:r>
          </w:p>
        </w:tc>
        <w:tc>
          <w:tcPr>
            <w:tcW w:w="1643" w:type="dxa"/>
            <w:vAlign w:val="center"/>
          </w:tcPr>
          <w:p w14:paraId="2553481D"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起：</w:t>
            </w:r>
            <w:r>
              <w:rPr>
                <w:rFonts w:ascii="Times New Roman" w:eastAsia="宋体" w:hAnsi="Times New Roman" w:cs="Times New Roman" w:hint="eastAsia"/>
                <w:color w:val="000000"/>
                <w:kern w:val="0"/>
                <w:sz w:val="18"/>
                <w:szCs w:val="18"/>
                <w:lang w:bidi="ar"/>
              </w:rPr>
              <w:t>2014</w:t>
            </w:r>
            <w:r>
              <w:rPr>
                <w:rFonts w:ascii="Times New Roman" w:eastAsia="宋体" w:hAnsi="Times New Roman" w:cs="Times New Roman" w:hint="eastAsia"/>
                <w:color w:val="000000"/>
                <w:kern w:val="0"/>
                <w:sz w:val="18"/>
                <w:szCs w:val="18"/>
                <w:lang w:bidi="ar"/>
              </w:rPr>
              <w:t>年</w:t>
            </w:r>
          </w:p>
          <w:p w14:paraId="0702421A"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止：</w:t>
            </w:r>
            <w:r>
              <w:rPr>
                <w:rFonts w:ascii="Times New Roman" w:eastAsia="宋体" w:hAnsi="Times New Roman" w:cs="Times New Roman" w:hint="eastAsia"/>
                <w:color w:val="000000"/>
                <w:kern w:val="0"/>
                <w:sz w:val="18"/>
                <w:szCs w:val="18"/>
                <w:lang w:bidi="ar"/>
              </w:rPr>
              <w:t>2024-06-30</w:t>
            </w:r>
          </w:p>
        </w:tc>
        <w:tc>
          <w:tcPr>
            <w:tcW w:w="1316" w:type="dxa"/>
            <w:vAlign w:val="center"/>
          </w:tcPr>
          <w:p w14:paraId="7CAE9072"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449</w:t>
            </w:r>
          </w:p>
        </w:tc>
      </w:tr>
      <w:tr w:rsidR="00561395" w14:paraId="22F64B8C" w14:textId="77777777">
        <w:trPr>
          <w:jc w:val="center"/>
        </w:trPr>
        <w:tc>
          <w:tcPr>
            <w:tcW w:w="1114" w:type="dxa"/>
            <w:vAlign w:val="center"/>
          </w:tcPr>
          <w:p w14:paraId="205E7DDB"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维普</w:t>
            </w:r>
          </w:p>
        </w:tc>
        <w:tc>
          <w:tcPr>
            <w:tcW w:w="4447" w:type="dxa"/>
            <w:vAlign w:val="center"/>
          </w:tcPr>
          <w:p w14:paraId="640F0363"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高级检索</w:t>
            </w:r>
          </w:p>
          <w:p w14:paraId="2F01DC16"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篇名</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眩</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晕</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徇蒙招尤</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眴</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目瞑</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冒</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瞀</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风头旋</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头面风</w:t>
            </w:r>
            <w:r>
              <w:rPr>
                <w:rFonts w:ascii="Times New Roman" w:eastAsia="宋体" w:hAnsi="Times New Roman" w:cs="Times New Roman" w:hint="eastAsia"/>
                <w:color w:val="000000"/>
                <w:kern w:val="0"/>
                <w:sz w:val="18"/>
                <w:szCs w:val="18"/>
                <w:lang w:bidi="ar"/>
              </w:rPr>
              <w:t xml:space="preserve">) AND </w:t>
            </w:r>
            <w:r>
              <w:rPr>
                <w:rFonts w:ascii="Times New Roman" w:eastAsia="宋体" w:hAnsi="Times New Roman" w:cs="Times New Roman" w:hint="eastAsia"/>
                <w:color w:val="000000"/>
                <w:kern w:val="0"/>
                <w:sz w:val="18"/>
                <w:szCs w:val="18"/>
                <w:lang w:bidi="ar"/>
              </w:rPr>
              <w:t>篇名</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评价</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积分</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评分</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量表</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指标</w:t>
            </w:r>
            <w:r>
              <w:rPr>
                <w:rFonts w:ascii="Times New Roman" w:eastAsia="宋体" w:hAnsi="Times New Roman" w:cs="Times New Roman" w:hint="eastAsia"/>
                <w:color w:val="000000"/>
                <w:kern w:val="0"/>
                <w:sz w:val="18"/>
                <w:szCs w:val="18"/>
                <w:lang w:bidi="ar"/>
              </w:rPr>
              <w:t xml:space="preserve">) AND </w:t>
            </w:r>
            <w:r>
              <w:rPr>
                <w:rFonts w:ascii="Times New Roman" w:eastAsia="宋体" w:hAnsi="Times New Roman" w:cs="Times New Roman" w:hint="eastAsia"/>
                <w:color w:val="000000"/>
                <w:kern w:val="0"/>
                <w:sz w:val="18"/>
                <w:szCs w:val="18"/>
                <w:lang w:bidi="ar"/>
              </w:rPr>
              <w:t>篇名</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中医</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中药</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汤</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丸</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散</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膏</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丹</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耳穴</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针</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灸</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推拿</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按摩</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埋线</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拔罐</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刮痧</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外治</w:t>
            </w:r>
            <w:r>
              <w:rPr>
                <w:rFonts w:ascii="Times New Roman" w:eastAsia="宋体" w:hAnsi="Times New Roman" w:cs="Times New Roman" w:hint="eastAsia"/>
                <w:color w:val="000000"/>
                <w:kern w:val="0"/>
                <w:sz w:val="18"/>
                <w:szCs w:val="18"/>
                <w:lang w:bidi="ar"/>
              </w:rPr>
              <w:t xml:space="preserve">) NOT </w:t>
            </w:r>
            <w:r>
              <w:rPr>
                <w:rFonts w:ascii="Times New Roman" w:eastAsia="宋体" w:hAnsi="Times New Roman" w:cs="Times New Roman" w:hint="eastAsia"/>
                <w:color w:val="000000"/>
                <w:kern w:val="0"/>
                <w:sz w:val="18"/>
                <w:szCs w:val="18"/>
                <w:lang w:bidi="ar"/>
              </w:rPr>
              <w:t>篇名</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感冒</w:t>
            </w:r>
            <w:r>
              <w:rPr>
                <w:rFonts w:ascii="Times New Roman" w:eastAsia="宋体" w:hAnsi="Times New Roman" w:cs="Times New Roman" w:hint="eastAsia"/>
                <w:color w:val="000000"/>
                <w:kern w:val="0"/>
                <w:sz w:val="18"/>
                <w:szCs w:val="18"/>
                <w:lang w:bidi="ar"/>
              </w:rPr>
              <w:t>)</w:t>
            </w:r>
          </w:p>
        </w:tc>
        <w:tc>
          <w:tcPr>
            <w:tcW w:w="1643" w:type="dxa"/>
            <w:vAlign w:val="center"/>
          </w:tcPr>
          <w:p w14:paraId="7564F9C7"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起：</w:t>
            </w:r>
            <w:r>
              <w:rPr>
                <w:rFonts w:ascii="Times New Roman" w:eastAsia="宋体" w:hAnsi="Times New Roman" w:cs="Times New Roman" w:hint="eastAsia"/>
                <w:color w:val="000000"/>
                <w:kern w:val="0"/>
                <w:sz w:val="18"/>
                <w:szCs w:val="18"/>
                <w:lang w:bidi="ar"/>
              </w:rPr>
              <w:t>2014-01-01</w:t>
            </w:r>
          </w:p>
          <w:p w14:paraId="3DCF3391"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止：</w:t>
            </w:r>
            <w:r>
              <w:rPr>
                <w:rFonts w:ascii="Times New Roman" w:eastAsia="宋体" w:hAnsi="Times New Roman" w:cs="Times New Roman" w:hint="eastAsia"/>
                <w:color w:val="000000"/>
                <w:kern w:val="0"/>
                <w:sz w:val="18"/>
                <w:szCs w:val="18"/>
                <w:lang w:bidi="ar"/>
              </w:rPr>
              <w:t>2024-06-30</w:t>
            </w:r>
          </w:p>
        </w:tc>
        <w:tc>
          <w:tcPr>
            <w:tcW w:w="1316" w:type="dxa"/>
            <w:vAlign w:val="center"/>
          </w:tcPr>
          <w:p w14:paraId="50FA0749"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165</w:t>
            </w:r>
          </w:p>
        </w:tc>
      </w:tr>
      <w:tr w:rsidR="00561395" w14:paraId="3D77152D" w14:textId="77777777">
        <w:trPr>
          <w:jc w:val="center"/>
        </w:trPr>
        <w:tc>
          <w:tcPr>
            <w:tcW w:w="1114" w:type="dxa"/>
            <w:vAlign w:val="center"/>
          </w:tcPr>
          <w:p w14:paraId="5DBCED09"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CBM</w:t>
            </w:r>
          </w:p>
        </w:tc>
        <w:tc>
          <w:tcPr>
            <w:tcW w:w="4447" w:type="dxa"/>
            <w:vAlign w:val="center"/>
          </w:tcPr>
          <w:p w14:paraId="33DE4E6F"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高级检索</w:t>
            </w:r>
          </w:p>
          <w:p w14:paraId="7273BBD5"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标题</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眩</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晕</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徇蒙招尤</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眴</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目瞑</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冒</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瞀</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风头旋</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头面风</w:t>
            </w:r>
            <w:r>
              <w:rPr>
                <w:rFonts w:ascii="Times New Roman" w:eastAsia="宋体" w:hAnsi="Times New Roman" w:cs="Times New Roman" w:hint="eastAsia"/>
                <w:color w:val="000000"/>
                <w:kern w:val="0"/>
                <w:sz w:val="18"/>
                <w:szCs w:val="18"/>
                <w:lang w:bidi="ar"/>
              </w:rPr>
              <w:t xml:space="preserve">) AND </w:t>
            </w:r>
            <w:r>
              <w:rPr>
                <w:rFonts w:ascii="Times New Roman" w:eastAsia="宋体" w:hAnsi="Times New Roman" w:cs="Times New Roman" w:hint="eastAsia"/>
                <w:color w:val="000000"/>
                <w:kern w:val="0"/>
                <w:sz w:val="18"/>
                <w:szCs w:val="18"/>
                <w:lang w:bidi="ar"/>
              </w:rPr>
              <w:t>标题</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评价</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积分</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评分</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量表</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指标</w:t>
            </w:r>
            <w:r>
              <w:rPr>
                <w:rFonts w:ascii="Times New Roman" w:eastAsia="宋体" w:hAnsi="Times New Roman" w:cs="Times New Roman" w:hint="eastAsia"/>
                <w:color w:val="000000"/>
                <w:kern w:val="0"/>
                <w:sz w:val="18"/>
                <w:szCs w:val="18"/>
                <w:lang w:bidi="ar"/>
              </w:rPr>
              <w:t xml:space="preserve">) AND </w:t>
            </w:r>
            <w:r>
              <w:rPr>
                <w:rFonts w:ascii="Times New Roman" w:eastAsia="宋体" w:hAnsi="Times New Roman" w:cs="Times New Roman" w:hint="eastAsia"/>
                <w:color w:val="000000"/>
                <w:kern w:val="0"/>
                <w:sz w:val="18"/>
                <w:szCs w:val="18"/>
                <w:lang w:bidi="ar"/>
              </w:rPr>
              <w:t>标题</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中医</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中药</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汤</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丸</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散</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膏</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丹</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耳穴</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针</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灸</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推拿</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按摩</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埋线</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拔罐</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刮痧</w:t>
            </w:r>
            <w:r>
              <w:rPr>
                <w:rFonts w:ascii="Times New Roman" w:eastAsia="宋体" w:hAnsi="Times New Roman" w:cs="Times New Roman" w:hint="eastAsia"/>
                <w:color w:val="000000"/>
                <w:kern w:val="0"/>
                <w:sz w:val="18"/>
                <w:szCs w:val="18"/>
                <w:lang w:bidi="ar"/>
              </w:rPr>
              <w:t xml:space="preserve"> OR </w:t>
            </w:r>
            <w:r>
              <w:rPr>
                <w:rFonts w:ascii="Times New Roman" w:eastAsia="宋体" w:hAnsi="Times New Roman" w:cs="Times New Roman" w:hint="eastAsia"/>
                <w:color w:val="000000"/>
                <w:kern w:val="0"/>
                <w:sz w:val="18"/>
                <w:szCs w:val="18"/>
                <w:lang w:bidi="ar"/>
              </w:rPr>
              <w:t>外治</w:t>
            </w:r>
            <w:r>
              <w:rPr>
                <w:rFonts w:ascii="Times New Roman" w:eastAsia="宋体" w:hAnsi="Times New Roman" w:cs="Times New Roman" w:hint="eastAsia"/>
                <w:color w:val="000000"/>
                <w:kern w:val="0"/>
                <w:sz w:val="18"/>
                <w:szCs w:val="18"/>
                <w:lang w:bidi="ar"/>
              </w:rPr>
              <w:t xml:space="preserve">) NOT </w:t>
            </w:r>
            <w:r>
              <w:rPr>
                <w:rFonts w:ascii="Times New Roman" w:eastAsia="宋体" w:hAnsi="Times New Roman" w:cs="Times New Roman" w:hint="eastAsia"/>
                <w:color w:val="000000"/>
                <w:kern w:val="0"/>
                <w:sz w:val="18"/>
                <w:szCs w:val="18"/>
                <w:lang w:bidi="ar"/>
              </w:rPr>
              <w:t>标题</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hint="eastAsia"/>
                <w:color w:val="000000"/>
                <w:kern w:val="0"/>
                <w:sz w:val="18"/>
                <w:szCs w:val="18"/>
                <w:lang w:bidi="ar"/>
              </w:rPr>
              <w:t>感冒</w:t>
            </w:r>
            <w:r>
              <w:rPr>
                <w:rFonts w:ascii="Times New Roman" w:eastAsia="宋体" w:hAnsi="Times New Roman" w:cs="Times New Roman" w:hint="eastAsia"/>
                <w:color w:val="000000"/>
                <w:kern w:val="0"/>
                <w:sz w:val="18"/>
                <w:szCs w:val="18"/>
                <w:lang w:bidi="ar"/>
              </w:rPr>
              <w:t>)</w:t>
            </w:r>
          </w:p>
        </w:tc>
        <w:tc>
          <w:tcPr>
            <w:tcW w:w="1643" w:type="dxa"/>
            <w:vAlign w:val="center"/>
          </w:tcPr>
          <w:p w14:paraId="5CF9CD78"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起：</w:t>
            </w:r>
            <w:r>
              <w:rPr>
                <w:rFonts w:ascii="Times New Roman" w:eastAsia="宋体" w:hAnsi="Times New Roman" w:cs="Times New Roman" w:hint="eastAsia"/>
                <w:color w:val="000000"/>
                <w:kern w:val="0"/>
                <w:sz w:val="18"/>
                <w:szCs w:val="18"/>
                <w:lang w:bidi="ar"/>
              </w:rPr>
              <w:t>2014</w:t>
            </w:r>
            <w:r>
              <w:rPr>
                <w:rFonts w:ascii="Times New Roman" w:eastAsia="宋体" w:hAnsi="Times New Roman" w:cs="Times New Roman" w:hint="eastAsia"/>
                <w:color w:val="000000"/>
                <w:kern w:val="0"/>
                <w:sz w:val="18"/>
                <w:szCs w:val="18"/>
                <w:lang w:bidi="ar"/>
              </w:rPr>
              <w:t>年</w:t>
            </w:r>
          </w:p>
          <w:p w14:paraId="764C4E6E"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止：</w:t>
            </w:r>
            <w:r>
              <w:rPr>
                <w:rFonts w:ascii="Times New Roman" w:eastAsia="宋体" w:hAnsi="Times New Roman" w:cs="Times New Roman" w:hint="eastAsia"/>
                <w:color w:val="000000"/>
                <w:kern w:val="0"/>
                <w:sz w:val="18"/>
                <w:szCs w:val="18"/>
                <w:lang w:bidi="ar"/>
              </w:rPr>
              <w:t>2024-06-30</w:t>
            </w:r>
          </w:p>
        </w:tc>
        <w:tc>
          <w:tcPr>
            <w:tcW w:w="1316" w:type="dxa"/>
            <w:vAlign w:val="center"/>
          </w:tcPr>
          <w:p w14:paraId="6869C9FE"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165</w:t>
            </w:r>
          </w:p>
        </w:tc>
      </w:tr>
      <w:tr w:rsidR="00561395" w14:paraId="61F9207C" w14:textId="77777777">
        <w:trPr>
          <w:jc w:val="center"/>
        </w:trPr>
        <w:tc>
          <w:tcPr>
            <w:tcW w:w="1114" w:type="dxa"/>
            <w:vAlign w:val="center"/>
          </w:tcPr>
          <w:p w14:paraId="1C743B83"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Pubmed</w:t>
            </w:r>
          </w:p>
        </w:tc>
        <w:tc>
          <w:tcPr>
            <w:tcW w:w="4447" w:type="dxa"/>
            <w:vAlign w:val="center"/>
          </w:tcPr>
          <w:p w14:paraId="321BD41A"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("Medicine, Chinese Traditional"[Majr]) AND "Vertigo"[Majr]</w:t>
            </w:r>
          </w:p>
        </w:tc>
        <w:tc>
          <w:tcPr>
            <w:tcW w:w="1643" w:type="dxa"/>
            <w:vAlign w:val="center"/>
          </w:tcPr>
          <w:p w14:paraId="70A4B62B"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起：</w:t>
            </w:r>
            <w:r>
              <w:rPr>
                <w:rFonts w:ascii="Times New Roman" w:eastAsia="宋体" w:hAnsi="Times New Roman" w:cs="Times New Roman" w:hint="eastAsia"/>
                <w:color w:val="000000"/>
                <w:kern w:val="0"/>
                <w:sz w:val="18"/>
                <w:szCs w:val="18"/>
                <w:lang w:bidi="ar"/>
              </w:rPr>
              <w:t>2014-01-01</w:t>
            </w:r>
          </w:p>
          <w:p w14:paraId="79ED8FD2"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止：</w:t>
            </w:r>
            <w:r>
              <w:rPr>
                <w:rFonts w:ascii="Times New Roman" w:eastAsia="宋体" w:hAnsi="Times New Roman" w:cs="Times New Roman" w:hint="eastAsia"/>
                <w:color w:val="000000"/>
                <w:kern w:val="0"/>
                <w:sz w:val="18"/>
                <w:szCs w:val="18"/>
                <w:lang w:bidi="ar"/>
              </w:rPr>
              <w:t>2024-06-30</w:t>
            </w:r>
          </w:p>
        </w:tc>
        <w:tc>
          <w:tcPr>
            <w:tcW w:w="1316" w:type="dxa"/>
            <w:vAlign w:val="center"/>
          </w:tcPr>
          <w:p w14:paraId="29B36367"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4</w:t>
            </w:r>
          </w:p>
        </w:tc>
      </w:tr>
      <w:tr w:rsidR="00561395" w14:paraId="614BAD33" w14:textId="77777777">
        <w:trPr>
          <w:jc w:val="center"/>
        </w:trPr>
        <w:tc>
          <w:tcPr>
            <w:tcW w:w="1114" w:type="dxa"/>
            <w:vAlign w:val="center"/>
          </w:tcPr>
          <w:p w14:paraId="2D602C7C"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Web of Science</w:t>
            </w:r>
          </w:p>
        </w:tc>
        <w:tc>
          <w:tcPr>
            <w:tcW w:w="4447" w:type="dxa"/>
            <w:vAlign w:val="center"/>
          </w:tcPr>
          <w:p w14:paraId="5D97590D"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(TI=(Vertigo)) AND TS=(Medicine, Chinese Traditional)</w:t>
            </w:r>
          </w:p>
        </w:tc>
        <w:tc>
          <w:tcPr>
            <w:tcW w:w="1643" w:type="dxa"/>
            <w:vAlign w:val="center"/>
          </w:tcPr>
          <w:p w14:paraId="124036EB"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起：</w:t>
            </w:r>
            <w:r>
              <w:rPr>
                <w:rFonts w:ascii="Times New Roman" w:eastAsia="宋体" w:hAnsi="Times New Roman" w:cs="Times New Roman" w:hint="eastAsia"/>
                <w:color w:val="000000"/>
                <w:kern w:val="0"/>
                <w:sz w:val="18"/>
                <w:szCs w:val="18"/>
                <w:lang w:bidi="ar"/>
              </w:rPr>
              <w:t>2014-01-01</w:t>
            </w:r>
          </w:p>
          <w:p w14:paraId="44879E20"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止：</w:t>
            </w:r>
            <w:r>
              <w:rPr>
                <w:rFonts w:ascii="Times New Roman" w:eastAsia="宋体" w:hAnsi="Times New Roman" w:cs="Times New Roman" w:hint="eastAsia"/>
                <w:color w:val="000000"/>
                <w:kern w:val="0"/>
                <w:sz w:val="18"/>
                <w:szCs w:val="18"/>
                <w:lang w:bidi="ar"/>
              </w:rPr>
              <w:t>2024-06-30</w:t>
            </w:r>
          </w:p>
        </w:tc>
        <w:tc>
          <w:tcPr>
            <w:tcW w:w="1316" w:type="dxa"/>
            <w:vAlign w:val="center"/>
          </w:tcPr>
          <w:p w14:paraId="21CA19C7"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31</w:t>
            </w:r>
          </w:p>
        </w:tc>
      </w:tr>
      <w:tr w:rsidR="00561395" w14:paraId="443EDB7B" w14:textId="77777777">
        <w:trPr>
          <w:jc w:val="center"/>
        </w:trPr>
        <w:tc>
          <w:tcPr>
            <w:tcW w:w="1114" w:type="dxa"/>
            <w:vAlign w:val="center"/>
          </w:tcPr>
          <w:p w14:paraId="2F40696D"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Embase</w:t>
            </w:r>
          </w:p>
        </w:tc>
        <w:tc>
          <w:tcPr>
            <w:tcW w:w="4447" w:type="dxa"/>
            <w:vAlign w:val="center"/>
          </w:tcPr>
          <w:p w14:paraId="551943A7"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'medicine, chinese traditional'/mj AND 'vertigo'/mj</w:t>
            </w:r>
          </w:p>
        </w:tc>
        <w:tc>
          <w:tcPr>
            <w:tcW w:w="1643" w:type="dxa"/>
            <w:vAlign w:val="center"/>
          </w:tcPr>
          <w:p w14:paraId="45453B54"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起：</w:t>
            </w:r>
            <w:r>
              <w:rPr>
                <w:rFonts w:ascii="Times New Roman" w:eastAsia="宋体" w:hAnsi="Times New Roman" w:cs="Times New Roman" w:hint="eastAsia"/>
                <w:color w:val="000000"/>
                <w:kern w:val="0"/>
                <w:sz w:val="18"/>
                <w:szCs w:val="18"/>
                <w:lang w:bidi="ar"/>
              </w:rPr>
              <w:t>2014-01-01</w:t>
            </w:r>
          </w:p>
          <w:p w14:paraId="0C01E14E"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止：</w:t>
            </w:r>
            <w:r>
              <w:rPr>
                <w:rFonts w:ascii="Times New Roman" w:eastAsia="宋体" w:hAnsi="Times New Roman" w:cs="Times New Roman" w:hint="eastAsia"/>
                <w:color w:val="000000"/>
                <w:kern w:val="0"/>
                <w:sz w:val="18"/>
                <w:szCs w:val="18"/>
                <w:lang w:bidi="ar"/>
              </w:rPr>
              <w:t>2024-06-30</w:t>
            </w:r>
          </w:p>
        </w:tc>
        <w:tc>
          <w:tcPr>
            <w:tcW w:w="1316" w:type="dxa"/>
            <w:vAlign w:val="center"/>
          </w:tcPr>
          <w:p w14:paraId="3F2D345E"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13</w:t>
            </w:r>
          </w:p>
        </w:tc>
      </w:tr>
      <w:tr w:rsidR="00561395" w14:paraId="45BD8F28" w14:textId="77777777">
        <w:trPr>
          <w:jc w:val="center"/>
        </w:trPr>
        <w:tc>
          <w:tcPr>
            <w:tcW w:w="1114" w:type="dxa"/>
            <w:vAlign w:val="center"/>
          </w:tcPr>
          <w:p w14:paraId="3A76D5A6"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Cochrance</w:t>
            </w:r>
          </w:p>
          <w:p w14:paraId="7BEF2495"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library</w:t>
            </w:r>
          </w:p>
        </w:tc>
        <w:tc>
          <w:tcPr>
            <w:tcW w:w="4447" w:type="dxa"/>
            <w:vAlign w:val="center"/>
          </w:tcPr>
          <w:p w14:paraId="205B5BD2"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#1  MeSH descriptor: [Vertigo] explode all trees</w:t>
            </w:r>
          </w:p>
          <w:p w14:paraId="6BDE4C25"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 MeSH descriptor: [Medicine, Chinese Traditional] explode all trees</w:t>
            </w:r>
          </w:p>
          <w:p w14:paraId="4A1C24DF"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#3  #1 AND #2</w:t>
            </w:r>
          </w:p>
        </w:tc>
        <w:tc>
          <w:tcPr>
            <w:tcW w:w="1643" w:type="dxa"/>
            <w:vAlign w:val="center"/>
          </w:tcPr>
          <w:p w14:paraId="34BF5B8D"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起：</w:t>
            </w:r>
            <w:r>
              <w:rPr>
                <w:rFonts w:ascii="Times New Roman" w:eastAsia="宋体" w:hAnsi="Times New Roman" w:cs="Times New Roman" w:hint="eastAsia"/>
                <w:color w:val="000000"/>
                <w:kern w:val="0"/>
                <w:sz w:val="18"/>
                <w:szCs w:val="18"/>
                <w:lang w:bidi="ar"/>
              </w:rPr>
              <w:t>2014-01-01</w:t>
            </w:r>
          </w:p>
          <w:p w14:paraId="2C27F037"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止：</w:t>
            </w:r>
            <w:r>
              <w:rPr>
                <w:rFonts w:ascii="Times New Roman" w:eastAsia="宋体" w:hAnsi="Times New Roman" w:cs="Times New Roman" w:hint="eastAsia"/>
                <w:color w:val="000000"/>
                <w:kern w:val="0"/>
                <w:sz w:val="18"/>
                <w:szCs w:val="18"/>
                <w:lang w:bidi="ar"/>
              </w:rPr>
              <w:t>2024-06-30</w:t>
            </w:r>
          </w:p>
        </w:tc>
        <w:tc>
          <w:tcPr>
            <w:tcW w:w="1316" w:type="dxa"/>
            <w:vAlign w:val="center"/>
          </w:tcPr>
          <w:p w14:paraId="1337261B"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w:t>
            </w:r>
          </w:p>
        </w:tc>
      </w:tr>
    </w:tbl>
    <w:p w14:paraId="1429D7F6" w14:textId="77777777" w:rsidR="00561395" w:rsidRDefault="00000000">
      <w:pPr>
        <w:pStyle w:val="Default"/>
        <w:spacing w:line="600" w:lineRule="exact"/>
        <w:ind w:firstLineChars="200" w:firstLine="643"/>
        <w:contextualSpacing/>
        <w:jc w:val="both"/>
        <w:rPr>
          <w:rFonts w:ascii="仿宋_GB2312" w:eastAsia="仿宋_GB2312" w:hAnsi="仿宋" w:cs="仿宋_GB2312"/>
          <w:b/>
          <w:bCs/>
          <w:sz w:val="32"/>
          <w:szCs w:val="32"/>
        </w:rPr>
      </w:pPr>
      <w:r>
        <w:rPr>
          <w:rFonts w:ascii="仿宋_GB2312" w:eastAsia="仿宋_GB2312" w:hAnsi="仿宋" w:cs="仿宋_GB2312" w:hint="eastAsia"/>
          <w:b/>
          <w:bCs/>
          <w:sz w:val="32"/>
          <w:szCs w:val="32"/>
        </w:rPr>
        <w:t>（3）纳排标准</w:t>
      </w:r>
    </w:p>
    <w:p w14:paraId="244EB775" w14:textId="77777777" w:rsidR="00561395" w:rsidRDefault="00000000">
      <w:pPr>
        <w:ind w:firstLineChars="200" w:firstLine="643"/>
        <w:rPr>
          <w:rFonts w:ascii="仿宋_GB2312" w:eastAsia="仿宋_GB2312"/>
          <w:b/>
          <w:bCs/>
          <w:sz w:val="32"/>
          <w:szCs w:val="32"/>
        </w:rPr>
      </w:pPr>
      <w:r>
        <w:rPr>
          <w:rFonts w:ascii="仿宋_GB2312" w:eastAsia="仿宋_GB2312" w:hint="eastAsia"/>
          <w:b/>
          <w:bCs/>
          <w:sz w:val="32"/>
          <w:szCs w:val="32"/>
        </w:rPr>
        <w:t>①证候诊断与分类文献</w:t>
      </w:r>
    </w:p>
    <w:p w14:paraId="7AE0DB18" w14:textId="77777777" w:rsidR="00561395" w:rsidRDefault="00000000">
      <w:pPr>
        <w:ind w:firstLineChars="200" w:firstLine="640"/>
        <w:rPr>
          <w:rFonts w:ascii="仿宋_GB2312" w:eastAsia="仿宋_GB2312"/>
          <w:sz w:val="32"/>
          <w:szCs w:val="32"/>
        </w:rPr>
      </w:pPr>
      <w:r>
        <w:rPr>
          <w:rFonts w:ascii="仿宋_GB2312" w:eastAsia="仿宋_GB2312" w:hint="eastAsia"/>
          <w:sz w:val="32"/>
          <w:szCs w:val="32"/>
        </w:rPr>
        <w:t>纳入标准：具有明确眩晕及其相关病名诊断的临床类研究；对涉及眩晕中医证候辨证有明确辨证依据；对涉及各证候类型眩晕患者数目具有明确记载。</w:t>
      </w:r>
    </w:p>
    <w:p w14:paraId="1F420E86" w14:textId="77777777" w:rsidR="00561395" w:rsidRDefault="00000000">
      <w:pPr>
        <w:ind w:firstLineChars="200" w:firstLine="640"/>
        <w:rPr>
          <w:rFonts w:ascii="仿宋_GB2312" w:eastAsia="仿宋_GB2312"/>
          <w:sz w:val="32"/>
          <w:szCs w:val="32"/>
        </w:rPr>
      </w:pPr>
      <w:r>
        <w:rPr>
          <w:rFonts w:ascii="仿宋_GB2312" w:eastAsia="仿宋_GB2312" w:hint="eastAsia"/>
          <w:sz w:val="32"/>
          <w:szCs w:val="32"/>
        </w:rPr>
        <w:t>排除标准：重复发表或数据高度相似的文章，仅收录最早发表的</w:t>
      </w:r>
      <w:r>
        <w:rPr>
          <w:rFonts w:ascii="仿宋_GB2312" w:eastAsia="仿宋_GB2312" w:hint="eastAsia"/>
          <w:sz w:val="32"/>
          <w:szCs w:val="32"/>
        </w:rPr>
        <w:lastRenderedPageBreak/>
        <w:t>文章；个人经验、个案报道、新闻、广告、报刊、征文启事等非研究型文献。</w:t>
      </w:r>
    </w:p>
    <w:p w14:paraId="4433E63F" w14:textId="77777777" w:rsidR="00561395" w:rsidRDefault="00000000">
      <w:pPr>
        <w:ind w:firstLineChars="200" w:firstLine="643"/>
        <w:rPr>
          <w:rFonts w:ascii="仿宋_GB2312" w:eastAsia="仿宋_GB2312"/>
          <w:b/>
          <w:bCs/>
          <w:sz w:val="32"/>
          <w:szCs w:val="32"/>
        </w:rPr>
      </w:pPr>
      <w:r>
        <w:rPr>
          <w:rFonts w:ascii="仿宋_GB2312" w:eastAsia="仿宋_GB2312" w:hint="eastAsia"/>
          <w:b/>
          <w:bCs/>
          <w:sz w:val="32"/>
          <w:szCs w:val="32"/>
        </w:rPr>
        <w:t>②疗效评价文献</w:t>
      </w:r>
    </w:p>
    <w:p w14:paraId="1614E83D" w14:textId="77777777" w:rsidR="00561395" w:rsidRDefault="00000000">
      <w:pPr>
        <w:ind w:firstLineChars="200" w:firstLine="640"/>
        <w:rPr>
          <w:rFonts w:ascii="仿宋_GB2312" w:eastAsia="仿宋_GB2312"/>
          <w:sz w:val="32"/>
          <w:szCs w:val="32"/>
        </w:rPr>
      </w:pPr>
      <w:r>
        <w:rPr>
          <w:rFonts w:ascii="仿宋_GB2312" w:eastAsia="仿宋_GB2312" w:hint="eastAsia"/>
          <w:sz w:val="32"/>
          <w:szCs w:val="32"/>
        </w:rPr>
        <w:t>纳入标准：具有明确眩晕及其相关病名诊断的临床类研究；具有明确的疗效判定标准；研究设计合理。</w:t>
      </w:r>
    </w:p>
    <w:p w14:paraId="3B1E2E79" w14:textId="77777777" w:rsidR="00561395" w:rsidRDefault="00000000">
      <w:pPr>
        <w:ind w:firstLineChars="200" w:firstLine="640"/>
        <w:rPr>
          <w:rFonts w:ascii="仿宋_GB2312" w:eastAsia="仿宋_GB2312" w:hAnsi="仿宋" w:cs="仿宋_GB2312"/>
          <w:b/>
          <w:bCs/>
          <w:sz w:val="32"/>
          <w:szCs w:val="32"/>
        </w:rPr>
      </w:pPr>
      <w:r>
        <w:rPr>
          <w:rFonts w:ascii="仿宋_GB2312" w:eastAsia="仿宋_GB2312" w:hint="eastAsia"/>
          <w:sz w:val="32"/>
          <w:szCs w:val="32"/>
        </w:rPr>
        <w:t>排除标准：重复发表或数据高度相似的文章，仅收录最早发表的文章；个人经验、个案报道、新闻、广告、报刊、征文启事等非研究型文献。</w:t>
      </w:r>
    </w:p>
    <w:p w14:paraId="0FE9A849" w14:textId="77777777" w:rsidR="00561395" w:rsidRDefault="00000000">
      <w:pPr>
        <w:pStyle w:val="Default"/>
        <w:spacing w:line="600" w:lineRule="exact"/>
        <w:ind w:firstLineChars="200" w:firstLine="643"/>
        <w:contextualSpacing/>
        <w:jc w:val="both"/>
        <w:rPr>
          <w:rFonts w:ascii="仿宋_GB2312" w:eastAsia="仿宋_GB2312" w:hAnsi="仿宋" w:cs="仿宋_GB2312"/>
          <w:b/>
          <w:bCs/>
          <w:sz w:val="32"/>
          <w:szCs w:val="32"/>
        </w:rPr>
      </w:pPr>
      <w:r>
        <w:rPr>
          <w:rFonts w:ascii="仿宋_GB2312" w:eastAsia="仿宋_GB2312" w:hAnsi="仿宋" w:cs="仿宋_GB2312" w:hint="eastAsia"/>
          <w:b/>
          <w:bCs/>
          <w:sz w:val="32"/>
          <w:szCs w:val="32"/>
        </w:rPr>
        <w:t>（4）文献筛选及信息提取</w:t>
      </w:r>
    </w:p>
    <w:p w14:paraId="11E9A135" w14:textId="77777777" w:rsidR="00561395" w:rsidRDefault="00000000">
      <w:pPr>
        <w:pStyle w:val="Default"/>
        <w:spacing w:line="600" w:lineRule="exact"/>
        <w:ind w:firstLineChars="200" w:firstLine="640"/>
        <w:contextualSpacing/>
        <w:jc w:val="both"/>
        <w:rPr>
          <w:rFonts w:ascii="仿宋_GB2312" w:eastAsia="仿宋_GB2312"/>
          <w:sz w:val="32"/>
          <w:szCs w:val="32"/>
        </w:rPr>
      </w:pPr>
      <w:r>
        <w:rPr>
          <w:rFonts w:ascii="仿宋_GB2312" w:eastAsia="仿宋_GB2312" w:cstheme="minorBidi" w:hint="eastAsia"/>
          <w:color w:val="auto"/>
          <w:kern w:val="2"/>
          <w:sz w:val="32"/>
          <w:szCs w:val="32"/>
        </w:rPr>
        <w:t>根据以上纳排标准进行文献筛选，阅读题目与摘要进行初筛，阅读全文进行复筛，获取最终纳入文献，</w:t>
      </w:r>
      <w:r>
        <w:rPr>
          <w:rFonts w:ascii="仿宋_GB2312" w:eastAsia="仿宋_GB2312" w:hint="eastAsia"/>
          <w:sz w:val="32"/>
          <w:szCs w:val="32"/>
        </w:rPr>
        <w:t>共筛选出文献380篇，其中临床实践指南26篇、系统评价33篇、临床研究321篇等。筛选过程详见附件8。</w:t>
      </w:r>
    </w:p>
    <w:p w14:paraId="4ADA39EE" w14:textId="77777777" w:rsidR="00561395" w:rsidRDefault="00000000">
      <w:pPr>
        <w:tabs>
          <w:tab w:val="left" w:pos="312"/>
        </w:tabs>
        <w:spacing w:beforeLines="50" w:before="156" w:afterLines="50" w:after="156" w:line="360" w:lineRule="auto"/>
        <w:ind w:firstLineChars="200" w:firstLine="643"/>
        <w:rPr>
          <w:rFonts w:ascii="仿宋_GB2312" w:eastAsia="仿宋_GB2312" w:hAnsiTheme="minorEastAsia"/>
          <w:sz w:val="32"/>
          <w:szCs w:val="32"/>
        </w:rPr>
      </w:pPr>
      <w:r>
        <w:rPr>
          <w:rFonts w:ascii="仿宋_GB2312" w:eastAsia="仿宋_GB2312" w:hAnsiTheme="minorEastAsia" w:hint="eastAsia"/>
          <w:b/>
          <w:bCs/>
          <w:sz w:val="32"/>
          <w:szCs w:val="32"/>
        </w:rPr>
        <w:t>（5）</w:t>
      </w:r>
      <w:r>
        <w:rPr>
          <w:rFonts w:ascii="仿宋_GB2312" w:eastAsia="仿宋_GB2312" w:hAnsiTheme="minorEastAsia"/>
          <w:b/>
          <w:bCs/>
          <w:sz w:val="32"/>
          <w:szCs w:val="32"/>
        </w:rPr>
        <w:t>方法学质量评价</w:t>
      </w:r>
    </w:p>
    <w:p w14:paraId="30ED4AD6" w14:textId="77777777" w:rsidR="00561395" w:rsidRDefault="00000000">
      <w:pPr>
        <w:tabs>
          <w:tab w:val="left" w:pos="312"/>
        </w:tabs>
        <w:spacing w:beforeLines="50" w:before="156" w:afterLines="50" w:after="156" w:line="360" w:lineRule="auto"/>
        <w:ind w:firstLineChars="200" w:firstLine="643"/>
        <w:rPr>
          <w:rFonts w:ascii="仿宋_GB2312" w:eastAsia="仿宋_GB2312" w:hAnsiTheme="minorEastAsia"/>
          <w:b/>
          <w:bCs/>
          <w:sz w:val="32"/>
          <w:szCs w:val="32"/>
        </w:rPr>
      </w:pPr>
      <w:r>
        <w:rPr>
          <w:rFonts w:ascii="仿宋_GB2312" w:eastAsia="仿宋_GB2312" w:hAnsiTheme="minorEastAsia"/>
          <w:b/>
          <w:bCs/>
          <w:sz w:val="32"/>
          <w:szCs w:val="32"/>
        </w:rPr>
        <w:t>①</w:t>
      </w:r>
      <w:r>
        <w:rPr>
          <w:rFonts w:ascii="仿宋_GB2312" w:eastAsia="仿宋_GB2312" w:hAnsiTheme="minorEastAsia" w:hint="eastAsia"/>
          <w:b/>
          <w:bCs/>
          <w:sz w:val="32"/>
          <w:szCs w:val="32"/>
        </w:rPr>
        <w:t>系统评价</w:t>
      </w:r>
      <w:r>
        <w:rPr>
          <w:rFonts w:ascii="仿宋_GB2312" w:eastAsia="仿宋_GB2312" w:hAnsiTheme="minorEastAsia"/>
          <w:b/>
          <w:bCs/>
          <w:sz w:val="32"/>
          <w:szCs w:val="32"/>
        </w:rPr>
        <w:t>质量评价</w:t>
      </w:r>
    </w:p>
    <w:p w14:paraId="1A5CB263" w14:textId="77777777" w:rsidR="00561395" w:rsidRDefault="00000000">
      <w:pPr>
        <w:tabs>
          <w:tab w:val="left" w:pos="312"/>
        </w:tabs>
        <w:spacing w:beforeLines="50" w:before="156" w:afterLines="50" w:after="156" w:line="360" w:lineRule="auto"/>
        <w:ind w:firstLineChars="200" w:firstLine="640"/>
        <w:rPr>
          <w:rFonts w:ascii="仿宋_GB2312" w:eastAsia="仿宋_GB2312" w:hAnsiTheme="minorEastAsia"/>
          <w:sz w:val="32"/>
          <w:szCs w:val="32"/>
        </w:rPr>
      </w:pPr>
      <w:r>
        <w:rPr>
          <w:rFonts w:ascii="仿宋_GB2312" w:eastAsia="仿宋_GB2312" w:hAnsiTheme="minorEastAsia"/>
          <w:sz w:val="32"/>
          <w:szCs w:val="32"/>
        </w:rPr>
        <w:t>采用AMSTAR-2量表工具对有关眩晕病证候分类及治疗的</w:t>
      </w:r>
      <w:r>
        <w:rPr>
          <w:rFonts w:ascii="仿宋_GB2312" w:eastAsia="仿宋_GB2312" w:hAnsiTheme="minorEastAsia" w:hint="eastAsia"/>
          <w:sz w:val="32"/>
          <w:szCs w:val="32"/>
        </w:rPr>
        <w:t>33</w:t>
      </w:r>
      <w:r>
        <w:rPr>
          <w:rFonts w:ascii="仿宋_GB2312" w:eastAsia="仿宋_GB2312" w:hAnsiTheme="minorEastAsia"/>
          <w:sz w:val="32"/>
          <w:szCs w:val="32"/>
        </w:rPr>
        <w:t>篇Meta分析文献进行质量评价，通过质量评价发现</w:t>
      </w:r>
      <w:r>
        <w:rPr>
          <w:rFonts w:ascii="仿宋_GB2312" w:eastAsia="仿宋_GB2312" w:hAnsiTheme="minorEastAsia" w:hint="eastAsia"/>
          <w:sz w:val="32"/>
          <w:szCs w:val="32"/>
        </w:rPr>
        <w:t>7</w:t>
      </w:r>
      <w:r>
        <w:rPr>
          <w:rFonts w:ascii="仿宋_GB2312" w:eastAsia="仿宋_GB2312" w:hAnsiTheme="minorEastAsia"/>
          <w:sz w:val="32"/>
          <w:szCs w:val="32"/>
        </w:rPr>
        <w:t>篇文献</w:t>
      </w:r>
      <w:r>
        <w:rPr>
          <w:rFonts w:ascii="仿宋_GB2312" w:eastAsia="仿宋_GB2312" w:hAnsiTheme="minorEastAsia" w:hint="eastAsia"/>
          <w:sz w:val="32"/>
          <w:szCs w:val="32"/>
        </w:rPr>
        <w:t>为</w:t>
      </w:r>
      <w:r>
        <w:rPr>
          <w:rFonts w:ascii="仿宋_GB2312" w:eastAsia="仿宋_GB2312" w:hAnsiTheme="minorEastAsia"/>
          <w:sz w:val="32"/>
          <w:szCs w:val="32"/>
        </w:rPr>
        <w:t>中等质量，</w:t>
      </w:r>
      <w:r>
        <w:rPr>
          <w:rFonts w:ascii="仿宋_GB2312" w:eastAsia="仿宋_GB2312" w:hAnsiTheme="minorEastAsia" w:hint="eastAsia"/>
          <w:sz w:val="32"/>
          <w:szCs w:val="32"/>
        </w:rPr>
        <w:t>2</w:t>
      </w:r>
      <w:r>
        <w:rPr>
          <w:rFonts w:ascii="仿宋_GB2312" w:eastAsia="仿宋_GB2312" w:hAnsiTheme="minorEastAsia"/>
          <w:sz w:val="32"/>
          <w:szCs w:val="32"/>
        </w:rPr>
        <w:t>篇文献</w:t>
      </w:r>
      <w:r>
        <w:rPr>
          <w:rFonts w:ascii="仿宋_GB2312" w:eastAsia="仿宋_GB2312" w:hAnsiTheme="minorEastAsia" w:hint="eastAsia"/>
          <w:sz w:val="32"/>
          <w:szCs w:val="32"/>
        </w:rPr>
        <w:t>为低</w:t>
      </w:r>
      <w:r>
        <w:rPr>
          <w:rFonts w:ascii="仿宋_GB2312" w:eastAsia="仿宋_GB2312" w:hAnsiTheme="minorEastAsia"/>
          <w:sz w:val="32"/>
          <w:szCs w:val="32"/>
        </w:rPr>
        <w:t>等质量，其余</w:t>
      </w:r>
      <w:r>
        <w:rPr>
          <w:rFonts w:ascii="仿宋_GB2312" w:eastAsia="仿宋_GB2312" w:hAnsiTheme="minorEastAsia" w:hint="eastAsia"/>
          <w:sz w:val="32"/>
          <w:szCs w:val="32"/>
        </w:rPr>
        <w:t>24</w:t>
      </w:r>
      <w:r>
        <w:rPr>
          <w:rFonts w:ascii="仿宋_GB2312" w:eastAsia="仿宋_GB2312" w:hAnsiTheme="minorEastAsia"/>
          <w:sz w:val="32"/>
          <w:szCs w:val="32"/>
        </w:rPr>
        <w:t>篇文献为极低</w:t>
      </w:r>
      <w:r>
        <w:rPr>
          <w:rFonts w:ascii="仿宋_GB2312" w:eastAsia="仿宋_GB2312" w:hAnsiTheme="minorEastAsia" w:hint="eastAsia"/>
          <w:sz w:val="32"/>
          <w:szCs w:val="32"/>
        </w:rPr>
        <w:t>等质量，</w:t>
      </w:r>
      <w:r>
        <w:rPr>
          <w:rFonts w:ascii="仿宋_GB2312" w:eastAsia="仿宋_GB2312" w:hAnsi="仿宋" w:cs="仿宋_GB2312" w:hint="eastAsia"/>
          <w:color w:val="000000"/>
          <w:kern w:val="0"/>
          <w:sz w:val="32"/>
          <w:szCs w:val="32"/>
        </w:rPr>
        <w:t>并将</w:t>
      </w:r>
      <w:r>
        <w:rPr>
          <w:rFonts w:ascii="仿宋_GB2312" w:eastAsia="仿宋_GB2312" w:hAnsiTheme="minorEastAsia"/>
          <w:sz w:val="32"/>
          <w:szCs w:val="32"/>
        </w:rPr>
        <w:t>中等质量</w:t>
      </w:r>
      <w:r>
        <w:rPr>
          <w:rFonts w:ascii="仿宋_GB2312" w:eastAsia="仿宋_GB2312" w:hAnsiTheme="minorEastAsia" w:hint="eastAsia"/>
          <w:sz w:val="32"/>
          <w:szCs w:val="32"/>
        </w:rPr>
        <w:t>与低</w:t>
      </w:r>
      <w:r>
        <w:rPr>
          <w:rFonts w:ascii="仿宋_GB2312" w:eastAsia="仿宋_GB2312" w:hAnsiTheme="minorEastAsia"/>
          <w:sz w:val="32"/>
          <w:szCs w:val="32"/>
        </w:rPr>
        <w:t>等质量</w:t>
      </w:r>
      <w:r>
        <w:rPr>
          <w:rFonts w:ascii="仿宋_GB2312" w:eastAsia="仿宋_GB2312" w:hAnsi="仿宋" w:cs="仿宋_GB2312" w:hint="eastAsia"/>
          <w:sz w:val="32"/>
          <w:szCs w:val="32"/>
        </w:rPr>
        <w:t>的文献特征及方法学质量评价结果录入附件8现代文献研究报告。</w:t>
      </w:r>
    </w:p>
    <w:p w14:paraId="71342DBE" w14:textId="77777777" w:rsidR="00561395" w:rsidRDefault="00000000">
      <w:pPr>
        <w:tabs>
          <w:tab w:val="left" w:pos="312"/>
        </w:tabs>
        <w:spacing w:beforeLines="50" w:before="156" w:afterLines="50" w:after="156" w:line="360" w:lineRule="auto"/>
        <w:ind w:firstLineChars="200" w:firstLine="643"/>
        <w:rPr>
          <w:rFonts w:ascii="仿宋_GB2312" w:eastAsia="仿宋_GB2312" w:hAnsiTheme="minorEastAsia"/>
          <w:sz w:val="32"/>
          <w:szCs w:val="32"/>
        </w:rPr>
      </w:pPr>
      <w:r>
        <w:rPr>
          <w:rFonts w:ascii="仿宋_GB2312" w:eastAsia="仿宋_GB2312" w:hAnsiTheme="minorEastAsia"/>
          <w:b/>
          <w:bCs/>
          <w:sz w:val="32"/>
          <w:szCs w:val="32"/>
        </w:rPr>
        <w:t>②</w:t>
      </w:r>
      <w:r>
        <w:rPr>
          <w:rFonts w:ascii="仿宋_GB2312" w:eastAsia="仿宋_GB2312" w:hAnsiTheme="minorEastAsia"/>
          <w:b/>
          <w:bCs/>
          <w:sz w:val="32"/>
          <w:szCs w:val="32"/>
        </w:rPr>
        <w:t>随机对照研究质量评价</w:t>
      </w:r>
    </w:p>
    <w:p w14:paraId="79CBD18C" w14:textId="77777777" w:rsidR="00561395" w:rsidRDefault="00000000">
      <w:pPr>
        <w:pStyle w:val="Default"/>
        <w:spacing w:line="600" w:lineRule="exact"/>
        <w:ind w:firstLineChars="200" w:firstLine="640"/>
        <w:contextualSpacing/>
        <w:jc w:val="both"/>
        <w:rPr>
          <w:rFonts w:ascii="仿宋_GB2312" w:eastAsia="仿宋_GB2312" w:hAnsi="仿宋" w:cs="仿宋_GB2312"/>
          <w:sz w:val="32"/>
          <w:szCs w:val="32"/>
        </w:rPr>
      </w:pPr>
      <w:r>
        <w:rPr>
          <w:rFonts w:ascii="仿宋_GB2312" w:eastAsia="仿宋_GB2312" w:hAnsi="仿宋" w:cs="仿宋_GB2312"/>
          <w:sz w:val="32"/>
          <w:szCs w:val="32"/>
        </w:rPr>
        <w:lastRenderedPageBreak/>
        <w:t>对于最终纳入的</w:t>
      </w:r>
      <w:r>
        <w:rPr>
          <w:rFonts w:ascii="仿宋_GB2312" w:eastAsia="仿宋_GB2312" w:hAnsi="仿宋" w:cs="仿宋_GB2312" w:hint="eastAsia"/>
          <w:sz w:val="32"/>
          <w:szCs w:val="32"/>
        </w:rPr>
        <w:t>321</w:t>
      </w:r>
      <w:r>
        <w:rPr>
          <w:rFonts w:ascii="仿宋_GB2312" w:eastAsia="仿宋_GB2312" w:hAnsi="仿宋" w:cs="仿宋_GB2312"/>
          <w:sz w:val="32"/>
          <w:szCs w:val="32"/>
        </w:rPr>
        <w:t>篇ＲCT，本</w:t>
      </w:r>
      <w:r>
        <w:rPr>
          <w:rFonts w:ascii="仿宋_GB2312" w:eastAsia="仿宋_GB2312" w:hAnsi="仿宋" w:cs="仿宋_GB2312" w:hint="eastAsia"/>
          <w:sz w:val="32"/>
          <w:szCs w:val="32"/>
        </w:rPr>
        <w:t>标准</w:t>
      </w:r>
      <w:r>
        <w:rPr>
          <w:rFonts w:ascii="仿宋_GB2312" w:eastAsia="仿宋_GB2312" w:hAnsi="仿宋" w:cs="仿宋_GB2312"/>
          <w:sz w:val="32"/>
          <w:szCs w:val="32"/>
        </w:rPr>
        <w:t>采用Cochrane偏倚风险评价工具进行评价，具体每个条目的分析均录入Excel表中，并通过Ｒevman软件进行图形化展示。通过分析可知，所纳入的研究大部分的条目评价为风险偏倚不清楚，在评价过程中，研究中大多数均未提及或交代不清，所以无法真实判断其风险偏倚。整体质量评价为低风险偏倚的较少。</w:t>
      </w:r>
      <w:r>
        <w:rPr>
          <w:rFonts w:ascii="仿宋_GB2312" w:eastAsia="仿宋_GB2312" w:hAnsi="仿宋" w:cs="仿宋_GB2312" w:hint="eastAsia"/>
          <w:sz w:val="32"/>
          <w:szCs w:val="32"/>
        </w:rPr>
        <w:t>并将低风险偏移的28篇文献的文献特征及方法学质量评价结果录入附件8现代文献研究报告。</w:t>
      </w:r>
    </w:p>
    <w:p w14:paraId="1B32EE0F" w14:textId="77777777" w:rsidR="00561395" w:rsidRDefault="00000000">
      <w:pPr>
        <w:pStyle w:val="Default"/>
        <w:spacing w:line="600" w:lineRule="exact"/>
        <w:ind w:firstLineChars="200" w:firstLine="643"/>
        <w:contextualSpacing/>
        <w:jc w:val="both"/>
        <w:rPr>
          <w:rFonts w:ascii="仿宋_GB2312" w:eastAsia="仿宋_GB2312" w:hAnsiTheme="minorEastAsia"/>
          <w:b/>
          <w:bCs/>
          <w:sz w:val="32"/>
          <w:szCs w:val="32"/>
        </w:rPr>
      </w:pPr>
      <w:r>
        <w:rPr>
          <w:rFonts w:ascii="仿宋_GB2312" w:eastAsia="仿宋_GB2312" w:hAnsiTheme="minorEastAsia"/>
          <w:b/>
          <w:bCs/>
          <w:sz w:val="32"/>
          <w:szCs w:val="32"/>
        </w:rPr>
        <w:t>（</w:t>
      </w:r>
      <w:r>
        <w:rPr>
          <w:rFonts w:ascii="仿宋_GB2312" w:eastAsia="仿宋_GB2312" w:hAnsiTheme="minorEastAsia" w:hint="eastAsia"/>
          <w:b/>
          <w:bCs/>
          <w:sz w:val="32"/>
          <w:szCs w:val="32"/>
        </w:rPr>
        <w:t>6</w:t>
      </w:r>
      <w:r>
        <w:rPr>
          <w:rFonts w:ascii="仿宋_GB2312" w:eastAsia="仿宋_GB2312" w:hAnsiTheme="minorEastAsia"/>
          <w:b/>
          <w:bCs/>
          <w:sz w:val="32"/>
          <w:szCs w:val="32"/>
        </w:rPr>
        <w:t>）</w:t>
      </w:r>
      <w:r>
        <w:rPr>
          <w:rFonts w:ascii="仿宋_GB2312" w:eastAsia="仿宋_GB2312" w:hAnsiTheme="minorEastAsia" w:hint="eastAsia"/>
          <w:b/>
          <w:bCs/>
          <w:sz w:val="32"/>
          <w:szCs w:val="32"/>
        </w:rPr>
        <w:t>证据综合</w:t>
      </w:r>
    </w:p>
    <w:p w14:paraId="0BE37537" w14:textId="77777777" w:rsidR="00561395" w:rsidRDefault="00000000">
      <w:pPr>
        <w:pStyle w:val="Default"/>
        <w:spacing w:line="600" w:lineRule="exact"/>
        <w:ind w:firstLineChars="200" w:firstLine="640"/>
        <w:contextualSpacing/>
        <w:jc w:val="both"/>
        <w:rPr>
          <w:rStyle w:val="fontstyle01"/>
          <w:rFonts w:ascii="黑体" w:eastAsia="仿宋_GB2312" w:hAnsi="黑体" w:cs="Times New Roman" w:hint="default"/>
          <w:color w:val="auto"/>
          <w:kern w:val="2"/>
          <w:sz w:val="24"/>
        </w:rPr>
      </w:pPr>
      <w:r>
        <w:rPr>
          <w:rFonts w:ascii="仿宋_GB2312" w:eastAsia="仿宋_GB2312" w:hint="eastAsia"/>
          <w:sz w:val="32"/>
          <w:szCs w:val="32"/>
        </w:rPr>
        <w:t>共9条核心技术要素通过文献研究收集证据。共参考文献99篇，其中现代书籍文献5篇，临床实践指南3篇、临床研究83篇（实际检索文献676篇）、系统评价0篇（实际检索文献33篇）等。具体情况见表3。基于提取的信息，通过定量方法进行证据综合，在此基础上形成核心技术要素，并形成现代文献研究报告，详见附件8。</w:t>
      </w:r>
    </w:p>
    <w:p w14:paraId="30148890" w14:textId="77777777" w:rsidR="00561395" w:rsidRDefault="00000000">
      <w:pPr>
        <w:pStyle w:val="Default"/>
        <w:spacing w:line="600" w:lineRule="exact"/>
        <w:ind w:firstLineChars="200" w:firstLine="480"/>
        <w:contextualSpacing/>
        <w:jc w:val="center"/>
        <w:rPr>
          <w:rStyle w:val="fontstyle01"/>
          <w:rFonts w:ascii="黑体" w:eastAsia="黑体" w:hAnsi="黑体" w:cs="Times New Roman" w:hint="default"/>
          <w:color w:val="auto"/>
          <w:kern w:val="2"/>
          <w:sz w:val="24"/>
        </w:rPr>
      </w:pPr>
      <w:r>
        <w:rPr>
          <w:rStyle w:val="fontstyle01"/>
          <w:rFonts w:ascii="黑体" w:eastAsia="黑体" w:hAnsi="黑体" w:cs="Times New Roman" w:hint="default"/>
          <w:color w:val="auto"/>
          <w:kern w:val="2"/>
          <w:sz w:val="24"/>
        </w:rPr>
        <w:t>表3  现代文献研究采用情况表</w:t>
      </w:r>
    </w:p>
    <w:tbl>
      <w:tblPr>
        <w:tblStyle w:val="af"/>
        <w:tblW w:w="0" w:type="auto"/>
        <w:jc w:val="center"/>
        <w:tblLook w:val="04A0" w:firstRow="1" w:lastRow="0" w:firstColumn="1" w:lastColumn="0" w:noHBand="0" w:noVBand="1"/>
      </w:tblPr>
      <w:tblGrid>
        <w:gridCol w:w="1825"/>
        <w:gridCol w:w="2001"/>
        <w:gridCol w:w="6"/>
        <w:gridCol w:w="1746"/>
        <w:gridCol w:w="11"/>
        <w:gridCol w:w="2631"/>
        <w:gridCol w:w="17"/>
      </w:tblGrid>
      <w:tr w:rsidR="00561395" w14:paraId="70CA1D20" w14:textId="77777777">
        <w:trPr>
          <w:gridAfter w:val="1"/>
          <w:wAfter w:w="17" w:type="dxa"/>
          <w:trHeight w:val="505"/>
          <w:jc w:val="center"/>
        </w:trPr>
        <w:tc>
          <w:tcPr>
            <w:tcW w:w="3826" w:type="dxa"/>
            <w:gridSpan w:val="2"/>
            <w:vAlign w:val="center"/>
          </w:tcPr>
          <w:p w14:paraId="1EC7BE07" w14:textId="77777777" w:rsidR="00561395" w:rsidRDefault="00000000">
            <w:pPr>
              <w:widowControl/>
              <w:jc w:val="center"/>
              <w:textAlignment w:val="center"/>
              <w:rPr>
                <w:rFonts w:ascii="Times New Roman" w:eastAsia="宋体" w:hAnsi="Times New Roman" w:cs="Times New Roman"/>
                <w:b/>
                <w:bCs/>
                <w:color w:val="000000"/>
                <w:kern w:val="0"/>
                <w:sz w:val="18"/>
                <w:szCs w:val="18"/>
                <w:lang w:bidi="ar"/>
              </w:rPr>
            </w:pPr>
            <w:r>
              <w:rPr>
                <w:rFonts w:ascii="Times New Roman" w:eastAsia="宋体" w:hAnsi="Times New Roman" w:cs="Times New Roman" w:hint="eastAsia"/>
                <w:b/>
                <w:bCs/>
                <w:color w:val="000000"/>
                <w:kern w:val="0"/>
                <w:sz w:val="18"/>
                <w:szCs w:val="18"/>
                <w:lang w:bidi="ar"/>
              </w:rPr>
              <w:t>核心技术要素</w:t>
            </w:r>
          </w:p>
        </w:tc>
        <w:tc>
          <w:tcPr>
            <w:tcW w:w="1752" w:type="dxa"/>
            <w:gridSpan w:val="2"/>
          </w:tcPr>
          <w:p w14:paraId="6FD1D17B" w14:textId="77777777" w:rsidR="00561395" w:rsidRDefault="00000000">
            <w:pPr>
              <w:widowControl/>
              <w:jc w:val="center"/>
              <w:textAlignment w:val="center"/>
              <w:rPr>
                <w:rFonts w:ascii="Times New Roman" w:eastAsia="宋体" w:hAnsi="Times New Roman" w:cs="Times New Roman"/>
                <w:b/>
                <w:bCs/>
                <w:color w:val="000000"/>
                <w:kern w:val="0"/>
                <w:sz w:val="18"/>
                <w:szCs w:val="18"/>
                <w:lang w:bidi="ar"/>
              </w:rPr>
            </w:pPr>
            <w:r>
              <w:rPr>
                <w:rFonts w:ascii="Times New Roman" w:eastAsia="宋体" w:hAnsi="Times New Roman" w:cs="Times New Roman" w:hint="eastAsia"/>
                <w:b/>
                <w:bCs/>
                <w:color w:val="000000"/>
                <w:kern w:val="0"/>
                <w:sz w:val="18"/>
                <w:szCs w:val="18"/>
                <w:lang w:bidi="ar"/>
              </w:rPr>
              <w:t>是否采用</w:t>
            </w:r>
          </w:p>
          <w:p w14:paraId="5F5E4BB3" w14:textId="77777777" w:rsidR="00561395" w:rsidRDefault="00000000">
            <w:pPr>
              <w:widowControl/>
              <w:jc w:val="center"/>
              <w:textAlignment w:val="center"/>
              <w:rPr>
                <w:rFonts w:ascii="Times New Roman" w:eastAsia="宋体" w:hAnsi="Times New Roman" w:cs="Times New Roman"/>
                <w:b/>
                <w:bCs/>
                <w:color w:val="000000"/>
                <w:kern w:val="0"/>
                <w:sz w:val="18"/>
                <w:szCs w:val="18"/>
                <w:lang w:bidi="ar"/>
              </w:rPr>
            </w:pPr>
            <w:r>
              <w:rPr>
                <w:rFonts w:ascii="Times New Roman" w:eastAsia="宋体" w:hAnsi="Times New Roman" w:cs="Times New Roman" w:hint="eastAsia"/>
                <w:b/>
                <w:bCs/>
                <w:color w:val="000000"/>
                <w:kern w:val="0"/>
                <w:sz w:val="18"/>
                <w:szCs w:val="18"/>
                <w:lang w:bidi="ar"/>
              </w:rPr>
              <w:t>文献研究</w:t>
            </w:r>
          </w:p>
        </w:tc>
        <w:tc>
          <w:tcPr>
            <w:tcW w:w="2642" w:type="dxa"/>
            <w:gridSpan w:val="2"/>
            <w:vAlign w:val="center"/>
          </w:tcPr>
          <w:p w14:paraId="3F8B0125" w14:textId="77777777" w:rsidR="00561395" w:rsidRDefault="00000000">
            <w:pPr>
              <w:widowControl/>
              <w:jc w:val="center"/>
              <w:textAlignment w:val="center"/>
              <w:rPr>
                <w:rFonts w:ascii="Times New Roman" w:eastAsia="宋体" w:hAnsi="Times New Roman" w:cs="Times New Roman"/>
                <w:b/>
                <w:bCs/>
                <w:color w:val="000000"/>
                <w:kern w:val="0"/>
                <w:sz w:val="18"/>
                <w:szCs w:val="18"/>
                <w:lang w:bidi="ar"/>
              </w:rPr>
            </w:pPr>
            <w:r>
              <w:rPr>
                <w:rFonts w:ascii="Times New Roman" w:eastAsia="宋体" w:hAnsi="Times New Roman" w:cs="Times New Roman" w:hint="eastAsia"/>
                <w:b/>
                <w:bCs/>
                <w:color w:val="000000"/>
                <w:kern w:val="0"/>
                <w:sz w:val="18"/>
                <w:szCs w:val="18"/>
                <w:lang w:bidi="ar"/>
              </w:rPr>
              <w:t>文献研究</w:t>
            </w:r>
          </w:p>
          <w:p w14:paraId="52B7D097" w14:textId="77777777" w:rsidR="00561395" w:rsidRDefault="00000000">
            <w:pPr>
              <w:widowControl/>
              <w:jc w:val="center"/>
              <w:textAlignment w:val="center"/>
              <w:rPr>
                <w:rFonts w:ascii="Times New Roman" w:eastAsia="宋体" w:hAnsi="Times New Roman" w:cs="Times New Roman"/>
                <w:b/>
                <w:bCs/>
                <w:color w:val="000000"/>
                <w:kern w:val="0"/>
                <w:sz w:val="18"/>
                <w:szCs w:val="18"/>
                <w:lang w:bidi="ar"/>
              </w:rPr>
            </w:pPr>
            <w:r>
              <w:rPr>
                <w:rFonts w:ascii="Times New Roman" w:eastAsia="宋体" w:hAnsi="Times New Roman" w:cs="Times New Roman" w:hint="eastAsia"/>
                <w:b/>
                <w:bCs/>
                <w:color w:val="000000"/>
                <w:kern w:val="0"/>
                <w:sz w:val="18"/>
                <w:szCs w:val="18"/>
                <w:lang w:bidi="ar"/>
              </w:rPr>
              <w:t>参考数量</w:t>
            </w:r>
          </w:p>
        </w:tc>
      </w:tr>
      <w:tr w:rsidR="00561395" w14:paraId="3D639CF1" w14:textId="77777777">
        <w:trPr>
          <w:gridAfter w:val="1"/>
          <w:wAfter w:w="17" w:type="dxa"/>
          <w:trHeight w:val="327"/>
          <w:jc w:val="center"/>
        </w:trPr>
        <w:tc>
          <w:tcPr>
            <w:tcW w:w="3826" w:type="dxa"/>
            <w:gridSpan w:val="2"/>
            <w:vAlign w:val="center"/>
          </w:tcPr>
          <w:p w14:paraId="14CC4086"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中医疾病名（代码）</w:t>
            </w:r>
          </w:p>
        </w:tc>
        <w:tc>
          <w:tcPr>
            <w:tcW w:w="1752" w:type="dxa"/>
            <w:gridSpan w:val="2"/>
            <w:vAlign w:val="center"/>
          </w:tcPr>
          <w:p w14:paraId="7AD41DBB"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否</w:t>
            </w:r>
          </w:p>
        </w:tc>
        <w:tc>
          <w:tcPr>
            <w:tcW w:w="2642" w:type="dxa"/>
            <w:gridSpan w:val="2"/>
            <w:vAlign w:val="center"/>
          </w:tcPr>
          <w:p w14:paraId="368592F5"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不适用</w:t>
            </w:r>
          </w:p>
        </w:tc>
      </w:tr>
      <w:tr w:rsidR="00561395" w14:paraId="20DC8B89" w14:textId="77777777">
        <w:trPr>
          <w:trHeight w:val="505"/>
          <w:jc w:val="center"/>
        </w:trPr>
        <w:tc>
          <w:tcPr>
            <w:tcW w:w="1825" w:type="dxa"/>
            <w:vMerge w:val="restart"/>
            <w:vAlign w:val="center"/>
          </w:tcPr>
          <w:p w14:paraId="31889E85"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疾病诊断、分期及鉴别诊断</w:t>
            </w:r>
          </w:p>
        </w:tc>
        <w:tc>
          <w:tcPr>
            <w:tcW w:w="2007" w:type="dxa"/>
            <w:gridSpan w:val="2"/>
            <w:vAlign w:val="center"/>
          </w:tcPr>
          <w:p w14:paraId="61362D68"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疾病诊断</w:t>
            </w:r>
          </w:p>
        </w:tc>
        <w:tc>
          <w:tcPr>
            <w:tcW w:w="1757" w:type="dxa"/>
            <w:gridSpan w:val="2"/>
            <w:vAlign w:val="center"/>
          </w:tcPr>
          <w:p w14:paraId="7678C77E"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是</w:t>
            </w:r>
          </w:p>
        </w:tc>
        <w:tc>
          <w:tcPr>
            <w:tcW w:w="2648" w:type="dxa"/>
            <w:gridSpan w:val="2"/>
            <w:vAlign w:val="center"/>
          </w:tcPr>
          <w:p w14:paraId="128A2F60"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临床实践指南</w:t>
            </w:r>
            <w:r>
              <w:rPr>
                <w:rFonts w:ascii="Times New Roman" w:eastAsia="宋体" w:hAnsi="Times New Roman" w:cs="Times New Roman" w:hint="eastAsia"/>
                <w:color w:val="000000"/>
                <w:kern w:val="0"/>
                <w:sz w:val="18"/>
                <w:szCs w:val="18"/>
                <w:lang w:bidi="ar"/>
              </w:rPr>
              <w:t>3</w:t>
            </w:r>
            <w:r>
              <w:rPr>
                <w:rFonts w:ascii="Times New Roman" w:eastAsia="宋体" w:hAnsi="Times New Roman" w:cs="Times New Roman" w:hint="eastAsia"/>
                <w:color w:val="000000"/>
                <w:kern w:val="0"/>
                <w:sz w:val="18"/>
                <w:szCs w:val="18"/>
                <w:lang w:bidi="ar"/>
              </w:rPr>
              <w:t>篇</w:t>
            </w:r>
          </w:p>
          <w:p w14:paraId="5A48406D"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现代书籍文献</w:t>
            </w:r>
            <w:r>
              <w:rPr>
                <w:rFonts w:ascii="Times New Roman" w:eastAsia="宋体" w:hAnsi="Times New Roman" w:cs="Times New Roman" w:hint="eastAsia"/>
                <w:color w:val="000000"/>
                <w:kern w:val="0"/>
                <w:sz w:val="18"/>
                <w:szCs w:val="18"/>
                <w:lang w:bidi="ar"/>
              </w:rPr>
              <w:t>2</w:t>
            </w:r>
            <w:r>
              <w:rPr>
                <w:rFonts w:ascii="Times New Roman" w:eastAsia="宋体" w:hAnsi="Times New Roman" w:cs="Times New Roman" w:hint="eastAsia"/>
                <w:color w:val="000000"/>
                <w:kern w:val="0"/>
                <w:sz w:val="18"/>
                <w:szCs w:val="18"/>
                <w:lang w:bidi="ar"/>
              </w:rPr>
              <w:t>篇</w:t>
            </w:r>
          </w:p>
        </w:tc>
      </w:tr>
      <w:tr w:rsidR="00561395" w14:paraId="6731619B" w14:textId="77777777">
        <w:trPr>
          <w:trHeight w:val="327"/>
          <w:jc w:val="center"/>
        </w:trPr>
        <w:tc>
          <w:tcPr>
            <w:tcW w:w="1825" w:type="dxa"/>
            <w:vMerge/>
            <w:vAlign w:val="center"/>
          </w:tcPr>
          <w:p w14:paraId="47E1DCDD" w14:textId="77777777" w:rsidR="00561395" w:rsidRDefault="00561395">
            <w:pPr>
              <w:widowControl/>
              <w:jc w:val="left"/>
              <w:textAlignment w:val="center"/>
              <w:rPr>
                <w:rFonts w:ascii="Times New Roman" w:eastAsia="宋体" w:hAnsi="Times New Roman" w:cs="Times New Roman"/>
                <w:color w:val="000000"/>
                <w:kern w:val="0"/>
                <w:sz w:val="18"/>
                <w:szCs w:val="18"/>
                <w:lang w:bidi="ar"/>
              </w:rPr>
            </w:pPr>
          </w:p>
        </w:tc>
        <w:tc>
          <w:tcPr>
            <w:tcW w:w="2007" w:type="dxa"/>
            <w:gridSpan w:val="2"/>
            <w:vAlign w:val="center"/>
          </w:tcPr>
          <w:p w14:paraId="3EE2D8CF"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疾病分期</w:t>
            </w:r>
          </w:p>
        </w:tc>
        <w:tc>
          <w:tcPr>
            <w:tcW w:w="1757" w:type="dxa"/>
            <w:gridSpan w:val="2"/>
            <w:vAlign w:val="center"/>
          </w:tcPr>
          <w:p w14:paraId="1FA464D4"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否</w:t>
            </w:r>
          </w:p>
        </w:tc>
        <w:tc>
          <w:tcPr>
            <w:tcW w:w="2648" w:type="dxa"/>
            <w:gridSpan w:val="2"/>
            <w:vAlign w:val="center"/>
          </w:tcPr>
          <w:p w14:paraId="00BCD483"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不涉及</w:t>
            </w:r>
          </w:p>
        </w:tc>
      </w:tr>
      <w:tr w:rsidR="00561395" w14:paraId="6F35D3F8" w14:textId="77777777">
        <w:trPr>
          <w:trHeight w:val="505"/>
          <w:jc w:val="center"/>
        </w:trPr>
        <w:tc>
          <w:tcPr>
            <w:tcW w:w="1825" w:type="dxa"/>
            <w:vMerge/>
            <w:vAlign w:val="center"/>
          </w:tcPr>
          <w:p w14:paraId="6C7A641A" w14:textId="77777777" w:rsidR="00561395" w:rsidRDefault="00561395">
            <w:pPr>
              <w:widowControl/>
              <w:jc w:val="left"/>
              <w:textAlignment w:val="center"/>
              <w:rPr>
                <w:rFonts w:ascii="Times New Roman" w:eastAsia="宋体" w:hAnsi="Times New Roman" w:cs="Times New Roman"/>
                <w:color w:val="000000"/>
                <w:kern w:val="0"/>
                <w:sz w:val="18"/>
                <w:szCs w:val="18"/>
                <w:lang w:bidi="ar"/>
              </w:rPr>
            </w:pPr>
          </w:p>
        </w:tc>
        <w:tc>
          <w:tcPr>
            <w:tcW w:w="2007" w:type="dxa"/>
            <w:gridSpan w:val="2"/>
            <w:vAlign w:val="center"/>
          </w:tcPr>
          <w:p w14:paraId="2E5F3B39"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鉴别诊断</w:t>
            </w:r>
          </w:p>
        </w:tc>
        <w:tc>
          <w:tcPr>
            <w:tcW w:w="1757" w:type="dxa"/>
            <w:gridSpan w:val="2"/>
            <w:vAlign w:val="center"/>
          </w:tcPr>
          <w:p w14:paraId="166FC443"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是</w:t>
            </w:r>
          </w:p>
        </w:tc>
        <w:tc>
          <w:tcPr>
            <w:tcW w:w="2648" w:type="dxa"/>
            <w:gridSpan w:val="2"/>
            <w:vAlign w:val="center"/>
          </w:tcPr>
          <w:p w14:paraId="58C90DEA"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临床实践指南</w:t>
            </w:r>
            <w:r>
              <w:rPr>
                <w:rFonts w:ascii="Times New Roman" w:eastAsia="宋体" w:hAnsi="Times New Roman" w:cs="Times New Roman" w:hint="eastAsia"/>
                <w:color w:val="000000"/>
                <w:kern w:val="0"/>
                <w:sz w:val="18"/>
                <w:szCs w:val="18"/>
                <w:lang w:bidi="ar"/>
              </w:rPr>
              <w:t>1</w:t>
            </w:r>
            <w:r>
              <w:rPr>
                <w:rFonts w:ascii="Times New Roman" w:eastAsia="宋体" w:hAnsi="Times New Roman" w:cs="Times New Roman" w:hint="eastAsia"/>
                <w:color w:val="000000"/>
                <w:kern w:val="0"/>
                <w:sz w:val="18"/>
                <w:szCs w:val="18"/>
                <w:lang w:bidi="ar"/>
              </w:rPr>
              <w:t>篇</w:t>
            </w:r>
          </w:p>
          <w:p w14:paraId="3427A01A"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现代书籍文献</w:t>
            </w:r>
            <w:r>
              <w:rPr>
                <w:rFonts w:ascii="Times New Roman" w:eastAsia="宋体" w:hAnsi="Times New Roman" w:cs="Times New Roman" w:hint="eastAsia"/>
                <w:color w:val="000000"/>
                <w:kern w:val="0"/>
                <w:sz w:val="18"/>
                <w:szCs w:val="18"/>
                <w:lang w:bidi="ar"/>
              </w:rPr>
              <w:t>2</w:t>
            </w:r>
            <w:r>
              <w:rPr>
                <w:rFonts w:ascii="Times New Roman" w:eastAsia="宋体" w:hAnsi="Times New Roman" w:cs="Times New Roman" w:hint="eastAsia"/>
                <w:color w:val="000000"/>
                <w:kern w:val="0"/>
                <w:sz w:val="18"/>
                <w:szCs w:val="18"/>
                <w:lang w:bidi="ar"/>
              </w:rPr>
              <w:t>篇</w:t>
            </w:r>
          </w:p>
        </w:tc>
      </w:tr>
      <w:tr w:rsidR="00561395" w14:paraId="778B375B" w14:textId="77777777">
        <w:trPr>
          <w:trHeight w:val="754"/>
          <w:jc w:val="center"/>
        </w:trPr>
        <w:tc>
          <w:tcPr>
            <w:tcW w:w="1825" w:type="dxa"/>
            <w:vMerge w:val="restart"/>
            <w:vAlign w:val="center"/>
          </w:tcPr>
          <w:p w14:paraId="7F11B8B7"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证候分类及诊断</w:t>
            </w:r>
          </w:p>
        </w:tc>
        <w:tc>
          <w:tcPr>
            <w:tcW w:w="2007" w:type="dxa"/>
            <w:gridSpan w:val="2"/>
            <w:vAlign w:val="center"/>
          </w:tcPr>
          <w:p w14:paraId="65E84CC6"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证候分类</w:t>
            </w:r>
          </w:p>
        </w:tc>
        <w:tc>
          <w:tcPr>
            <w:tcW w:w="1757" w:type="dxa"/>
            <w:gridSpan w:val="2"/>
            <w:vAlign w:val="center"/>
          </w:tcPr>
          <w:p w14:paraId="1BD6315B"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是</w:t>
            </w:r>
          </w:p>
        </w:tc>
        <w:tc>
          <w:tcPr>
            <w:tcW w:w="2648" w:type="dxa"/>
            <w:gridSpan w:val="2"/>
            <w:vAlign w:val="center"/>
          </w:tcPr>
          <w:p w14:paraId="03303958"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临床实践指南</w:t>
            </w:r>
            <w:r>
              <w:rPr>
                <w:rFonts w:ascii="Times New Roman" w:eastAsia="宋体" w:hAnsi="Times New Roman" w:cs="Times New Roman" w:hint="eastAsia"/>
                <w:color w:val="000000"/>
                <w:kern w:val="0"/>
                <w:sz w:val="18"/>
                <w:szCs w:val="18"/>
                <w:lang w:bidi="ar"/>
              </w:rPr>
              <w:t>3</w:t>
            </w:r>
            <w:r>
              <w:rPr>
                <w:rFonts w:ascii="Times New Roman" w:eastAsia="宋体" w:hAnsi="Times New Roman" w:cs="Times New Roman" w:hint="eastAsia"/>
                <w:color w:val="000000"/>
                <w:kern w:val="0"/>
                <w:sz w:val="18"/>
                <w:szCs w:val="18"/>
                <w:lang w:bidi="ar"/>
              </w:rPr>
              <w:t>篇</w:t>
            </w:r>
          </w:p>
          <w:p w14:paraId="6C148ACE"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现代书籍文献</w:t>
            </w:r>
            <w:r>
              <w:rPr>
                <w:rFonts w:ascii="Times New Roman" w:eastAsia="宋体" w:hAnsi="Times New Roman" w:cs="Times New Roman" w:hint="eastAsia"/>
                <w:color w:val="000000"/>
                <w:kern w:val="0"/>
                <w:sz w:val="18"/>
                <w:szCs w:val="18"/>
                <w:lang w:bidi="ar"/>
              </w:rPr>
              <w:t>5</w:t>
            </w:r>
            <w:r>
              <w:rPr>
                <w:rFonts w:ascii="Times New Roman" w:eastAsia="宋体" w:hAnsi="Times New Roman" w:cs="Times New Roman" w:hint="eastAsia"/>
                <w:color w:val="000000"/>
                <w:kern w:val="0"/>
                <w:sz w:val="18"/>
                <w:szCs w:val="18"/>
                <w:lang w:bidi="ar"/>
              </w:rPr>
              <w:t>篇</w:t>
            </w:r>
          </w:p>
          <w:p w14:paraId="6B1DF6A0"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临床研究</w:t>
            </w:r>
            <w:r>
              <w:rPr>
                <w:rFonts w:ascii="Times New Roman" w:eastAsia="宋体" w:hAnsi="Times New Roman" w:cs="Times New Roman" w:hint="eastAsia"/>
                <w:color w:val="000000"/>
                <w:kern w:val="0"/>
                <w:sz w:val="18"/>
                <w:szCs w:val="18"/>
                <w:lang w:bidi="ar"/>
              </w:rPr>
              <w:t>30</w:t>
            </w:r>
            <w:r>
              <w:rPr>
                <w:rFonts w:ascii="Times New Roman" w:eastAsia="宋体" w:hAnsi="Times New Roman" w:cs="Times New Roman" w:hint="eastAsia"/>
                <w:color w:val="000000"/>
                <w:kern w:val="0"/>
                <w:sz w:val="18"/>
                <w:szCs w:val="18"/>
                <w:lang w:bidi="ar"/>
              </w:rPr>
              <w:t>篇</w:t>
            </w:r>
          </w:p>
        </w:tc>
      </w:tr>
      <w:tr w:rsidR="00561395" w14:paraId="072A2532" w14:textId="77777777">
        <w:trPr>
          <w:trHeight w:val="754"/>
          <w:jc w:val="center"/>
        </w:trPr>
        <w:tc>
          <w:tcPr>
            <w:tcW w:w="1825" w:type="dxa"/>
            <w:vMerge/>
            <w:vAlign w:val="center"/>
          </w:tcPr>
          <w:p w14:paraId="32D7992B" w14:textId="77777777" w:rsidR="00561395" w:rsidRDefault="00561395">
            <w:pPr>
              <w:widowControl/>
              <w:jc w:val="left"/>
              <w:textAlignment w:val="center"/>
              <w:rPr>
                <w:rFonts w:ascii="Times New Roman" w:eastAsia="宋体" w:hAnsi="Times New Roman" w:cs="Times New Roman"/>
                <w:color w:val="000000"/>
                <w:kern w:val="0"/>
                <w:sz w:val="18"/>
                <w:szCs w:val="18"/>
                <w:lang w:bidi="ar"/>
              </w:rPr>
            </w:pPr>
          </w:p>
        </w:tc>
        <w:tc>
          <w:tcPr>
            <w:tcW w:w="2007" w:type="dxa"/>
            <w:gridSpan w:val="2"/>
            <w:vAlign w:val="center"/>
          </w:tcPr>
          <w:p w14:paraId="141BCAE2"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证候诊断</w:t>
            </w:r>
          </w:p>
          <w:p w14:paraId="094305CA"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（包含</w:t>
            </w:r>
            <w:r>
              <w:rPr>
                <w:rFonts w:ascii="Times New Roman" w:eastAsia="宋体" w:hAnsi="Times New Roman" w:cs="Times New Roman" w:hint="eastAsia"/>
                <w:color w:val="000000"/>
                <w:kern w:val="0"/>
                <w:sz w:val="18"/>
                <w:szCs w:val="18"/>
                <w:lang w:bidi="ar"/>
              </w:rPr>
              <w:t>5</w:t>
            </w:r>
            <w:r>
              <w:rPr>
                <w:rFonts w:ascii="Times New Roman" w:eastAsia="宋体" w:hAnsi="Times New Roman" w:cs="Times New Roman" w:hint="eastAsia"/>
                <w:color w:val="000000"/>
                <w:kern w:val="0"/>
                <w:sz w:val="18"/>
                <w:szCs w:val="18"/>
                <w:lang w:bidi="ar"/>
              </w:rPr>
              <w:t>条核心技术要素）</w:t>
            </w:r>
          </w:p>
        </w:tc>
        <w:tc>
          <w:tcPr>
            <w:tcW w:w="1757" w:type="dxa"/>
            <w:gridSpan w:val="2"/>
            <w:vAlign w:val="center"/>
          </w:tcPr>
          <w:p w14:paraId="6B41C702"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是</w:t>
            </w:r>
          </w:p>
        </w:tc>
        <w:tc>
          <w:tcPr>
            <w:tcW w:w="2648" w:type="dxa"/>
            <w:gridSpan w:val="2"/>
            <w:vAlign w:val="center"/>
          </w:tcPr>
          <w:p w14:paraId="557C9382"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临床实践指南</w:t>
            </w:r>
            <w:r>
              <w:rPr>
                <w:rFonts w:ascii="Times New Roman" w:eastAsia="宋体" w:hAnsi="Times New Roman" w:cs="Times New Roman" w:hint="eastAsia"/>
                <w:color w:val="000000"/>
                <w:kern w:val="0"/>
                <w:sz w:val="18"/>
                <w:szCs w:val="18"/>
                <w:lang w:bidi="ar"/>
              </w:rPr>
              <w:t>3</w:t>
            </w:r>
            <w:r>
              <w:rPr>
                <w:rFonts w:ascii="Times New Roman" w:eastAsia="宋体" w:hAnsi="Times New Roman" w:cs="Times New Roman" w:hint="eastAsia"/>
                <w:color w:val="000000"/>
                <w:kern w:val="0"/>
                <w:sz w:val="18"/>
                <w:szCs w:val="18"/>
                <w:lang w:bidi="ar"/>
              </w:rPr>
              <w:t>篇</w:t>
            </w:r>
          </w:p>
          <w:p w14:paraId="2733BEC4"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现代书籍文献</w:t>
            </w:r>
            <w:r>
              <w:rPr>
                <w:rFonts w:ascii="Times New Roman" w:eastAsia="宋体" w:hAnsi="Times New Roman" w:cs="Times New Roman" w:hint="eastAsia"/>
                <w:color w:val="000000"/>
                <w:kern w:val="0"/>
                <w:sz w:val="18"/>
                <w:szCs w:val="18"/>
                <w:lang w:bidi="ar"/>
              </w:rPr>
              <w:t>5</w:t>
            </w:r>
            <w:r>
              <w:rPr>
                <w:rFonts w:ascii="Times New Roman" w:eastAsia="宋体" w:hAnsi="Times New Roman" w:cs="Times New Roman" w:hint="eastAsia"/>
                <w:color w:val="000000"/>
                <w:kern w:val="0"/>
                <w:sz w:val="18"/>
                <w:szCs w:val="18"/>
                <w:lang w:bidi="ar"/>
              </w:rPr>
              <w:t>篇</w:t>
            </w:r>
          </w:p>
        </w:tc>
      </w:tr>
      <w:tr w:rsidR="00561395" w14:paraId="57EC2B1B" w14:textId="77777777">
        <w:trPr>
          <w:trHeight w:val="762"/>
          <w:jc w:val="center"/>
        </w:trPr>
        <w:tc>
          <w:tcPr>
            <w:tcW w:w="3832" w:type="dxa"/>
            <w:gridSpan w:val="3"/>
            <w:vAlign w:val="center"/>
          </w:tcPr>
          <w:p w14:paraId="76E1A748"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疗效评价</w:t>
            </w:r>
          </w:p>
        </w:tc>
        <w:tc>
          <w:tcPr>
            <w:tcW w:w="1757" w:type="dxa"/>
            <w:gridSpan w:val="2"/>
            <w:vAlign w:val="center"/>
          </w:tcPr>
          <w:p w14:paraId="49DB773B"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是</w:t>
            </w:r>
          </w:p>
        </w:tc>
        <w:tc>
          <w:tcPr>
            <w:tcW w:w="2648" w:type="dxa"/>
            <w:gridSpan w:val="2"/>
            <w:vAlign w:val="center"/>
          </w:tcPr>
          <w:p w14:paraId="0379F8DD"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临床研究</w:t>
            </w:r>
            <w:r>
              <w:rPr>
                <w:rFonts w:ascii="Times New Roman" w:eastAsia="宋体" w:hAnsi="Times New Roman" w:cs="Times New Roman" w:hint="eastAsia"/>
                <w:color w:val="000000"/>
                <w:kern w:val="0"/>
                <w:sz w:val="18"/>
                <w:szCs w:val="18"/>
                <w:lang w:bidi="ar"/>
              </w:rPr>
              <w:t>53</w:t>
            </w:r>
            <w:r>
              <w:rPr>
                <w:rFonts w:ascii="Times New Roman" w:eastAsia="宋体" w:hAnsi="Times New Roman" w:cs="Times New Roman" w:hint="eastAsia"/>
                <w:color w:val="000000"/>
                <w:kern w:val="0"/>
                <w:sz w:val="18"/>
                <w:szCs w:val="18"/>
                <w:lang w:bidi="ar"/>
              </w:rPr>
              <w:t>篇</w:t>
            </w:r>
          </w:p>
          <w:p w14:paraId="794CF55F"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临床实践指南</w:t>
            </w:r>
            <w:r>
              <w:rPr>
                <w:rFonts w:ascii="Times New Roman" w:eastAsia="宋体" w:hAnsi="Times New Roman" w:cs="Times New Roman" w:hint="eastAsia"/>
                <w:color w:val="000000"/>
                <w:kern w:val="0"/>
                <w:sz w:val="18"/>
                <w:szCs w:val="18"/>
                <w:lang w:bidi="ar"/>
              </w:rPr>
              <w:t>2</w:t>
            </w:r>
            <w:r>
              <w:rPr>
                <w:rFonts w:ascii="Times New Roman" w:eastAsia="宋体" w:hAnsi="Times New Roman" w:cs="Times New Roman" w:hint="eastAsia"/>
                <w:color w:val="000000"/>
                <w:kern w:val="0"/>
                <w:sz w:val="18"/>
                <w:szCs w:val="18"/>
                <w:lang w:bidi="ar"/>
              </w:rPr>
              <w:t>篇</w:t>
            </w:r>
          </w:p>
          <w:p w14:paraId="186E3B78" w14:textId="77777777" w:rsidR="00561395"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现代书籍文献</w:t>
            </w:r>
            <w:r>
              <w:rPr>
                <w:rFonts w:ascii="Times New Roman" w:eastAsia="宋体" w:hAnsi="Times New Roman" w:cs="Times New Roman" w:hint="eastAsia"/>
                <w:color w:val="000000"/>
                <w:kern w:val="0"/>
                <w:sz w:val="18"/>
                <w:szCs w:val="18"/>
                <w:lang w:bidi="ar"/>
              </w:rPr>
              <w:t>1</w:t>
            </w:r>
            <w:r>
              <w:rPr>
                <w:rFonts w:ascii="Times New Roman" w:eastAsia="宋体" w:hAnsi="Times New Roman" w:cs="Times New Roman" w:hint="eastAsia"/>
                <w:color w:val="000000"/>
                <w:kern w:val="0"/>
                <w:sz w:val="18"/>
                <w:szCs w:val="18"/>
                <w:lang w:bidi="ar"/>
              </w:rPr>
              <w:t>篇</w:t>
            </w:r>
          </w:p>
        </w:tc>
      </w:tr>
    </w:tbl>
    <w:p w14:paraId="1A3E93B6" w14:textId="77777777" w:rsidR="00561395" w:rsidRDefault="00561395">
      <w:pPr>
        <w:pStyle w:val="Default"/>
        <w:spacing w:line="600" w:lineRule="exact"/>
        <w:contextualSpacing/>
        <w:jc w:val="both"/>
        <w:rPr>
          <w:rFonts w:ascii="仿宋_GB2312" w:eastAsia="仿宋_GB2312" w:hAnsiTheme="minorEastAsia"/>
          <w:b/>
          <w:bCs/>
          <w:sz w:val="32"/>
          <w:szCs w:val="32"/>
        </w:rPr>
      </w:pPr>
    </w:p>
    <w:p w14:paraId="6DB56BFB" w14:textId="77777777" w:rsidR="00561395" w:rsidRDefault="00000000">
      <w:pPr>
        <w:tabs>
          <w:tab w:val="left" w:pos="312"/>
        </w:tabs>
        <w:spacing w:beforeLines="50" w:before="156" w:afterLines="50" w:after="156" w:line="360" w:lineRule="auto"/>
        <w:ind w:firstLineChars="200" w:firstLine="643"/>
        <w:rPr>
          <w:rFonts w:ascii="仿宋_GB2312" w:eastAsia="仿宋_GB2312" w:hAnsiTheme="minorEastAsia"/>
          <w:b/>
          <w:bCs/>
          <w:sz w:val="32"/>
          <w:szCs w:val="32"/>
        </w:rPr>
      </w:pPr>
      <w:r>
        <w:rPr>
          <w:rFonts w:ascii="仿宋_GB2312" w:eastAsia="仿宋_GB2312" w:hAnsiTheme="minorEastAsia" w:hint="eastAsia"/>
          <w:b/>
          <w:bCs/>
          <w:sz w:val="32"/>
          <w:szCs w:val="32"/>
        </w:rPr>
        <w:t>5.</w:t>
      </w:r>
      <w:r>
        <w:rPr>
          <w:rFonts w:ascii="仿宋_GB2312" w:eastAsia="仿宋_GB2312" w:hAnsiTheme="minorEastAsia"/>
          <w:b/>
          <w:bCs/>
          <w:sz w:val="32"/>
          <w:szCs w:val="32"/>
        </w:rPr>
        <w:t>德尔菲法实现共识过程</w:t>
      </w:r>
    </w:p>
    <w:p w14:paraId="63FC653B" w14:textId="77777777" w:rsidR="00561395" w:rsidRDefault="00000000">
      <w:pPr>
        <w:pStyle w:val="Default"/>
        <w:spacing w:line="600" w:lineRule="exact"/>
        <w:ind w:firstLineChars="200" w:firstLine="640"/>
        <w:contextualSpacing/>
        <w:jc w:val="both"/>
        <w:rPr>
          <w:rFonts w:ascii="仿宋_GB2312" w:eastAsia="仿宋_GB2312"/>
          <w:sz w:val="32"/>
          <w:szCs w:val="32"/>
        </w:rPr>
      </w:pPr>
      <w:r>
        <w:rPr>
          <w:rFonts w:ascii="仿宋_GB2312" w:eastAsia="仿宋_GB2312" w:hint="eastAsia"/>
          <w:sz w:val="32"/>
          <w:szCs w:val="32"/>
        </w:rPr>
        <w:t>根据文献的检索与筛选、证据的合成及评价，制作调查问卷。本标准通过德尔菲法共识问卷调研结合共识会议法达成标准的共识内容。</w:t>
      </w:r>
    </w:p>
    <w:p w14:paraId="64C47BBF" w14:textId="77777777" w:rsidR="00561395" w:rsidRDefault="00000000">
      <w:pPr>
        <w:pStyle w:val="Default"/>
        <w:spacing w:line="600" w:lineRule="exact"/>
        <w:ind w:firstLineChars="200" w:firstLine="640"/>
        <w:contextualSpacing/>
        <w:jc w:val="both"/>
        <w:rPr>
          <w:rFonts w:ascii="仿宋_GB2312" w:eastAsia="仿宋_GB2312"/>
          <w:sz w:val="32"/>
          <w:szCs w:val="32"/>
        </w:rPr>
      </w:pPr>
      <w:r>
        <w:rPr>
          <w:rFonts w:ascii="仿宋_GB2312" w:eastAsia="仿宋_GB2312"/>
          <w:sz w:val="32"/>
          <w:szCs w:val="32"/>
        </w:rPr>
        <w:t>本调查</w:t>
      </w:r>
      <w:r>
        <w:rPr>
          <w:rFonts w:ascii="仿宋_GB2312" w:eastAsia="仿宋_GB2312" w:hint="eastAsia"/>
          <w:sz w:val="32"/>
          <w:szCs w:val="32"/>
        </w:rPr>
        <w:t>共进行3轮专家问卷，第1轮开放式调查共咨询专家40名，其中主任医师34人，副主任医师6人，工作单位所在地域覆盖东北、华北等地区的16个省，调查具有较好的专业权威性及地域代表性。调查问卷共发放40份，回收40份，回收率为100%，说明专家积极性较高，对调查问题较为关注。Cr值为0.93，说明专家权威性较好。问卷的Cronbach.α系数值为0.89＞0.80，累积方差贡献率为85.90%＞70%，说明问卷的信度效果和结构效度都较好，问卷有较高的可靠性和有效性。按照M≥3.5分，CV＜0.3且K≥70%者为共识条目，M＜3分、CV≥0.4或K＜50%者为未共识条目的划分原则。在42个调查条目中，共有5个条目达成共识，28个条目未共识作剔除处理。</w:t>
      </w:r>
    </w:p>
    <w:p w14:paraId="60CC3D21" w14:textId="77777777" w:rsidR="00561395" w:rsidRDefault="00000000">
      <w:pPr>
        <w:pStyle w:val="Default"/>
        <w:spacing w:line="600" w:lineRule="exact"/>
        <w:ind w:firstLineChars="200" w:firstLine="640"/>
        <w:contextualSpacing/>
        <w:jc w:val="both"/>
        <w:rPr>
          <w:rFonts w:ascii="仿宋_GB2312" w:eastAsia="仿宋_GB2312"/>
          <w:sz w:val="32"/>
          <w:szCs w:val="32"/>
        </w:rPr>
      </w:pPr>
      <w:r>
        <w:rPr>
          <w:rFonts w:ascii="仿宋_GB2312" w:eastAsia="仿宋_GB2312" w:hint="eastAsia"/>
          <w:sz w:val="32"/>
          <w:szCs w:val="32"/>
        </w:rPr>
        <w:t>第2轮</w:t>
      </w:r>
      <w:r>
        <w:rPr>
          <w:rFonts w:ascii="仿宋_GB2312" w:eastAsia="仿宋_GB2312"/>
          <w:sz w:val="32"/>
          <w:szCs w:val="32"/>
        </w:rPr>
        <w:t>调查问卷共咨询专家25名，</w:t>
      </w:r>
      <w:r>
        <w:rPr>
          <w:rFonts w:ascii="仿宋_GB2312" w:eastAsia="仿宋_GB2312" w:hint="eastAsia"/>
          <w:sz w:val="32"/>
          <w:szCs w:val="32"/>
        </w:rPr>
        <w:t>其中</w:t>
      </w:r>
      <w:r>
        <w:rPr>
          <w:rFonts w:ascii="仿宋_GB2312" w:eastAsia="仿宋_GB2312"/>
          <w:sz w:val="32"/>
          <w:szCs w:val="32"/>
        </w:rPr>
        <w:t>主任医师23人，副主任医师2人</w:t>
      </w:r>
      <w:r>
        <w:rPr>
          <w:rFonts w:ascii="仿宋_GB2312" w:eastAsia="仿宋_GB2312" w:hint="eastAsia"/>
          <w:sz w:val="32"/>
          <w:szCs w:val="32"/>
        </w:rPr>
        <w:t>，</w:t>
      </w:r>
      <w:r>
        <w:rPr>
          <w:rFonts w:ascii="仿宋_GB2312" w:eastAsia="仿宋_GB2312"/>
          <w:sz w:val="32"/>
          <w:szCs w:val="32"/>
        </w:rPr>
        <w:t>工作单位所在地域覆盖东北、华北等地区的12个省，调查具有较好的专业权威性及地域代表性。调查问卷共发放25份，回收25份，回收率为100%，说明专家积极性较高，对调查问题较为关注。Cr值为0.96，说明专家权威性较好。问卷的Cronbach.</w:t>
      </w:r>
      <w:r>
        <w:rPr>
          <w:rFonts w:ascii="仿宋_GB2312" w:eastAsia="仿宋_GB2312"/>
          <w:sz w:val="32"/>
          <w:szCs w:val="32"/>
        </w:rPr>
        <w:t>α</w:t>
      </w:r>
      <w:r>
        <w:rPr>
          <w:rFonts w:ascii="仿宋_GB2312" w:eastAsia="仿宋_GB2312"/>
          <w:sz w:val="32"/>
          <w:szCs w:val="32"/>
        </w:rPr>
        <w:t>系数值为0.85＞0.80，累积方差贡献率为85.30%＞70%，说明问卷的信度效果和结构效度都较好，问卷有较高的可靠性和有效性。按照M</w:t>
      </w:r>
      <w:r>
        <w:rPr>
          <w:rFonts w:ascii="仿宋_GB2312" w:eastAsia="仿宋_GB2312"/>
          <w:sz w:val="32"/>
          <w:szCs w:val="32"/>
        </w:rPr>
        <w:t>≥</w:t>
      </w:r>
      <w:r>
        <w:rPr>
          <w:rFonts w:ascii="仿宋_GB2312" w:eastAsia="仿宋_GB2312"/>
          <w:sz w:val="32"/>
          <w:szCs w:val="32"/>
        </w:rPr>
        <w:t>3.5分，CV＜0.3且K</w:t>
      </w:r>
      <w:r>
        <w:rPr>
          <w:rFonts w:ascii="仿宋_GB2312" w:eastAsia="仿宋_GB2312"/>
          <w:sz w:val="32"/>
          <w:szCs w:val="32"/>
        </w:rPr>
        <w:t>≥</w:t>
      </w:r>
      <w:r>
        <w:rPr>
          <w:rFonts w:ascii="仿宋_GB2312" w:eastAsia="仿宋_GB2312"/>
          <w:sz w:val="32"/>
          <w:szCs w:val="32"/>
        </w:rPr>
        <w:t>70%</w:t>
      </w:r>
      <w:r>
        <w:rPr>
          <w:rFonts w:ascii="仿宋_GB2312" w:eastAsia="仿宋_GB2312"/>
          <w:sz w:val="32"/>
          <w:szCs w:val="32"/>
        </w:rPr>
        <w:lastRenderedPageBreak/>
        <w:t>者为共识条目，M＜3分、CV</w:t>
      </w:r>
      <w:r>
        <w:rPr>
          <w:rFonts w:ascii="仿宋_GB2312" w:eastAsia="仿宋_GB2312"/>
          <w:sz w:val="32"/>
          <w:szCs w:val="32"/>
        </w:rPr>
        <w:t>≥</w:t>
      </w:r>
      <w:r>
        <w:rPr>
          <w:rFonts w:ascii="仿宋_GB2312" w:eastAsia="仿宋_GB2312"/>
          <w:sz w:val="32"/>
          <w:szCs w:val="32"/>
        </w:rPr>
        <w:t>0.4或K＜50%者为未共识条目的划分原则。在42个调查条目中，共有5个条目达成共识，28个条目未共识作剔除处理。</w:t>
      </w:r>
    </w:p>
    <w:p w14:paraId="165206AA" w14:textId="77777777" w:rsidR="00561395" w:rsidRDefault="00000000">
      <w:pPr>
        <w:pStyle w:val="Default"/>
        <w:spacing w:line="600" w:lineRule="exact"/>
        <w:ind w:firstLineChars="200" w:firstLine="640"/>
        <w:contextualSpacing/>
        <w:jc w:val="both"/>
        <w:rPr>
          <w:rFonts w:ascii="仿宋_GB2312" w:eastAsia="仿宋_GB2312"/>
          <w:sz w:val="32"/>
          <w:szCs w:val="32"/>
        </w:rPr>
      </w:pPr>
      <w:r>
        <w:rPr>
          <w:rFonts w:ascii="仿宋_GB2312" w:eastAsia="仿宋_GB2312" w:hint="eastAsia"/>
          <w:sz w:val="32"/>
          <w:szCs w:val="32"/>
        </w:rPr>
        <w:t>第3轮</w:t>
      </w:r>
      <w:r>
        <w:rPr>
          <w:rFonts w:ascii="仿宋_GB2312" w:eastAsia="仿宋_GB2312"/>
          <w:sz w:val="32"/>
          <w:szCs w:val="32"/>
        </w:rPr>
        <w:t>共咨询专家26名，</w:t>
      </w:r>
      <w:r>
        <w:rPr>
          <w:rFonts w:ascii="仿宋_GB2312" w:eastAsia="仿宋_GB2312" w:hint="eastAsia"/>
          <w:sz w:val="32"/>
          <w:szCs w:val="32"/>
        </w:rPr>
        <w:t>其中</w:t>
      </w:r>
      <w:r>
        <w:rPr>
          <w:rFonts w:ascii="仿宋_GB2312" w:eastAsia="仿宋_GB2312"/>
          <w:sz w:val="32"/>
          <w:szCs w:val="32"/>
        </w:rPr>
        <w:t>主任医师25人，副主任医师1人</w:t>
      </w:r>
      <w:r>
        <w:rPr>
          <w:rFonts w:ascii="仿宋_GB2312" w:eastAsia="仿宋_GB2312" w:hint="eastAsia"/>
          <w:sz w:val="32"/>
          <w:szCs w:val="32"/>
        </w:rPr>
        <w:t>，工作单位所在地域覆盖东北、华北等地区的12个省和17个市，调查具有较好的专业权威性及地域代表性。</w:t>
      </w:r>
      <w:r>
        <w:rPr>
          <w:rFonts w:ascii="仿宋_GB2312" w:eastAsia="仿宋_GB2312"/>
          <w:sz w:val="32"/>
          <w:szCs w:val="32"/>
        </w:rPr>
        <w:t>调查问卷共发放30份，回收26份，回收率为86.67%，说明专家积极性较高，对调查问题较为关注。Cr值为0.91，说明专家权威性较好。问卷的Cronbach.</w:t>
      </w:r>
      <w:r>
        <w:rPr>
          <w:rFonts w:ascii="仿宋_GB2312" w:eastAsia="仿宋_GB2312"/>
          <w:sz w:val="32"/>
          <w:szCs w:val="32"/>
        </w:rPr>
        <w:t>α</w:t>
      </w:r>
      <w:r>
        <w:rPr>
          <w:rFonts w:ascii="仿宋_GB2312" w:eastAsia="仿宋_GB2312"/>
          <w:sz w:val="32"/>
          <w:szCs w:val="32"/>
        </w:rPr>
        <w:t>系数值为0.89＞0.80，累积方差贡献率为85.90%＞70%，说明问卷的信度效果和结构效度都较好，问卷有较高的可靠性和有效性。在42个调查条目中，共有5个条目达成共识，28个条目未共识作剔除处理。对问卷调查结果进行整理和分析，</w:t>
      </w:r>
      <w:r>
        <w:rPr>
          <w:rFonts w:ascii="仿宋_GB2312" w:eastAsia="仿宋_GB2312" w:hint="eastAsia"/>
          <w:sz w:val="32"/>
          <w:szCs w:val="32"/>
        </w:rPr>
        <w:t>汇总内容见表4</w:t>
      </w:r>
      <w:r>
        <w:rPr>
          <w:rFonts w:ascii="仿宋_GB2312" w:eastAsia="仿宋_GB2312"/>
          <w:sz w:val="32"/>
          <w:szCs w:val="32"/>
        </w:rPr>
        <w:t>，当专家的意见趋近一致，问卷调查结束</w:t>
      </w:r>
      <w:r>
        <w:rPr>
          <w:rFonts w:ascii="仿宋_GB2312" w:eastAsia="仿宋_GB2312" w:hint="eastAsia"/>
          <w:sz w:val="32"/>
          <w:szCs w:val="32"/>
        </w:rPr>
        <w:t>，</w:t>
      </w:r>
      <w:r>
        <w:rPr>
          <w:rFonts w:ascii="仿宋_GB2312" w:eastAsia="仿宋_GB2312"/>
          <w:sz w:val="32"/>
          <w:szCs w:val="32"/>
        </w:rPr>
        <w:t>详见附件10。</w:t>
      </w:r>
    </w:p>
    <w:p w14:paraId="63D65BE8" w14:textId="77777777" w:rsidR="00561395" w:rsidRDefault="00000000">
      <w:pPr>
        <w:jc w:val="center"/>
      </w:pPr>
      <w:r>
        <w:rPr>
          <w:rStyle w:val="fontstyle01"/>
          <w:rFonts w:ascii="黑体" w:eastAsia="黑体" w:hAnsi="黑体" w:cs="Times New Roman" w:hint="default"/>
          <w:color w:val="auto"/>
          <w:sz w:val="24"/>
        </w:rPr>
        <w:t>表</w:t>
      </w:r>
      <w:r>
        <w:rPr>
          <w:rStyle w:val="fontstyle01"/>
          <w:rFonts w:hAnsi="黑体" w:cs="Times New Roman" w:hint="default"/>
          <w:color w:val="auto"/>
          <w:sz w:val="24"/>
        </w:rPr>
        <w:t>4</w:t>
      </w:r>
      <w:r>
        <w:rPr>
          <w:rStyle w:val="fontstyle01"/>
          <w:rFonts w:ascii="黑体" w:eastAsia="黑体" w:hAnsi="黑体" w:cs="Times New Roman" w:hint="default"/>
          <w:color w:val="auto"/>
          <w:sz w:val="24"/>
        </w:rPr>
        <w:t xml:space="preserve">  专家问卷报告简表</w:t>
      </w:r>
    </w:p>
    <w:tbl>
      <w:tblPr>
        <w:tblW w:w="48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3"/>
        <w:gridCol w:w="4860"/>
        <w:gridCol w:w="666"/>
        <w:gridCol w:w="583"/>
        <w:gridCol w:w="659"/>
        <w:gridCol w:w="993"/>
      </w:tblGrid>
      <w:tr w:rsidR="00561395" w14:paraId="0E3A41A4" w14:textId="77777777">
        <w:trPr>
          <w:trHeight w:val="262"/>
          <w:jc w:val="center"/>
        </w:trPr>
        <w:tc>
          <w:tcPr>
            <w:tcW w:w="1447" w:type="dxa"/>
            <w:shd w:val="clear" w:color="auto" w:fill="auto"/>
            <w:vAlign w:val="center"/>
          </w:tcPr>
          <w:p w14:paraId="3190BD4E" w14:textId="77777777" w:rsidR="00561395" w:rsidRDefault="00000000">
            <w:pPr>
              <w:widowControl/>
              <w:jc w:val="center"/>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类别</w:t>
            </w:r>
          </w:p>
        </w:tc>
        <w:tc>
          <w:tcPr>
            <w:tcW w:w="4775" w:type="dxa"/>
            <w:shd w:val="clear" w:color="auto" w:fill="auto"/>
            <w:vAlign w:val="center"/>
          </w:tcPr>
          <w:p w14:paraId="18BB3400" w14:textId="77777777" w:rsidR="00561395" w:rsidRDefault="00000000">
            <w:pPr>
              <w:widowControl/>
              <w:jc w:val="center"/>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条目内容</w:t>
            </w:r>
          </w:p>
        </w:tc>
        <w:tc>
          <w:tcPr>
            <w:tcW w:w="654" w:type="dxa"/>
            <w:shd w:val="clear" w:color="auto" w:fill="auto"/>
            <w:vAlign w:val="center"/>
          </w:tcPr>
          <w:p w14:paraId="60C6B598" w14:textId="77777777" w:rsidR="00561395" w:rsidRDefault="00000000">
            <w:pPr>
              <w:widowControl/>
              <w:jc w:val="center"/>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M</w:t>
            </w:r>
          </w:p>
        </w:tc>
        <w:tc>
          <w:tcPr>
            <w:tcW w:w="573" w:type="dxa"/>
            <w:shd w:val="clear" w:color="auto" w:fill="auto"/>
            <w:vAlign w:val="center"/>
          </w:tcPr>
          <w:p w14:paraId="42318101" w14:textId="77777777" w:rsidR="00561395" w:rsidRDefault="00000000">
            <w:pPr>
              <w:widowControl/>
              <w:jc w:val="center"/>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CV</w:t>
            </w:r>
          </w:p>
        </w:tc>
        <w:tc>
          <w:tcPr>
            <w:tcW w:w="648" w:type="dxa"/>
            <w:shd w:val="clear" w:color="auto" w:fill="auto"/>
            <w:vAlign w:val="bottom"/>
          </w:tcPr>
          <w:p w14:paraId="002ED5B7" w14:textId="77777777" w:rsidR="00561395" w:rsidRDefault="00000000">
            <w:pPr>
              <w:widowControl/>
              <w:jc w:val="center"/>
              <w:textAlignment w:val="bottom"/>
              <w:rPr>
                <w:rFonts w:ascii="Times New Roman" w:eastAsia="宋体" w:hAnsi="Times New Roman" w:cs="Times New Roman"/>
                <w:b/>
                <w:bCs/>
                <w:kern w:val="0"/>
                <w:sz w:val="18"/>
                <w:szCs w:val="18"/>
                <w:lang w:bidi="ar"/>
              </w:rPr>
            </w:pPr>
            <w:r>
              <w:rPr>
                <w:rFonts w:ascii="Times New Roman" w:eastAsia="宋体" w:hAnsi="Times New Roman" w:cs="Times New Roman"/>
                <w:b/>
                <w:bCs/>
                <w:kern w:val="0"/>
                <w:sz w:val="18"/>
                <w:szCs w:val="18"/>
                <w:lang w:bidi="ar"/>
              </w:rPr>
              <w:t>K</w:t>
            </w:r>
          </w:p>
        </w:tc>
        <w:tc>
          <w:tcPr>
            <w:tcW w:w="976" w:type="dxa"/>
            <w:shd w:val="clear" w:color="auto" w:fill="auto"/>
            <w:vAlign w:val="center"/>
          </w:tcPr>
          <w:p w14:paraId="1FC9727F" w14:textId="77777777" w:rsidR="00561395" w:rsidRDefault="00000000">
            <w:pPr>
              <w:widowControl/>
              <w:jc w:val="center"/>
              <w:textAlignment w:val="center"/>
              <w:rPr>
                <w:rFonts w:ascii="Times New Roman" w:eastAsia="宋体" w:hAnsi="Times New Roman" w:cs="Times New Roman"/>
                <w:b/>
                <w:bCs/>
                <w:kern w:val="0"/>
                <w:sz w:val="18"/>
                <w:szCs w:val="18"/>
                <w:lang w:bidi="ar"/>
              </w:rPr>
            </w:pPr>
            <w:r>
              <w:rPr>
                <w:rFonts w:ascii="Times New Roman" w:eastAsia="宋体" w:hAnsi="Times New Roman" w:cs="Times New Roman"/>
                <w:b/>
                <w:bCs/>
                <w:kern w:val="0"/>
                <w:sz w:val="18"/>
                <w:szCs w:val="18"/>
                <w:lang w:bidi="ar"/>
              </w:rPr>
              <w:t>处理意见</w:t>
            </w:r>
          </w:p>
        </w:tc>
      </w:tr>
      <w:tr w:rsidR="00561395" w14:paraId="45752055" w14:textId="77777777">
        <w:trPr>
          <w:trHeight w:val="263"/>
          <w:jc w:val="center"/>
        </w:trPr>
        <w:tc>
          <w:tcPr>
            <w:tcW w:w="1447" w:type="dxa"/>
            <w:shd w:val="clear" w:color="auto" w:fill="auto"/>
            <w:vAlign w:val="center"/>
          </w:tcPr>
          <w:p w14:paraId="6BF4E7B9"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疾病定义</w:t>
            </w:r>
          </w:p>
        </w:tc>
        <w:tc>
          <w:tcPr>
            <w:tcW w:w="4775" w:type="dxa"/>
            <w:shd w:val="clear" w:color="auto" w:fill="auto"/>
            <w:vAlign w:val="center"/>
          </w:tcPr>
          <w:p w14:paraId="2D6A986C"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宋体" w:eastAsia="宋体" w:hAnsi="宋体" w:cs="宋体" w:hint="eastAsia"/>
                <w:color w:val="000000"/>
                <w:kern w:val="0"/>
                <w:sz w:val="18"/>
                <w:szCs w:val="18"/>
                <w:lang w:bidi="ar"/>
              </w:rPr>
              <w:t>“</w:t>
            </w:r>
            <w:r>
              <w:rPr>
                <w:rFonts w:ascii="Times New Roman" w:eastAsia="宋体" w:hAnsi="Times New Roman" w:cs="Times New Roman"/>
                <w:color w:val="000000"/>
                <w:kern w:val="0"/>
                <w:sz w:val="18"/>
                <w:szCs w:val="18"/>
                <w:lang w:bidi="ar"/>
              </w:rPr>
              <w:t>脑髓不充</w:t>
            </w:r>
            <w:r>
              <w:rPr>
                <w:rStyle w:val="font21"/>
                <w:rFonts w:ascii="宋体" w:eastAsia="宋体" w:hAnsi="宋体" w:cs="宋体" w:hint="eastAsia"/>
                <w:sz w:val="18"/>
                <w:szCs w:val="18"/>
                <w:lang w:bidi="ar"/>
              </w:rPr>
              <w:t>”</w:t>
            </w:r>
            <w:r>
              <w:rPr>
                <w:rFonts w:ascii="Times New Roman" w:eastAsia="宋体" w:hAnsi="Times New Roman" w:cs="Times New Roman"/>
                <w:color w:val="000000"/>
                <w:kern w:val="0"/>
                <w:sz w:val="18"/>
                <w:szCs w:val="18"/>
                <w:lang w:bidi="ar"/>
              </w:rPr>
              <w:t>修改为</w:t>
            </w:r>
            <w:r>
              <w:rPr>
                <w:rStyle w:val="font21"/>
                <w:rFonts w:ascii="宋体" w:eastAsia="宋体" w:hAnsi="宋体" w:cs="宋体" w:hint="eastAsia"/>
                <w:sz w:val="18"/>
                <w:szCs w:val="18"/>
                <w:lang w:bidi="ar"/>
              </w:rPr>
              <w:t>“</w:t>
            </w:r>
            <w:r>
              <w:rPr>
                <w:rFonts w:ascii="Times New Roman" w:eastAsia="宋体" w:hAnsi="Times New Roman" w:cs="Times New Roman"/>
                <w:color w:val="000000"/>
                <w:kern w:val="0"/>
                <w:sz w:val="18"/>
                <w:szCs w:val="18"/>
                <w:lang w:bidi="ar"/>
              </w:rPr>
              <w:t>髓海不充</w:t>
            </w:r>
            <w:r>
              <w:rPr>
                <w:rStyle w:val="font21"/>
                <w:rFonts w:ascii="宋体" w:eastAsia="宋体" w:hAnsi="宋体" w:cs="宋体" w:hint="eastAsia"/>
                <w:sz w:val="18"/>
                <w:szCs w:val="18"/>
                <w:lang w:bidi="ar"/>
              </w:rPr>
              <w:t>”</w:t>
            </w:r>
          </w:p>
        </w:tc>
        <w:tc>
          <w:tcPr>
            <w:tcW w:w="654" w:type="dxa"/>
            <w:shd w:val="clear" w:color="auto" w:fill="auto"/>
            <w:vAlign w:val="center"/>
          </w:tcPr>
          <w:p w14:paraId="6D663695"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3.38</w:t>
            </w:r>
          </w:p>
        </w:tc>
        <w:tc>
          <w:tcPr>
            <w:tcW w:w="573" w:type="dxa"/>
            <w:shd w:val="clear" w:color="auto" w:fill="auto"/>
            <w:vAlign w:val="center"/>
          </w:tcPr>
          <w:p w14:paraId="0548D9AF"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0.22 </w:t>
            </w:r>
          </w:p>
        </w:tc>
        <w:tc>
          <w:tcPr>
            <w:tcW w:w="648" w:type="dxa"/>
            <w:shd w:val="clear" w:color="auto" w:fill="auto"/>
            <w:vAlign w:val="bottom"/>
          </w:tcPr>
          <w:p w14:paraId="56D3C33F"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46%</w:t>
            </w:r>
          </w:p>
        </w:tc>
        <w:tc>
          <w:tcPr>
            <w:tcW w:w="976" w:type="dxa"/>
            <w:shd w:val="clear" w:color="auto" w:fill="auto"/>
            <w:vAlign w:val="center"/>
          </w:tcPr>
          <w:p w14:paraId="14F63C54"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400DFE85" w14:textId="77777777">
        <w:trPr>
          <w:trHeight w:val="263"/>
          <w:jc w:val="center"/>
        </w:trPr>
        <w:tc>
          <w:tcPr>
            <w:tcW w:w="1447" w:type="dxa"/>
            <w:vMerge w:val="restart"/>
            <w:shd w:val="clear" w:color="auto" w:fill="auto"/>
            <w:vAlign w:val="center"/>
          </w:tcPr>
          <w:p w14:paraId="39663119"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诊断依据</w:t>
            </w:r>
          </w:p>
        </w:tc>
        <w:tc>
          <w:tcPr>
            <w:tcW w:w="4775" w:type="dxa"/>
            <w:shd w:val="clear" w:color="auto" w:fill="auto"/>
            <w:vAlign w:val="center"/>
          </w:tcPr>
          <w:p w14:paraId="20766C38"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增加心彩超，右心声学检查</w:t>
            </w:r>
          </w:p>
        </w:tc>
        <w:tc>
          <w:tcPr>
            <w:tcW w:w="654" w:type="dxa"/>
            <w:shd w:val="clear" w:color="auto" w:fill="auto"/>
            <w:vAlign w:val="center"/>
          </w:tcPr>
          <w:p w14:paraId="7A22558A"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3.35</w:t>
            </w:r>
          </w:p>
        </w:tc>
        <w:tc>
          <w:tcPr>
            <w:tcW w:w="573" w:type="dxa"/>
            <w:shd w:val="clear" w:color="auto" w:fill="auto"/>
            <w:vAlign w:val="center"/>
          </w:tcPr>
          <w:p w14:paraId="12388DFD"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0.27 </w:t>
            </w:r>
          </w:p>
        </w:tc>
        <w:tc>
          <w:tcPr>
            <w:tcW w:w="648" w:type="dxa"/>
            <w:shd w:val="clear" w:color="auto" w:fill="auto"/>
            <w:vAlign w:val="bottom"/>
          </w:tcPr>
          <w:p w14:paraId="1EABEA52"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38%</w:t>
            </w:r>
          </w:p>
        </w:tc>
        <w:tc>
          <w:tcPr>
            <w:tcW w:w="976" w:type="dxa"/>
            <w:shd w:val="clear" w:color="auto" w:fill="auto"/>
            <w:vAlign w:val="center"/>
          </w:tcPr>
          <w:p w14:paraId="4449033C"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0721690D" w14:textId="77777777">
        <w:trPr>
          <w:trHeight w:val="263"/>
          <w:jc w:val="center"/>
        </w:trPr>
        <w:tc>
          <w:tcPr>
            <w:tcW w:w="1447" w:type="dxa"/>
            <w:vMerge/>
            <w:shd w:val="clear" w:color="auto" w:fill="auto"/>
            <w:vAlign w:val="center"/>
          </w:tcPr>
          <w:p w14:paraId="73EA1977"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76DFF2AC"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w:t>
            </w:r>
            <w:r>
              <w:rPr>
                <w:rFonts w:ascii="Times New Roman" w:eastAsia="宋体" w:hAnsi="Times New Roman" w:cs="Times New Roman"/>
                <w:color w:val="000000"/>
                <w:kern w:val="0"/>
                <w:sz w:val="18"/>
                <w:szCs w:val="18"/>
                <w:lang w:bidi="ar"/>
              </w:rPr>
              <w:t>增加眩晕与厥证鉴别</w:t>
            </w:r>
          </w:p>
        </w:tc>
        <w:tc>
          <w:tcPr>
            <w:tcW w:w="654" w:type="dxa"/>
            <w:shd w:val="clear" w:color="auto" w:fill="auto"/>
            <w:vAlign w:val="center"/>
          </w:tcPr>
          <w:p w14:paraId="086DA7D9"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3.42</w:t>
            </w:r>
          </w:p>
        </w:tc>
        <w:tc>
          <w:tcPr>
            <w:tcW w:w="573" w:type="dxa"/>
            <w:shd w:val="clear" w:color="auto" w:fill="auto"/>
            <w:vAlign w:val="center"/>
          </w:tcPr>
          <w:p w14:paraId="71CCF0F1"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0.28 </w:t>
            </w:r>
          </w:p>
        </w:tc>
        <w:tc>
          <w:tcPr>
            <w:tcW w:w="648" w:type="dxa"/>
            <w:shd w:val="clear" w:color="auto" w:fill="auto"/>
            <w:vAlign w:val="bottom"/>
          </w:tcPr>
          <w:p w14:paraId="5E4447D5"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46%</w:t>
            </w:r>
          </w:p>
        </w:tc>
        <w:tc>
          <w:tcPr>
            <w:tcW w:w="976" w:type="dxa"/>
            <w:shd w:val="clear" w:color="auto" w:fill="auto"/>
            <w:vAlign w:val="center"/>
          </w:tcPr>
          <w:p w14:paraId="7C84A100"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4A034AAA" w14:textId="77777777">
        <w:trPr>
          <w:trHeight w:val="263"/>
          <w:jc w:val="center"/>
        </w:trPr>
        <w:tc>
          <w:tcPr>
            <w:tcW w:w="1447" w:type="dxa"/>
            <w:vMerge/>
            <w:shd w:val="clear" w:color="auto" w:fill="auto"/>
            <w:vAlign w:val="center"/>
          </w:tcPr>
          <w:p w14:paraId="27C7C881"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3663B9DB"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w:t>
            </w:r>
            <w:r>
              <w:rPr>
                <w:rFonts w:ascii="Times New Roman" w:eastAsia="宋体" w:hAnsi="Times New Roman" w:cs="Times New Roman"/>
                <w:color w:val="000000"/>
                <w:kern w:val="0"/>
                <w:sz w:val="18"/>
                <w:szCs w:val="18"/>
                <w:lang w:bidi="ar"/>
              </w:rPr>
              <w:t>增加眩晕与中风鉴别</w:t>
            </w:r>
          </w:p>
        </w:tc>
        <w:tc>
          <w:tcPr>
            <w:tcW w:w="654" w:type="dxa"/>
            <w:shd w:val="clear" w:color="auto" w:fill="auto"/>
            <w:vAlign w:val="center"/>
          </w:tcPr>
          <w:p w14:paraId="2ADDDADB"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3.77</w:t>
            </w:r>
          </w:p>
        </w:tc>
        <w:tc>
          <w:tcPr>
            <w:tcW w:w="573" w:type="dxa"/>
            <w:shd w:val="clear" w:color="auto" w:fill="auto"/>
            <w:vAlign w:val="center"/>
          </w:tcPr>
          <w:p w14:paraId="1C21C44D"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0.22 </w:t>
            </w:r>
          </w:p>
        </w:tc>
        <w:tc>
          <w:tcPr>
            <w:tcW w:w="648" w:type="dxa"/>
            <w:shd w:val="clear" w:color="auto" w:fill="auto"/>
            <w:vAlign w:val="bottom"/>
          </w:tcPr>
          <w:p w14:paraId="56746F0D"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62%</w:t>
            </w:r>
          </w:p>
        </w:tc>
        <w:tc>
          <w:tcPr>
            <w:tcW w:w="976" w:type="dxa"/>
            <w:shd w:val="clear" w:color="auto" w:fill="auto"/>
            <w:vAlign w:val="center"/>
          </w:tcPr>
          <w:p w14:paraId="4BD51E96"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待共识</w:t>
            </w:r>
          </w:p>
        </w:tc>
      </w:tr>
      <w:tr w:rsidR="00561395" w14:paraId="280059EE" w14:textId="77777777">
        <w:trPr>
          <w:trHeight w:val="263"/>
          <w:jc w:val="center"/>
        </w:trPr>
        <w:tc>
          <w:tcPr>
            <w:tcW w:w="1447" w:type="dxa"/>
            <w:vMerge/>
            <w:shd w:val="clear" w:color="auto" w:fill="auto"/>
            <w:vAlign w:val="center"/>
          </w:tcPr>
          <w:p w14:paraId="7B54445B"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6ACF46C6"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w:t>
            </w:r>
            <w:r>
              <w:rPr>
                <w:rFonts w:ascii="Times New Roman" w:eastAsia="宋体" w:hAnsi="Times New Roman" w:cs="Times New Roman"/>
                <w:color w:val="000000"/>
                <w:kern w:val="0"/>
                <w:sz w:val="18"/>
                <w:szCs w:val="18"/>
                <w:lang w:bidi="ar"/>
              </w:rPr>
              <w:t>增加眩晕与痫证鉴别</w:t>
            </w:r>
          </w:p>
        </w:tc>
        <w:tc>
          <w:tcPr>
            <w:tcW w:w="654" w:type="dxa"/>
            <w:shd w:val="clear" w:color="auto" w:fill="auto"/>
            <w:vAlign w:val="center"/>
          </w:tcPr>
          <w:p w14:paraId="2CDB138A"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3.58</w:t>
            </w:r>
          </w:p>
        </w:tc>
        <w:tc>
          <w:tcPr>
            <w:tcW w:w="573" w:type="dxa"/>
            <w:shd w:val="clear" w:color="auto" w:fill="auto"/>
            <w:vAlign w:val="center"/>
          </w:tcPr>
          <w:p w14:paraId="6B89677A"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0.20 </w:t>
            </w:r>
          </w:p>
        </w:tc>
        <w:tc>
          <w:tcPr>
            <w:tcW w:w="648" w:type="dxa"/>
            <w:shd w:val="clear" w:color="auto" w:fill="auto"/>
            <w:vAlign w:val="bottom"/>
          </w:tcPr>
          <w:p w14:paraId="1153A511"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54%</w:t>
            </w:r>
          </w:p>
        </w:tc>
        <w:tc>
          <w:tcPr>
            <w:tcW w:w="976" w:type="dxa"/>
            <w:shd w:val="clear" w:color="auto" w:fill="auto"/>
            <w:vAlign w:val="center"/>
          </w:tcPr>
          <w:p w14:paraId="50F02676"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待共识</w:t>
            </w:r>
          </w:p>
        </w:tc>
      </w:tr>
      <w:tr w:rsidR="00561395" w14:paraId="2FDB30F3" w14:textId="77777777">
        <w:trPr>
          <w:trHeight w:val="263"/>
          <w:jc w:val="center"/>
        </w:trPr>
        <w:tc>
          <w:tcPr>
            <w:tcW w:w="1447" w:type="dxa"/>
            <w:vMerge w:val="restart"/>
            <w:shd w:val="clear" w:color="auto" w:fill="auto"/>
            <w:vAlign w:val="center"/>
          </w:tcPr>
          <w:p w14:paraId="3086C9DE"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证候分类</w:t>
            </w:r>
          </w:p>
        </w:tc>
        <w:tc>
          <w:tcPr>
            <w:tcW w:w="4775" w:type="dxa"/>
            <w:shd w:val="clear" w:color="auto" w:fill="auto"/>
            <w:vAlign w:val="center"/>
          </w:tcPr>
          <w:p w14:paraId="3DFB0B49"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增加肾精不足证</w:t>
            </w:r>
          </w:p>
        </w:tc>
        <w:tc>
          <w:tcPr>
            <w:tcW w:w="654" w:type="dxa"/>
            <w:shd w:val="clear" w:color="auto" w:fill="auto"/>
            <w:vAlign w:val="center"/>
          </w:tcPr>
          <w:p w14:paraId="62ECCDDA"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3.92</w:t>
            </w:r>
          </w:p>
        </w:tc>
        <w:tc>
          <w:tcPr>
            <w:tcW w:w="573" w:type="dxa"/>
            <w:shd w:val="clear" w:color="auto" w:fill="auto"/>
            <w:vAlign w:val="center"/>
          </w:tcPr>
          <w:p w14:paraId="31A21856"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0.26 </w:t>
            </w:r>
          </w:p>
        </w:tc>
        <w:tc>
          <w:tcPr>
            <w:tcW w:w="648" w:type="dxa"/>
            <w:shd w:val="clear" w:color="auto" w:fill="auto"/>
            <w:vAlign w:val="bottom"/>
          </w:tcPr>
          <w:p w14:paraId="328C638D"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85%</w:t>
            </w:r>
          </w:p>
        </w:tc>
        <w:tc>
          <w:tcPr>
            <w:tcW w:w="976" w:type="dxa"/>
            <w:shd w:val="clear" w:color="auto" w:fill="auto"/>
            <w:vAlign w:val="center"/>
          </w:tcPr>
          <w:p w14:paraId="4ED3D690"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达成共识</w:t>
            </w:r>
          </w:p>
        </w:tc>
      </w:tr>
      <w:tr w:rsidR="00561395" w14:paraId="7FF610AE" w14:textId="77777777">
        <w:trPr>
          <w:trHeight w:val="263"/>
          <w:jc w:val="center"/>
        </w:trPr>
        <w:tc>
          <w:tcPr>
            <w:tcW w:w="1447" w:type="dxa"/>
            <w:vMerge/>
            <w:shd w:val="clear" w:color="auto" w:fill="auto"/>
            <w:vAlign w:val="center"/>
          </w:tcPr>
          <w:p w14:paraId="06F19D91"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7E367B7E"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w:t>
            </w:r>
            <w:r>
              <w:rPr>
                <w:rFonts w:ascii="Times New Roman" w:eastAsia="宋体" w:hAnsi="Times New Roman" w:cs="Times New Roman"/>
                <w:color w:val="000000"/>
                <w:kern w:val="0"/>
                <w:sz w:val="18"/>
                <w:szCs w:val="18"/>
                <w:lang w:bidi="ar"/>
              </w:rPr>
              <w:t>增加痰瘀互结证</w:t>
            </w:r>
          </w:p>
        </w:tc>
        <w:tc>
          <w:tcPr>
            <w:tcW w:w="654" w:type="dxa"/>
            <w:shd w:val="clear" w:color="auto" w:fill="auto"/>
            <w:vAlign w:val="center"/>
          </w:tcPr>
          <w:p w14:paraId="0B2C9D58"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3.58</w:t>
            </w:r>
          </w:p>
        </w:tc>
        <w:tc>
          <w:tcPr>
            <w:tcW w:w="573" w:type="dxa"/>
            <w:shd w:val="clear" w:color="auto" w:fill="auto"/>
            <w:vAlign w:val="center"/>
          </w:tcPr>
          <w:p w14:paraId="499CE327"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0.25 </w:t>
            </w:r>
          </w:p>
        </w:tc>
        <w:tc>
          <w:tcPr>
            <w:tcW w:w="648" w:type="dxa"/>
            <w:shd w:val="clear" w:color="auto" w:fill="auto"/>
            <w:vAlign w:val="bottom"/>
          </w:tcPr>
          <w:p w14:paraId="22C33320"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58%</w:t>
            </w:r>
          </w:p>
        </w:tc>
        <w:tc>
          <w:tcPr>
            <w:tcW w:w="976" w:type="dxa"/>
            <w:shd w:val="clear" w:color="auto" w:fill="auto"/>
            <w:vAlign w:val="center"/>
          </w:tcPr>
          <w:p w14:paraId="358D11F1"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待共识</w:t>
            </w:r>
          </w:p>
        </w:tc>
      </w:tr>
      <w:tr w:rsidR="00561395" w14:paraId="1DEE0BA2" w14:textId="77777777">
        <w:trPr>
          <w:trHeight w:val="263"/>
          <w:jc w:val="center"/>
        </w:trPr>
        <w:tc>
          <w:tcPr>
            <w:tcW w:w="1447" w:type="dxa"/>
            <w:vMerge/>
            <w:shd w:val="clear" w:color="auto" w:fill="auto"/>
            <w:vAlign w:val="center"/>
          </w:tcPr>
          <w:p w14:paraId="1DEAE404"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573A2A38"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w:t>
            </w:r>
            <w:r>
              <w:rPr>
                <w:rFonts w:ascii="Times New Roman" w:eastAsia="宋体" w:hAnsi="Times New Roman" w:cs="Times New Roman"/>
                <w:color w:val="000000"/>
                <w:kern w:val="0"/>
                <w:sz w:val="18"/>
                <w:szCs w:val="18"/>
                <w:lang w:bidi="ar"/>
              </w:rPr>
              <w:t>增加气虚血瘀证</w:t>
            </w:r>
          </w:p>
        </w:tc>
        <w:tc>
          <w:tcPr>
            <w:tcW w:w="654" w:type="dxa"/>
            <w:shd w:val="clear" w:color="auto" w:fill="auto"/>
            <w:vAlign w:val="center"/>
          </w:tcPr>
          <w:p w14:paraId="6D728C18"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3.38</w:t>
            </w:r>
          </w:p>
        </w:tc>
        <w:tc>
          <w:tcPr>
            <w:tcW w:w="573" w:type="dxa"/>
            <w:shd w:val="clear" w:color="auto" w:fill="auto"/>
            <w:vAlign w:val="center"/>
          </w:tcPr>
          <w:p w14:paraId="5E75682F"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0.24 </w:t>
            </w:r>
          </w:p>
        </w:tc>
        <w:tc>
          <w:tcPr>
            <w:tcW w:w="648" w:type="dxa"/>
            <w:shd w:val="clear" w:color="auto" w:fill="auto"/>
            <w:vAlign w:val="bottom"/>
          </w:tcPr>
          <w:p w14:paraId="592AA977"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46%</w:t>
            </w:r>
          </w:p>
        </w:tc>
        <w:tc>
          <w:tcPr>
            <w:tcW w:w="976" w:type="dxa"/>
            <w:shd w:val="clear" w:color="auto" w:fill="auto"/>
            <w:vAlign w:val="center"/>
          </w:tcPr>
          <w:p w14:paraId="54B424A1"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54AEF510" w14:textId="77777777">
        <w:trPr>
          <w:trHeight w:val="263"/>
          <w:jc w:val="center"/>
        </w:trPr>
        <w:tc>
          <w:tcPr>
            <w:tcW w:w="1447" w:type="dxa"/>
            <w:vMerge/>
            <w:shd w:val="clear" w:color="auto" w:fill="auto"/>
            <w:vAlign w:val="center"/>
          </w:tcPr>
          <w:p w14:paraId="504102D8"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6916ECC3"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w:t>
            </w:r>
            <w:r>
              <w:rPr>
                <w:rFonts w:ascii="Times New Roman" w:eastAsia="宋体" w:hAnsi="Times New Roman" w:cs="Times New Roman"/>
                <w:color w:val="000000"/>
                <w:kern w:val="0"/>
                <w:sz w:val="18"/>
                <w:szCs w:val="18"/>
                <w:lang w:bidi="ar"/>
              </w:rPr>
              <w:t>增加肝火上炎证</w:t>
            </w:r>
          </w:p>
        </w:tc>
        <w:tc>
          <w:tcPr>
            <w:tcW w:w="654" w:type="dxa"/>
            <w:shd w:val="clear" w:color="auto" w:fill="auto"/>
            <w:vAlign w:val="center"/>
          </w:tcPr>
          <w:p w14:paraId="2F85DBF1"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3.27</w:t>
            </w:r>
          </w:p>
        </w:tc>
        <w:tc>
          <w:tcPr>
            <w:tcW w:w="573" w:type="dxa"/>
            <w:shd w:val="clear" w:color="auto" w:fill="auto"/>
            <w:vAlign w:val="center"/>
          </w:tcPr>
          <w:p w14:paraId="3D5383FE"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0.28 </w:t>
            </w:r>
          </w:p>
        </w:tc>
        <w:tc>
          <w:tcPr>
            <w:tcW w:w="648" w:type="dxa"/>
            <w:shd w:val="clear" w:color="auto" w:fill="auto"/>
            <w:vAlign w:val="bottom"/>
          </w:tcPr>
          <w:p w14:paraId="47FB8023"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46%</w:t>
            </w:r>
          </w:p>
        </w:tc>
        <w:tc>
          <w:tcPr>
            <w:tcW w:w="976" w:type="dxa"/>
            <w:shd w:val="clear" w:color="auto" w:fill="auto"/>
            <w:vAlign w:val="center"/>
          </w:tcPr>
          <w:p w14:paraId="166FA8E4"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2D6E1587" w14:textId="77777777">
        <w:trPr>
          <w:trHeight w:val="263"/>
          <w:jc w:val="center"/>
        </w:trPr>
        <w:tc>
          <w:tcPr>
            <w:tcW w:w="1447" w:type="dxa"/>
            <w:vMerge w:val="restart"/>
            <w:shd w:val="clear" w:color="auto" w:fill="auto"/>
            <w:vAlign w:val="center"/>
          </w:tcPr>
          <w:p w14:paraId="56FC5688"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风阳上扰证</w:t>
            </w:r>
          </w:p>
        </w:tc>
        <w:tc>
          <w:tcPr>
            <w:tcW w:w="4775" w:type="dxa"/>
            <w:shd w:val="clear" w:color="auto" w:fill="auto"/>
            <w:vAlign w:val="center"/>
          </w:tcPr>
          <w:p w14:paraId="29907294"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增加</w:t>
            </w:r>
            <w:r>
              <w:rPr>
                <w:rStyle w:val="font21"/>
                <w:rFonts w:ascii="宋体" w:eastAsia="宋体" w:hAnsi="宋体" w:cs="宋体" w:hint="eastAsia"/>
                <w:sz w:val="18"/>
                <w:szCs w:val="18"/>
                <w:lang w:bidi="ar"/>
              </w:rPr>
              <w:t>“</w:t>
            </w:r>
            <w:r>
              <w:rPr>
                <w:rFonts w:ascii="Times New Roman" w:eastAsia="宋体" w:hAnsi="Times New Roman" w:cs="Times New Roman"/>
                <w:color w:val="000000"/>
                <w:kern w:val="0"/>
                <w:sz w:val="18"/>
                <w:szCs w:val="18"/>
                <w:lang w:bidi="ar"/>
              </w:rPr>
              <w:t>口干</w:t>
            </w:r>
            <w:r>
              <w:rPr>
                <w:rStyle w:val="font21"/>
                <w:rFonts w:ascii="宋体" w:eastAsia="宋体" w:hAnsi="宋体" w:cs="宋体" w:hint="eastAsia"/>
                <w:sz w:val="18"/>
                <w:szCs w:val="18"/>
                <w:lang w:bidi="ar"/>
              </w:rPr>
              <w:t>”</w:t>
            </w:r>
          </w:p>
        </w:tc>
        <w:tc>
          <w:tcPr>
            <w:tcW w:w="654" w:type="dxa"/>
            <w:shd w:val="clear" w:color="auto" w:fill="auto"/>
            <w:vAlign w:val="center"/>
          </w:tcPr>
          <w:p w14:paraId="25886312"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3.08</w:t>
            </w:r>
          </w:p>
        </w:tc>
        <w:tc>
          <w:tcPr>
            <w:tcW w:w="573" w:type="dxa"/>
            <w:shd w:val="clear" w:color="auto" w:fill="auto"/>
            <w:vAlign w:val="center"/>
          </w:tcPr>
          <w:p w14:paraId="7C4D7211"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0.27 </w:t>
            </w:r>
          </w:p>
        </w:tc>
        <w:tc>
          <w:tcPr>
            <w:tcW w:w="648" w:type="dxa"/>
            <w:shd w:val="clear" w:color="auto" w:fill="auto"/>
            <w:vAlign w:val="bottom"/>
          </w:tcPr>
          <w:p w14:paraId="421DEFC9"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23%</w:t>
            </w:r>
          </w:p>
        </w:tc>
        <w:tc>
          <w:tcPr>
            <w:tcW w:w="976" w:type="dxa"/>
            <w:shd w:val="clear" w:color="auto" w:fill="auto"/>
            <w:vAlign w:val="center"/>
          </w:tcPr>
          <w:p w14:paraId="1184C45E"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010F2648" w14:textId="77777777">
        <w:trPr>
          <w:trHeight w:val="263"/>
          <w:jc w:val="center"/>
        </w:trPr>
        <w:tc>
          <w:tcPr>
            <w:tcW w:w="1447" w:type="dxa"/>
            <w:vMerge/>
            <w:shd w:val="clear" w:color="auto" w:fill="auto"/>
            <w:vAlign w:val="center"/>
          </w:tcPr>
          <w:p w14:paraId="733CAB8A"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798DC29E"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w:t>
            </w:r>
            <w:r>
              <w:rPr>
                <w:rFonts w:ascii="Times New Roman" w:eastAsia="宋体" w:hAnsi="Times New Roman" w:cs="Times New Roman"/>
                <w:color w:val="000000"/>
                <w:kern w:val="0"/>
                <w:sz w:val="18"/>
                <w:szCs w:val="18"/>
                <w:lang w:bidi="ar"/>
              </w:rPr>
              <w:t>增加</w:t>
            </w:r>
            <w:r>
              <w:rPr>
                <w:rStyle w:val="font21"/>
                <w:rFonts w:ascii="宋体" w:eastAsia="宋体" w:hAnsi="宋体" w:cs="宋体" w:hint="eastAsia"/>
                <w:sz w:val="18"/>
                <w:szCs w:val="18"/>
                <w:lang w:bidi="ar"/>
              </w:rPr>
              <w:t>“</w:t>
            </w:r>
            <w:r>
              <w:rPr>
                <w:rFonts w:ascii="Times New Roman" w:eastAsia="宋体" w:hAnsi="Times New Roman" w:cs="Times New Roman"/>
                <w:color w:val="000000"/>
                <w:kern w:val="0"/>
                <w:sz w:val="18"/>
                <w:szCs w:val="18"/>
                <w:lang w:bidi="ar"/>
              </w:rPr>
              <w:t>便秘</w:t>
            </w:r>
            <w:r>
              <w:rPr>
                <w:rStyle w:val="font21"/>
                <w:rFonts w:ascii="宋体" w:eastAsia="宋体" w:hAnsi="宋体" w:cs="宋体" w:hint="eastAsia"/>
                <w:sz w:val="18"/>
                <w:szCs w:val="18"/>
                <w:lang w:bidi="ar"/>
              </w:rPr>
              <w:t>”</w:t>
            </w:r>
          </w:p>
        </w:tc>
        <w:tc>
          <w:tcPr>
            <w:tcW w:w="654" w:type="dxa"/>
            <w:shd w:val="clear" w:color="auto" w:fill="auto"/>
            <w:vAlign w:val="center"/>
          </w:tcPr>
          <w:p w14:paraId="4E702068"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3.04</w:t>
            </w:r>
          </w:p>
        </w:tc>
        <w:tc>
          <w:tcPr>
            <w:tcW w:w="573" w:type="dxa"/>
            <w:shd w:val="clear" w:color="auto" w:fill="auto"/>
            <w:vAlign w:val="center"/>
          </w:tcPr>
          <w:p w14:paraId="3E981D1C"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0.22 </w:t>
            </w:r>
          </w:p>
        </w:tc>
        <w:tc>
          <w:tcPr>
            <w:tcW w:w="648" w:type="dxa"/>
            <w:shd w:val="clear" w:color="auto" w:fill="auto"/>
            <w:vAlign w:val="bottom"/>
          </w:tcPr>
          <w:p w14:paraId="6CA18127"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19%</w:t>
            </w:r>
          </w:p>
        </w:tc>
        <w:tc>
          <w:tcPr>
            <w:tcW w:w="976" w:type="dxa"/>
            <w:shd w:val="clear" w:color="auto" w:fill="auto"/>
            <w:vAlign w:val="center"/>
          </w:tcPr>
          <w:p w14:paraId="0AE4A809"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208B7969" w14:textId="77777777">
        <w:trPr>
          <w:trHeight w:val="263"/>
          <w:jc w:val="center"/>
        </w:trPr>
        <w:tc>
          <w:tcPr>
            <w:tcW w:w="1447" w:type="dxa"/>
            <w:vMerge/>
            <w:shd w:val="clear" w:color="auto" w:fill="auto"/>
            <w:vAlign w:val="center"/>
          </w:tcPr>
          <w:p w14:paraId="3D3C56CC"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4EDAA441"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w:t>
            </w:r>
            <w:r>
              <w:rPr>
                <w:rFonts w:ascii="Times New Roman" w:eastAsia="宋体" w:hAnsi="Times New Roman" w:cs="Times New Roman"/>
                <w:color w:val="000000"/>
                <w:kern w:val="0"/>
                <w:sz w:val="18"/>
                <w:szCs w:val="18"/>
                <w:lang w:bidi="ar"/>
              </w:rPr>
              <w:t>增加</w:t>
            </w:r>
            <w:r>
              <w:rPr>
                <w:rStyle w:val="font21"/>
                <w:rFonts w:ascii="宋体" w:eastAsia="宋体" w:hAnsi="宋体" w:cs="宋体" w:hint="eastAsia"/>
                <w:sz w:val="18"/>
                <w:szCs w:val="18"/>
                <w:lang w:bidi="ar"/>
              </w:rPr>
              <w:t>“</w:t>
            </w:r>
            <w:r>
              <w:rPr>
                <w:rFonts w:ascii="Times New Roman" w:eastAsia="宋体" w:hAnsi="Times New Roman" w:cs="Times New Roman"/>
                <w:color w:val="000000"/>
                <w:kern w:val="0"/>
                <w:sz w:val="18"/>
                <w:szCs w:val="18"/>
                <w:lang w:bidi="ar"/>
              </w:rPr>
              <w:t>尿黄</w:t>
            </w:r>
            <w:r>
              <w:rPr>
                <w:rStyle w:val="font21"/>
                <w:rFonts w:ascii="宋体" w:eastAsia="宋体" w:hAnsi="宋体" w:cs="宋体" w:hint="eastAsia"/>
                <w:sz w:val="18"/>
                <w:szCs w:val="18"/>
                <w:lang w:bidi="ar"/>
              </w:rPr>
              <w:t>”</w:t>
            </w:r>
          </w:p>
        </w:tc>
        <w:tc>
          <w:tcPr>
            <w:tcW w:w="654" w:type="dxa"/>
            <w:shd w:val="clear" w:color="auto" w:fill="auto"/>
            <w:vAlign w:val="center"/>
          </w:tcPr>
          <w:p w14:paraId="34DC363E"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2.92</w:t>
            </w:r>
          </w:p>
        </w:tc>
        <w:tc>
          <w:tcPr>
            <w:tcW w:w="573" w:type="dxa"/>
            <w:shd w:val="clear" w:color="auto" w:fill="auto"/>
            <w:vAlign w:val="center"/>
          </w:tcPr>
          <w:p w14:paraId="7F19C030"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0.22 </w:t>
            </w:r>
          </w:p>
        </w:tc>
        <w:tc>
          <w:tcPr>
            <w:tcW w:w="648" w:type="dxa"/>
            <w:shd w:val="clear" w:color="auto" w:fill="auto"/>
            <w:vAlign w:val="bottom"/>
          </w:tcPr>
          <w:p w14:paraId="19EEDF36"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12%</w:t>
            </w:r>
          </w:p>
        </w:tc>
        <w:tc>
          <w:tcPr>
            <w:tcW w:w="976" w:type="dxa"/>
            <w:shd w:val="clear" w:color="auto" w:fill="auto"/>
            <w:vAlign w:val="center"/>
          </w:tcPr>
          <w:p w14:paraId="7BF5D223"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7EC26ACD" w14:textId="77777777">
        <w:trPr>
          <w:trHeight w:val="263"/>
          <w:jc w:val="center"/>
        </w:trPr>
        <w:tc>
          <w:tcPr>
            <w:tcW w:w="1447" w:type="dxa"/>
            <w:vMerge w:val="restart"/>
            <w:shd w:val="clear" w:color="auto" w:fill="auto"/>
            <w:vAlign w:val="center"/>
          </w:tcPr>
          <w:p w14:paraId="21BD6BD1"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痰浊上蒙证</w:t>
            </w:r>
          </w:p>
        </w:tc>
        <w:tc>
          <w:tcPr>
            <w:tcW w:w="4775" w:type="dxa"/>
            <w:shd w:val="clear" w:color="auto" w:fill="auto"/>
            <w:vAlign w:val="center"/>
          </w:tcPr>
          <w:p w14:paraId="7ADDED04"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增加</w:t>
            </w:r>
            <w:r>
              <w:rPr>
                <w:rStyle w:val="font21"/>
                <w:rFonts w:ascii="宋体" w:eastAsia="宋体" w:hAnsi="宋体" w:cs="宋体" w:hint="eastAsia"/>
                <w:sz w:val="18"/>
                <w:szCs w:val="18"/>
                <w:lang w:bidi="ar"/>
              </w:rPr>
              <w:t>“</w:t>
            </w:r>
            <w:r>
              <w:rPr>
                <w:rFonts w:ascii="Times New Roman" w:eastAsia="宋体" w:hAnsi="Times New Roman" w:cs="Times New Roman"/>
                <w:color w:val="000000"/>
                <w:kern w:val="0"/>
                <w:sz w:val="18"/>
                <w:szCs w:val="18"/>
                <w:lang w:bidi="ar"/>
              </w:rPr>
              <w:t>头昏沉</w:t>
            </w:r>
            <w:r>
              <w:rPr>
                <w:rStyle w:val="font21"/>
                <w:rFonts w:ascii="宋体" w:eastAsia="宋体" w:hAnsi="宋体" w:cs="宋体" w:hint="eastAsia"/>
                <w:sz w:val="18"/>
                <w:szCs w:val="18"/>
                <w:lang w:bidi="ar"/>
              </w:rPr>
              <w:t>”</w:t>
            </w:r>
          </w:p>
        </w:tc>
        <w:tc>
          <w:tcPr>
            <w:tcW w:w="654" w:type="dxa"/>
            <w:shd w:val="clear" w:color="auto" w:fill="auto"/>
            <w:vAlign w:val="center"/>
          </w:tcPr>
          <w:p w14:paraId="2EDAA638"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3.46</w:t>
            </w:r>
          </w:p>
        </w:tc>
        <w:tc>
          <w:tcPr>
            <w:tcW w:w="573" w:type="dxa"/>
            <w:shd w:val="clear" w:color="auto" w:fill="auto"/>
            <w:vAlign w:val="center"/>
          </w:tcPr>
          <w:p w14:paraId="15277E40"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0.25 </w:t>
            </w:r>
          </w:p>
        </w:tc>
        <w:tc>
          <w:tcPr>
            <w:tcW w:w="648" w:type="dxa"/>
            <w:shd w:val="clear" w:color="auto" w:fill="auto"/>
            <w:vAlign w:val="bottom"/>
          </w:tcPr>
          <w:p w14:paraId="272310CD"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46%</w:t>
            </w:r>
          </w:p>
        </w:tc>
        <w:tc>
          <w:tcPr>
            <w:tcW w:w="976" w:type="dxa"/>
            <w:shd w:val="clear" w:color="auto" w:fill="auto"/>
            <w:vAlign w:val="center"/>
          </w:tcPr>
          <w:p w14:paraId="0748611E"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35EBFEE1" w14:textId="77777777">
        <w:trPr>
          <w:trHeight w:val="263"/>
          <w:jc w:val="center"/>
        </w:trPr>
        <w:tc>
          <w:tcPr>
            <w:tcW w:w="1447" w:type="dxa"/>
            <w:vMerge/>
            <w:shd w:val="clear" w:color="auto" w:fill="auto"/>
            <w:vAlign w:val="center"/>
          </w:tcPr>
          <w:p w14:paraId="03882F71"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1A90A3FF"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w:t>
            </w:r>
            <w:r>
              <w:rPr>
                <w:rFonts w:ascii="Times New Roman" w:eastAsia="宋体" w:hAnsi="Times New Roman" w:cs="Times New Roman"/>
                <w:color w:val="000000"/>
                <w:kern w:val="0"/>
                <w:sz w:val="18"/>
                <w:szCs w:val="18"/>
                <w:lang w:bidi="ar"/>
              </w:rPr>
              <w:t>增加</w:t>
            </w:r>
            <w:r>
              <w:rPr>
                <w:rStyle w:val="font21"/>
                <w:rFonts w:ascii="宋体" w:eastAsia="宋体" w:hAnsi="宋体" w:cs="宋体" w:hint="eastAsia"/>
                <w:sz w:val="18"/>
                <w:szCs w:val="18"/>
                <w:lang w:bidi="ar"/>
              </w:rPr>
              <w:t>“</w:t>
            </w:r>
            <w:r>
              <w:rPr>
                <w:rFonts w:ascii="Times New Roman" w:eastAsia="宋体" w:hAnsi="Times New Roman" w:cs="Times New Roman"/>
                <w:color w:val="000000"/>
                <w:kern w:val="0"/>
                <w:sz w:val="18"/>
                <w:szCs w:val="18"/>
                <w:lang w:bidi="ar"/>
              </w:rPr>
              <w:t>肢体沉重</w:t>
            </w:r>
            <w:r>
              <w:rPr>
                <w:rStyle w:val="font21"/>
                <w:rFonts w:ascii="宋体" w:eastAsia="宋体" w:hAnsi="宋体" w:cs="宋体" w:hint="eastAsia"/>
                <w:sz w:val="18"/>
                <w:szCs w:val="18"/>
                <w:lang w:bidi="ar"/>
              </w:rPr>
              <w:t>”</w:t>
            </w:r>
          </w:p>
        </w:tc>
        <w:tc>
          <w:tcPr>
            <w:tcW w:w="654" w:type="dxa"/>
            <w:shd w:val="clear" w:color="auto" w:fill="auto"/>
            <w:vAlign w:val="center"/>
          </w:tcPr>
          <w:p w14:paraId="39F02BFA"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3.31</w:t>
            </w:r>
          </w:p>
        </w:tc>
        <w:tc>
          <w:tcPr>
            <w:tcW w:w="573" w:type="dxa"/>
            <w:shd w:val="clear" w:color="auto" w:fill="auto"/>
            <w:vAlign w:val="center"/>
          </w:tcPr>
          <w:p w14:paraId="4DD3F474"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0.24 </w:t>
            </w:r>
          </w:p>
        </w:tc>
        <w:tc>
          <w:tcPr>
            <w:tcW w:w="648" w:type="dxa"/>
            <w:shd w:val="clear" w:color="auto" w:fill="auto"/>
            <w:vAlign w:val="bottom"/>
          </w:tcPr>
          <w:p w14:paraId="5755EFCA"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35%</w:t>
            </w:r>
          </w:p>
        </w:tc>
        <w:tc>
          <w:tcPr>
            <w:tcW w:w="976" w:type="dxa"/>
            <w:shd w:val="clear" w:color="auto" w:fill="auto"/>
            <w:vAlign w:val="center"/>
          </w:tcPr>
          <w:p w14:paraId="16DCF692"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4ECEFCA4" w14:textId="77777777">
        <w:trPr>
          <w:trHeight w:val="263"/>
          <w:jc w:val="center"/>
        </w:trPr>
        <w:tc>
          <w:tcPr>
            <w:tcW w:w="1447" w:type="dxa"/>
            <w:vMerge/>
            <w:shd w:val="clear" w:color="auto" w:fill="auto"/>
            <w:vAlign w:val="center"/>
          </w:tcPr>
          <w:p w14:paraId="399DCE49"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75FFAA79"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w:t>
            </w:r>
            <w:r>
              <w:rPr>
                <w:rFonts w:ascii="Times New Roman" w:eastAsia="宋体" w:hAnsi="Times New Roman" w:cs="Times New Roman"/>
                <w:color w:val="000000"/>
                <w:kern w:val="0"/>
                <w:sz w:val="18"/>
                <w:szCs w:val="18"/>
                <w:lang w:bidi="ar"/>
              </w:rPr>
              <w:t>增加</w:t>
            </w:r>
            <w:r>
              <w:rPr>
                <w:rStyle w:val="font21"/>
                <w:rFonts w:ascii="宋体" w:eastAsia="宋体" w:hAnsi="宋体" w:cs="宋体" w:hint="eastAsia"/>
                <w:sz w:val="18"/>
                <w:szCs w:val="18"/>
                <w:lang w:bidi="ar"/>
              </w:rPr>
              <w:t>“</w:t>
            </w:r>
            <w:r>
              <w:rPr>
                <w:rFonts w:ascii="Times New Roman" w:eastAsia="宋体" w:hAnsi="Times New Roman" w:cs="Times New Roman"/>
                <w:color w:val="000000"/>
                <w:kern w:val="0"/>
                <w:sz w:val="18"/>
                <w:szCs w:val="18"/>
                <w:lang w:bidi="ar"/>
              </w:rPr>
              <w:t>困乏</w:t>
            </w:r>
            <w:r>
              <w:rPr>
                <w:rStyle w:val="font21"/>
                <w:rFonts w:ascii="宋体" w:eastAsia="宋体" w:hAnsi="宋体" w:cs="宋体" w:hint="eastAsia"/>
                <w:sz w:val="18"/>
                <w:szCs w:val="18"/>
                <w:lang w:bidi="ar"/>
              </w:rPr>
              <w:t>”</w:t>
            </w:r>
          </w:p>
        </w:tc>
        <w:tc>
          <w:tcPr>
            <w:tcW w:w="654" w:type="dxa"/>
            <w:shd w:val="clear" w:color="auto" w:fill="auto"/>
            <w:vAlign w:val="center"/>
          </w:tcPr>
          <w:p w14:paraId="6C3BC9A2"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3.35</w:t>
            </w:r>
          </w:p>
        </w:tc>
        <w:tc>
          <w:tcPr>
            <w:tcW w:w="573" w:type="dxa"/>
            <w:shd w:val="clear" w:color="auto" w:fill="auto"/>
            <w:vAlign w:val="center"/>
          </w:tcPr>
          <w:p w14:paraId="4CB3386C"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0.24 </w:t>
            </w:r>
          </w:p>
        </w:tc>
        <w:tc>
          <w:tcPr>
            <w:tcW w:w="648" w:type="dxa"/>
            <w:shd w:val="clear" w:color="auto" w:fill="auto"/>
            <w:vAlign w:val="bottom"/>
          </w:tcPr>
          <w:p w14:paraId="128868B8"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38%</w:t>
            </w:r>
          </w:p>
        </w:tc>
        <w:tc>
          <w:tcPr>
            <w:tcW w:w="976" w:type="dxa"/>
            <w:shd w:val="clear" w:color="auto" w:fill="auto"/>
            <w:vAlign w:val="center"/>
          </w:tcPr>
          <w:p w14:paraId="16261A63"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399E52D1" w14:textId="77777777">
        <w:trPr>
          <w:trHeight w:val="263"/>
          <w:jc w:val="center"/>
        </w:trPr>
        <w:tc>
          <w:tcPr>
            <w:tcW w:w="1447" w:type="dxa"/>
            <w:vMerge w:val="restart"/>
            <w:shd w:val="clear" w:color="auto" w:fill="auto"/>
            <w:vAlign w:val="center"/>
          </w:tcPr>
          <w:p w14:paraId="75BEEDA7"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肝肾阴虚证</w:t>
            </w:r>
          </w:p>
        </w:tc>
        <w:tc>
          <w:tcPr>
            <w:tcW w:w="4775" w:type="dxa"/>
            <w:shd w:val="clear" w:color="auto" w:fill="auto"/>
            <w:vAlign w:val="center"/>
          </w:tcPr>
          <w:p w14:paraId="38B003D9" w14:textId="77777777" w:rsidR="00561395" w:rsidRDefault="00000000">
            <w:pPr>
              <w:widowControl/>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r>
              <w:rPr>
                <w:rFonts w:ascii="宋体" w:eastAsia="宋体" w:hAnsi="宋体" w:cs="宋体" w:hint="eastAsia"/>
                <w:color w:val="000000"/>
                <w:kern w:val="0"/>
                <w:sz w:val="18"/>
                <w:szCs w:val="18"/>
                <w:lang w:bidi="ar"/>
              </w:rPr>
              <w:t>“</w:t>
            </w:r>
            <w:r>
              <w:rPr>
                <w:rFonts w:ascii="Times New Roman" w:eastAsia="宋体" w:hAnsi="Times New Roman" w:cs="Times New Roman"/>
                <w:color w:val="000000"/>
                <w:kern w:val="0"/>
                <w:sz w:val="18"/>
                <w:szCs w:val="18"/>
                <w:lang w:bidi="ar"/>
              </w:rPr>
              <w:t>眩晕久发不已</w:t>
            </w:r>
            <w:r>
              <w:rPr>
                <w:rStyle w:val="font21"/>
                <w:rFonts w:ascii="宋体" w:eastAsia="宋体" w:hAnsi="宋体" w:cs="宋体" w:hint="eastAsia"/>
                <w:sz w:val="18"/>
                <w:szCs w:val="18"/>
                <w:lang w:bidi="ar"/>
              </w:rPr>
              <w:t>”</w:t>
            </w:r>
            <w:r>
              <w:rPr>
                <w:rFonts w:ascii="Times New Roman" w:eastAsia="宋体" w:hAnsi="Times New Roman" w:cs="Times New Roman"/>
                <w:color w:val="000000"/>
                <w:kern w:val="0"/>
                <w:sz w:val="18"/>
                <w:szCs w:val="18"/>
                <w:lang w:bidi="ar"/>
              </w:rPr>
              <w:t>修改为</w:t>
            </w:r>
            <w:r>
              <w:rPr>
                <w:rStyle w:val="font21"/>
                <w:rFonts w:ascii="宋体" w:eastAsia="宋体" w:hAnsi="宋体" w:cs="宋体" w:hint="eastAsia"/>
                <w:sz w:val="18"/>
                <w:szCs w:val="18"/>
                <w:lang w:bidi="ar"/>
              </w:rPr>
              <w:t>“</w:t>
            </w:r>
            <w:r>
              <w:rPr>
                <w:rFonts w:ascii="Times New Roman" w:eastAsia="宋体" w:hAnsi="Times New Roman" w:cs="Times New Roman"/>
                <w:color w:val="000000"/>
                <w:kern w:val="0"/>
                <w:sz w:val="18"/>
                <w:szCs w:val="18"/>
                <w:lang w:bidi="ar"/>
              </w:rPr>
              <w:t>眩晕久发不已或反复发作</w:t>
            </w:r>
            <w:r>
              <w:rPr>
                <w:rStyle w:val="font21"/>
                <w:rFonts w:ascii="宋体" w:eastAsia="宋体" w:hAnsi="宋体" w:cs="宋体" w:hint="eastAsia"/>
                <w:sz w:val="18"/>
                <w:szCs w:val="18"/>
                <w:lang w:bidi="ar"/>
              </w:rPr>
              <w:t>”</w:t>
            </w:r>
          </w:p>
        </w:tc>
        <w:tc>
          <w:tcPr>
            <w:tcW w:w="654" w:type="dxa"/>
            <w:shd w:val="clear" w:color="auto" w:fill="auto"/>
            <w:vAlign w:val="center"/>
          </w:tcPr>
          <w:p w14:paraId="53907020"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3.62</w:t>
            </w:r>
          </w:p>
        </w:tc>
        <w:tc>
          <w:tcPr>
            <w:tcW w:w="573" w:type="dxa"/>
            <w:shd w:val="clear" w:color="auto" w:fill="auto"/>
            <w:vAlign w:val="center"/>
          </w:tcPr>
          <w:p w14:paraId="672A62B9"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0.22</w:t>
            </w:r>
          </w:p>
        </w:tc>
        <w:tc>
          <w:tcPr>
            <w:tcW w:w="648" w:type="dxa"/>
            <w:shd w:val="clear" w:color="auto" w:fill="auto"/>
            <w:vAlign w:val="bottom"/>
          </w:tcPr>
          <w:p w14:paraId="601A5103"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58%</w:t>
            </w:r>
          </w:p>
        </w:tc>
        <w:tc>
          <w:tcPr>
            <w:tcW w:w="976" w:type="dxa"/>
            <w:shd w:val="clear" w:color="auto" w:fill="auto"/>
            <w:vAlign w:val="center"/>
          </w:tcPr>
          <w:p w14:paraId="6CA2B8F4"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待共识</w:t>
            </w:r>
          </w:p>
        </w:tc>
      </w:tr>
      <w:tr w:rsidR="00561395" w14:paraId="415D97E3" w14:textId="77777777">
        <w:trPr>
          <w:trHeight w:val="263"/>
          <w:jc w:val="center"/>
        </w:trPr>
        <w:tc>
          <w:tcPr>
            <w:tcW w:w="1447" w:type="dxa"/>
            <w:vMerge/>
            <w:shd w:val="clear" w:color="auto" w:fill="auto"/>
            <w:vAlign w:val="center"/>
          </w:tcPr>
          <w:p w14:paraId="09DBDE3E"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52E99A7C"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w:t>
            </w:r>
            <w:r>
              <w:rPr>
                <w:rFonts w:ascii="宋体" w:eastAsia="宋体" w:hAnsi="宋体" w:cs="宋体" w:hint="eastAsia"/>
                <w:color w:val="000000"/>
                <w:kern w:val="0"/>
                <w:sz w:val="18"/>
                <w:szCs w:val="18"/>
                <w:lang w:bidi="ar"/>
              </w:rPr>
              <w:t>“</w:t>
            </w:r>
            <w:r>
              <w:rPr>
                <w:rFonts w:ascii="Times New Roman" w:eastAsia="宋体" w:hAnsi="Times New Roman" w:cs="Times New Roman"/>
                <w:color w:val="000000"/>
                <w:kern w:val="0"/>
                <w:sz w:val="18"/>
                <w:szCs w:val="18"/>
                <w:lang w:bidi="ar"/>
              </w:rPr>
              <w:t>苔薄</w:t>
            </w:r>
            <w:r>
              <w:rPr>
                <w:rStyle w:val="font21"/>
                <w:rFonts w:ascii="宋体" w:eastAsia="宋体" w:hAnsi="宋体" w:cs="宋体" w:hint="eastAsia"/>
                <w:sz w:val="18"/>
                <w:szCs w:val="18"/>
                <w:lang w:bidi="ar"/>
              </w:rPr>
              <w:t>”</w:t>
            </w:r>
            <w:r>
              <w:rPr>
                <w:rFonts w:ascii="Times New Roman" w:eastAsia="宋体" w:hAnsi="Times New Roman" w:cs="Times New Roman"/>
                <w:color w:val="000000"/>
                <w:kern w:val="0"/>
                <w:sz w:val="18"/>
                <w:szCs w:val="18"/>
                <w:lang w:bidi="ar"/>
              </w:rPr>
              <w:t>修改为</w:t>
            </w:r>
            <w:r>
              <w:rPr>
                <w:rStyle w:val="font21"/>
                <w:rFonts w:ascii="宋体" w:eastAsia="宋体" w:hAnsi="宋体" w:cs="宋体" w:hint="eastAsia"/>
                <w:sz w:val="18"/>
                <w:szCs w:val="18"/>
                <w:lang w:bidi="ar"/>
              </w:rPr>
              <w:t>“</w:t>
            </w:r>
            <w:r>
              <w:rPr>
                <w:rFonts w:ascii="Times New Roman" w:eastAsia="宋体" w:hAnsi="Times New Roman" w:cs="Times New Roman"/>
                <w:color w:val="000000"/>
                <w:kern w:val="0"/>
                <w:sz w:val="18"/>
                <w:szCs w:val="18"/>
                <w:lang w:bidi="ar"/>
              </w:rPr>
              <w:t>苔薄少</w:t>
            </w:r>
            <w:r>
              <w:rPr>
                <w:rStyle w:val="font21"/>
                <w:rFonts w:ascii="宋体" w:eastAsia="宋体" w:hAnsi="宋体" w:cs="宋体" w:hint="eastAsia"/>
                <w:sz w:val="18"/>
                <w:szCs w:val="18"/>
                <w:lang w:bidi="ar"/>
              </w:rPr>
              <w:t>”</w:t>
            </w:r>
          </w:p>
        </w:tc>
        <w:tc>
          <w:tcPr>
            <w:tcW w:w="654" w:type="dxa"/>
            <w:shd w:val="clear" w:color="auto" w:fill="auto"/>
            <w:vAlign w:val="center"/>
          </w:tcPr>
          <w:p w14:paraId="66D85618"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3.12</w:t>
            </w:r>
          </w:p>
        </w:tc>
        <w:tc>
          <w:tcPr>
            <w:tcW w:w="573" w:type="dxa"/>
            <w:shd w:val="clear" w:color="auto" w:fill="auto"/>
            <w:vAlign w:val="center"/>
          </w:tcPr>
          <w:p w14:paraId="146BC8C3"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0.26 </w:t>
            </w:r>
          </w:p>
        </w:tc>
        <w:tc>
          <w:tcPr>
            <w:tcW w:w="648" w:type="dxa"/>
            <w:shd w:val="clear" w:color="auto" w:fill="auto"/>
            <w:vAlign w:val="bottom"/>
          </w:tcPr>
          <w:p w14:paraId="0601A5DA"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31%</w:t>
            </w:r>
          </w:p>
        </w:tc>
        <w:tc>
          <w:tcPr>
            <w:tcW w:w="976" w:type="dxa"/>
            <w:shd w:val="clear" w:color="auto" w:fill="auto"/>
            <w:vAlign w:val="center"/>
          </w:tcPr>
          <w:p w14:paraId="08445AD7"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7917BF78" w14:textId="77777777">
        <w:trPr>
          <w:trHeight w:val="263"/>
          <w:jc w:val="center"/>
        </w:trPr>
        <w:tc>
          <w:tcPr>
            <w:tcW w:w="1447" w:type="dxa"/>
            <w:vMerge/>
            <w:shd w:val="clear" w:color="auto" w:fill="auto"/>
            <w:vAlign w:val="center"/>
          </w:tcPr>
          <w:p w14:paraId="3E98B8A1"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03EFD82D"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w:t>
            </w:r>
            <w:r>
              <w:rPr>
                <w:rFonts w:ascii="Times New Roman" w:eastAsia="宋体" w:hAnsi="Times New Roman" w:cs="Times New Roman"/>
                <w:color w:val="000000"/>
                <w:kern w:val="0"/>
                <w:sz w:val="18"/>
                <w:szCs w:val="18"/>
                <w:lang w:bidi="ar"/>
              </w:rPr>
              <w:t>增加</w:t>
            </w:r>
            <w:r>
              <w:rPr>
                <w:rStyle w:val="font21"/>
                <w:rFonts w:ascii="宋体" w:eastAsia="宋体" w:hAnsi="宋体" w:cs="宋体" w:hint="eastAsia"/>
                <w:sz w:val="18"/>
                <w:szCs w:val="18"/>
                <w:lang w:bidi="ar"/>
              </w:rPr>
              <w:t>“</w:t>
            </w:r>
            <w:r>
              <w:rPr>
                <w:rFonts w:ascii="Times New Roman" w:eastAsia="宋体" w:hAnsi="Times New Roman" w:cs="Times New Roman"/>
                <w:color w:val="000000"/>
                <w:kern w:val="0"/>
                <w:sz w:val="18"/>
                <w:szCs w:val="18"/>
                <w:lang w:bidi="ar"/>
              </w:rPr>
              <w:t>花剥苔</w:t>
            </w:r>
            <w:r>
              <w:rPr>
                <w:rStyle w:val="font21"/>
                <w:rFonts w:ascii="宋体" w:eastAsia="宋体" w:hAnsi="宋体" w:cs="宋体" w:hint="eastAsia"/>
                <w:sz w:val="18"/>
                <w:szCs w:val="18"/>
                <w:lang w:bidi="ar"/>
              </w:rPr>
              <w:t>”</w:t>
            </w:r>
          </w:p>
        </w:tc>
        <w:tc>
          <w:tcPr>
            <w:tcW w:w="654" w:type="dxa"/>
            <w:shd w:val="clear" w:color="auto" w:fill="auto"/>
            <w:vAlign w:val="center"/>
          </w:tcPr>
          <w:p w14:paraId="2344E81A"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2.88</w:t>
            </w:r>
          </w:p>
        </w:tc>
        <w:tc>
          <w:tcPr>
            <w:tcW w:w="573" w:type="dxa"/>
            <w:shd w:val="clear" w:color="auto" w:fill="auto"/>
            <w:vAlign w:val="center"/>
          </w:tcPr>
          <w:p w14:paraId="2588F84D"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0.28 </w:t>
            </w:r>
          </w:p>
        </w:tc>
        <w:tc>
          <w:tcPr>
            <w:tcW w:w="648" w:type="dxa"/>
            <w:shd w:val="clear" w:color="auto" w:fill="auto"/>
            <w:vAlign w:val="bottom"/>
          </w:tcPr>
          <w:p w14:paraId="12AA670F"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15%</w:t>
            </w:r>
          </w:p>
        </w:tc>
        <w:tc>
          <w:tcPr>
            <w:tcW w:w="976" w:type="dxa"/>
            <w:shd w:val="clear" w:color="auto" w:fill="auto"/>
            <w:vAlign w:val="center"/>
          </w:tcPr>
          <w:p w14:paraId="2E40700F"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6CA8B658" w14:textId="77777777">
        <w:trPr>
          <w:trHeight w:val="263"/>
          <w:jc w:val="center"/>
        </w:trPr>
        <w:tc>
          <w:tcPr>
            <w:tcW w:w="1447" w:type="dxa"/>
            <w:vMerge w:val="restart"/>
            <w:shd w:val="clear" w:color="auto" w:fill="auto"/>
            <w:vAlign w:val="center"/>
          </w:tcPr>
          <w:p w14:paraId="1F195E80"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肾精不足证</w:t>
            </w:r>
          </w:p>
        </w:tc>
        <w:tc>
          <w:tcPr>
            <w:tcW w:w="4775" w:type="dxa"/>
            <w:shd w:val="clear" w:color="auto" w:fill="auto"/>
            <w:vAlign w:val="center"/>
          </w:tcPr>
          <w:p w14:paraId="2B4B0A60"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眩晕</w:t>
            </w:r>
          </w:p>
        </w:tc>
        <w:tc>
          <w:tcPr>
            <w:tcW w:w="654" w:type="dxa"/>
            <w:shd w:val="clear" w:color="auto" w:fill="auto"/>
            <w:vAlign w:val="center"/>
          </w:tcPr>
          <w:p w14:paraId="78D9CF5A"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4.46</w:t>
            </w:r>
          </w:p>
        </w:tc>
        <w:tc>
          <w:tcPr>
            <w:tcW w:w="573" w:type="dxa"/>
            <w:shd w:val="clear" w:color="auto" w:fill="auto"/>
            <w:vAlign w:val="center"/>
          </w:tcPr>
          <w:p w14:paraId="56F49EAA"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0.17 </w:t>
            </w:r>
          </w:p>
        </w:tc>
        <w:tc>
          <w:tcPr>
            <w:tcW w:w="648" w:type="dxa"/>
            <w:shd w:val="clear" w:color="auto" w:fill="auto"/>
            <w:vAlign w:val="bottom"/>
          </w:tcPr>
          <w:p w14:paraId="0177BA0D"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85%</w:t>
            </w:r>
          </w:p>
        </w:tc>
        <w:tc>
          <w:tcPr>
            <w:tcW w:w="976" w:type="dxa"/>
            <w:shd w:val="clear" w:color="auto" w:fill="auto"/>
            <w:vAlign w:val="center"/>
          </w:tcPr>
          <w:p w14:paraId="6929337A"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达成共识</w:t>
            </w:r>
          </w:p>
        </w:tc>
      </w:tr>
      <w:tr w:rsidR="00561395" w14:paraId="6EA65240" w14:textId="77777777">
        <w:trPr>
          <w:trHeight w:val="263"/>
          <w:jc w:val="center"/>
        </w:trPr>
        <w:tc>
          <w:tcPr>
            <w:tcW w:w="1447" w:type="dxa"/>
            <w:vMerge/>
            <w:shd w:val="clear" w:color="auto" w:fill="auto"/>
            <w:vAlign w:val="center"/>
          </w:tcPr>
          <w:p w14:paraId="1F685045"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7FDC3C1B"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w:t>
            </w:r>
            <w:r>
              <w:rPr>
                <w:rFonts w:ascii="Times New Roman" w:eastAsia="宋体" w:hAnsi="Times New Roman" w:cs="Times New Roman"/>
                <w:color w:val="000000"/>
                <w:kern w:val="0"/>
                <w:sz w:val="18"/>
                <w:szCs w:val="18"/>
                <w:lang w:bidi="ar"/>
              </w:rPr>
              <w:t>面色白</w:t>
            </w:r>
          </w:p>
        </w:tc>
        <w:tc>
          <w:tcPr>
            <w:tcW w:w="654" w:type="dxa"/>
            <w:shd w:val="clear" w:color="auto" w:fill="auto"/>
            <w:vAlign w:val="center"/>
          </w:tcPr>
          <w:p w14:paraId="3EFADE3B"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3.5</w:t>
            </w:r>
          </w:p>
        </w:tc>
        <w:tc>
          <w:tcPr>
            <w:tcW w:w="573" w:type="dxa"/>
            <w:shd w:val="clear" w:color="auto" w:fill="auto"/>
            <w:vAlign w:val="center"/>
          </w:tcPr>
          <w:p w14:paraId="392C522E"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0.20 </w:t>
            </w:r>
          </w:p>
        </w:tc>
        <w:tc>
          <w:tcPr>
            <w:tcW w:w="648" w:type="dxa"/>
            <w:shd w:val="clear" w:color="auto" w:fill="auto"/>
            <w:vAlign w:val="bottom"/>
          </w:tcPr>
          <w:p w14:paraId="745972E5"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46%</w:t>
            </w:r>
          </w:p>
        </w:tc>
        <w:tc>
          <w:tcPr>
            <w:tcW w:w="976" w:type="dxa"/>
            <w:shd w:val="clear" w:color="auto" w:fill="auto"/>
            <w:vAlign w:val="center"/>
          </w:tcPr>
          <w:p w14:paraId="2699A046"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2A47686C" w14:textId="77777777">
        <w:trPr>
          <w:trHeight w:val="263"/>
          <w:jc w:val="center"/>
        </w:trPr>
        <w:tc>
          <w:tcPr>
            <w:tcW w:w="1447" w:type="dxa"/>
            <w:vMerge/>
            <w:shd w:val="clear" w:color="auto" w:fill="auto"/>
            <w:vAlign w:val="center"/>
          </w:tcPr>
          <w:p w14:paraId="7DAE639F"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2630CD10"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w:t>
            </w:r>
            <w:r>
              <w:rPr>
                <w:rFonts w:ascii="Times New Roman" w:eastAsia="宋体" w:hAnsi="Times New Roman" w:cs="Times New Roman"/>
                <w:color w:val="000000"/>
                <w:kern w:val="0"/>
                <w:sz w:val="18"/>
                <w:szCs w:val="18"/>
                <w:lang w:bidi="ar"/>
              </w:rPr>
              <w:t>精神萎靡</w:t>
            </w:r>
          </w:p>
        </w:tc>
        <w:tc>
          <w:tcPr>
            <w:tcW w:w="654" w:type="dxa"/>
            <w:shd w:val="clear" w:color="auto" w:fill="auto"/>
            <w:vAlign w:val="center"/>
          </w:tcPr>
          <w:p w14:paraId="3937B3DB"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3.85</w:t>
            </w:r>
          </w:p>
        </w:tc>
        <w:tc>
          <w:tcPr>
            <w:tcW w:w="573" w:type="dxa"/>
            <w:shd w:val="clear" w:color="auto" w:fill="auto"/>
            <w:vAlign w:val="center"/>
          </w:tcPr>
          <w:p w14:paraId="28FBB89E"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0.20 </w:t>
            </w:r>
          </w:p>
        </w:tc>
        <w:tc>
          <w:tcPr>
            <w:tcW w:w="648" w:type="dxa"/>
            <w:shd w:val="clear" w:color="auto" w:fill="auto"/>
            <w:vAlign w:val="bottom"/>
          </w:tcPr>
          <w:p w14:paraId="5BE659FE"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62%</w:t>
            </w:r>
          </w:p>
        </w:tc>
        <w:tc>
          <w:tcPr>
            <w:tcW w:w="976" w:type="dxa"/>
            <w:shd w:val="clear" w:color="auto" w:fill="auto"/>
            <w:vAlign w:val="center"/>
          </w:tcPr>
          <w:p w14:paraId="2F1741E3"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待共识</w:t>
            </w:r>
          </w:p>
        </w:tc>
      </w:tr>
      <w:tr w:rsidR="00561395" w14:paraId="226C242F" w14:textId="77777777">
        <w:trPr>
          <w:trHeight w:val="263"/>
          <w:jc w:val="center"/>
        </w:trPr>
        <w:tc>
          <w:tcPr>
            <w:tcW w:w="1447" w:type="dxa"/>
            <w:vMerge/>
            <w:shd w:val="clear" w:color="auto" w:fill="auto"/>
            <w:vAlign w:val="center"/>
          </w:tcPr>
          <w:p w14:paraId="107DD19A"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45DEB6AB"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w:t>
            </w:r>
            <w:r>
              <w:rPr>
                <w:rFonts w:ascii="Times New Roman" w:eastAsia="宋体" w:hAnsi="Times New Roman" w:cs="Times New Roman"/>
                <w:color w:val="000000"/>
                <w:kern w:val="0"/>
                <w:sz w:val="18"/>
                <w:szCs w:val="18"/>
                <w:lang w:bidi="ar"/>
              </w:rPr>
              <w:t>少寐</w:t>
            </w:r>
          </w:p>
        </w:tc>
        <w:tc>
          <w:tcPr>
            <w:tcW w:w="654" w:type="dxa"/>
            <w:shd w:val="clear" w:color="auto" w:fill="auto"/>
            <w:vAlign w:val="center"/>
          </w:tcPr>
          <w:p w14:paraId="0C12A108"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3.38</w:t>
            </w:r>
          </w:p>
        </w:tc>
        <w:tc>
          <w:tcPr>
            <w:tcW w:w="573" w:type="dxa"/>
            <w:shd w:val="clear" w:color="auto" w:fill="auto"/>
            <w:vAlign w:val="center"/>
          </w:tcPr>
          <w:p w14:paraId="41B85A64"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0.15 </w:t>
            </w:r>
          </w:p>
        </w:tc>
        <w:tc>
          <w:tcPr>
            <w:tcW w:w="648" w:type="dxa"/>
            <w:shd w:val="clear" w:color="auto" w:fill="auto"/>
            <w:vAlign w:val="bottom"/>
          </w:tcPr>
          <w:p w14:paraId="587087CB"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38%</w:t>
            </w:r>
          </w:p>
        </w:tc>
        <w:tc>
          <w:tcPr>
            <w:tcW w:w="976" w:type="dxa"/>
            <w:shd w:val="clear" w:color="auto" w:fill="auto"/>
            <w:vAlign w:val="center"/>
          </w:tcPr>
          <w:p w14:paraId="70164BF0"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07B85B4C" w14:textId="77777777">
        <w:trPr>
          <w:trHeight w:val="263"/>
          <w:jc w:val="center"/>
        </w:trPr>
        <w:tc>
          <w:tcPr>
            <w:tcW w:w="1447" w:type="dxa"/>
            <w:vMerge/>
            <w:shd w:val="clear" w:color="auto" w:fill="auto"/>
            <w:vAlign w:val="center"/>
          </w:tcPr>
          <w:p w14:paraId="29B4EB6E"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1CB891F6"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(5)</w:t>
            </w:r>
            <w:r>
              <w:rPr>
                <w:rFonts w:ascii="Times New Roman" w:eastAsia="宋体" w:hAnsi="Times New Roman" w:cs="Times New Roman"/>
                <w:color w:val="000000"/>
                <w:kern w:val="0"/>
                <w:sz w:val="18"/>
                <w:szCs w:val="18"/>
                <w:lang w:bidi="ar"/>
              </w:rPr>
              <w:t>多梦</w:t>
            </w:r>
          </w:p>
        </w:tc>
        <w:tc>
          <w:tcPr>
            <w:tcW w:w="654" w:type="dxa"/>
            <w:shd w:val="clear" w:color="auto" w:fill="auto"/>
            <w:vAlign w:val="center"/>
          </w:tcPr>
          <w:p w14:paraId="6FC44A47"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3.31</w:t>
            </w:r>
          </w:p>
        </w:tc>
        <w:tc>
          <w:tcPr>
            <w:tcW w:w="573" w:type="dxa"/>
            <w:shd w:val="clear" w:color="auto" w:fill="auto"/>
            <w:vAlign w:val="center"/>
          </w:tcPr>
          <w:p w14:paraId="586283AC"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0.17 </w:t>
            </w:r>
          </w:p>
        </w:tc>
        <w:tc>
          <w:tcPr>
            <w:tcW w:w="648" w:type="dxa"/>
            <w:shd w:val="clear" w:color="auto" w:fill="auto"/>
            <w:vAlign w:val="bottom"/>
          </w:tcPr>
          <w:p w14:paraId="56623D51"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27%</w:t>
            </w:r>
          </w:p>
        </w:tc>
        <w:tc>
          <w:tcPr>
            <w:tcW w:w="976" w:type="dxa"/>
            <w:shd w:val="clear" w:color="auto" w:fill="auto"/>
            <w:vAlign w:val="center"/>
          </w:tcPr>
          <w:p w14:paraId="11D7327B"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3B6D863D" w14:textId="77777777">
        <w:trPr>
          <w:trHeight w:val="263"/>
          <w:jc w:val="center"/>
        </w:trPr>
        <w:tc>
          <w:tcPr>
            <w:tcW w:w="1447" w:type="dxa"/>
            <w:vMerge/>
            <w:shd w:val="clear" w:color="auto" w:fill="auto"/>
            <w:vAlign w:val="center"/>
          </w:tcPr>
          <w:p w14:paraId="46933871"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18E92BFB"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(6)</w:t>
            </w:r>
            <w:r>
              <w:rPr>
                <w:rFonts w:ascii="Times New Roman" w:eastAsia="宋体" w:hAnsi="Times New Roman" w:cs="Times New Roman"/>
                <w:color w:val="000000"/>
                <w:kern w:val="0"/>
                <w:sz w:val="18"/>
                <w:szCs w:val="18"/>
                <w:lang w:bidi="ar"/>
              </w:rPr>
              <w:t>健忘</w:t>
            </w:r>
          </w:p>
        </w:tc>
        <w:tc>
          <w:tcPr>
            <w:tcW w:w="654" w:type="dxa"/>
            <w:shd w:val="clear" w:color="auto" w:fill="auto"/>
            <w:vAlign w:val="center"/>
          </w:tcPr>
          <w:p w14:paraId="4449095C"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3.96</w:t>
            </w:r>
          </w:p>
        </w:tc>
        <w:tc>
          <w:tcPr>
            <w:tcW w:w="573" w:type="dxa"/>
            <w:shd w:val="clear" w:color="auto" w:fill="auto"/>
            <w:vAlign w:val="center"/>
          </w:tcPr>
          <w:p w14:paraId="40F8EBB5"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0.18 </w:t>
            </w:r>
          </w:p>
        </w:tc>
        <w:tc>
          <w:tcPr>
            <w:tcW w:w="648" w:type="dxa"/>
            <w:shd w:val="clear" w:color="auto" w:fill="auto"/>
            <w:vAlign w:val="bottom"/>
          </w:tcPr>
          <w:p w14:paraId="28775E11"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73%</w:t>
            </w:r>
          </w:p>
        </w:tc>
        <w:tc>
          <w:tcPr>
            <w:tcW w:w="976" w:type="dxa"/>
            <w:shd w:val="clear" w:color="auto" w:fill="auto"/>
            <w:vAlign w:val="center"/>
          </w:tcPr>
          <w:p w14:paraId="06606774"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达成共识</w:t>
            </w:r>
          </w:p>
        </w:tc>
      </w:tr>
      <w:tr w:rsidR="00561395" w14:paraId="7BC0F961" w14:textId="77777777">
        <w:trPr>
          <w:trHeight w:val="263"/>
          <w:jc w:val="center"/>
        </w:trPr>
        <w:tc>
          <w:tcPr>
            <w:tcW w:w="1447" w:type="dxa"/>
            <w:vMerge/>
            <w:shd w:val="clear" w:color="auto" w:fill="auto"/>
            <w:vAlign w:val="center"/>
          </w:tcPr>
          <w:p w14:paraId="73C3955E"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314634BB"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(7)</w:t>
            </w:r>
            <w:r>
              <w:rPr>
                <w:rFonts w:ascii="Times New Roman" w:eastAsia="宋体" w:hAnsi="Times New Roman" w:cs="Times New Roman"/>
                <w:color w:val="000000"/>
                <w:kern w:val="0"/>
                <w:sz w:val="18"/>
                <w:szCs w:val="18"/>
                <w:lang w:bidi="ar"/>
              </w:rPr>
              <w:t>两目干涩</w:t>
            </w:r>
          </w:p>
        </w:tc>
        <w:tc>
          <w:tcPr>
            <w:tcW w:w="654" w:type="dxa"/>
            <w:shd w:val="clear" w:color="auto" w:fill="auto"/>
            <w:vAlign w:val="center"/>
          </w:tcPr>
          <w:p w14:paraId="6D61ADE4"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3.69</w:t>
            </w:r>
          </w:p>
        </w:tc>
        <w:tc>
          <w:tcPr>
            <w:tcW w:w="573" w:type="dxa"/>
            <w:shd w:val="clear" w:color="auto" w:fill="auto"/>
            <w:vAlign w:val="center"/>
          </w:tcPr>
          <w:p w14:paraId="5758FA5D"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0.18 </w:t>
            </w:r>
          </w:p>
        </w:tc>
        <w:tc>
          <w:tcPr>
            <w:tcW w:w="648" w:type="dxa"/>
            <w:shd w:val="clear" w:color="auto" w:fill="auto"/>
            <w:vAlign w:val="bottom"/>
          </w:tcPr>
          <w:p w14:paraId="0B89A96A"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58%</w:t>
            </w:r>
          </w:p>
        </w:tc>
        <w:tc>
          <w:tcPr>
            <w:tcW w:w="976" w:type="dxa"/>
            <w:shd w:val="clear" w:color="auto" w:fill="auto"/>
            <w:vAlign w:val="center"/>
          </w:tcPr>
          <w:p w14:paraId="3B350300"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待共识</w:t>
            </w:r>
          </w:p>
        </w:tc>
      </w:tr>
      <w:tr w:rsidR="00561395" w14:paraId="592FA96C" w14:textId="77777777">
        <w:trPr>
          <w:trHeight w:val="263"/>
          <w:jc w:val="center"/>
        </w:trPr>
        <w:tc>
          <w:tcPr>
            <w:tcW w:w="1447" w:type="dxa"/>
            <w:vMerge/>
            <w:shd w:val="clear" w:color="auto" w:fill="auto"/>
            <w:vAlign w:val="center"/>
          </w:tcPr>
          <w:p w14:paraId="352BEB09"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70E48837"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(8)</w:t>
            </w:r>
            <w:r>
              <w:rPr>
                <w:rFonts w:ascii="Times New Roman" w:eastAsia="宋体" w:hAnsi="Times New Roman" w:cs="Times New Roman"/>
                <w:color w:val="000000"/>
                <w:kern w:val="0"/>
                <w:sz w:val="18"/>
                <w:szCs w:val="18"/>
                <w:lang w:bidi="ar"/>
              </w:rPr>
              <w:t>视力减退</w:t>
            </w:r>
          </w:p>
        </w:tc>
        <w:tc>
          <w:tcPr>
            <w:tcW w:w="654" w:type="dxa"/>
            <w:shd w:val="clear" w:color="auto" w:fill="auto"/>
            <w:vAlign w:val="center"/>
          </w:tcPr>
          <w:p w14:paraId="0A4A9EEB"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3.54</w:t>
            </w:r>
          </w:p>
        </w:tc>
        <w:tc>
          <w:tcPr>
            <w:tcW w:w="573" w:type="dxa"/>
            <w:shd w:val="clear" w:color="auto" w:fill="auto"/>
            <w:vAlign w:val="center"/>
          </w:tcPr>
          <w:p w14:paraId="6BBF5770"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0.18 </w:t>
            </w:r>
          </w:p>
        </w:tc>
        <w:tc>
          <w:tcPr>
            <w:tcW w:w="648" w:type="dxa"/>
            <w:shd w:val="clear" w:color="auto" w:fill="auto"/>
            <w:vAlign w:val="bottom"/>
          </w:tcPr>
          <w:p w14:paraId="268A5B20"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46%</w:t>
            </w:r>
          </w:p>
        </w:tc>
        <w:tc>
          <w:tcPr>
            <w:tcW w:w="976" w:type="dxa"/>
            <w:shd w:val="clear" w:color="auto" w:fill="auto"/>
            <w:vAlign w:val="center"/>
          </w:tcPr>
          <w:p w14:paraId="24D6A2C8"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4E9EA6C2" w14:textId="77777777">
        <w:trPr>
          <w:trHeight w:val="273"/>
          <w:jc w:val="center"/>
        </w:trPr>
        <w:tc>
          <w:tcPr>
            <w:tcW w:w="1447" w:type="dxa"/>
            <w:vMerge/>
            <w:shd w:val="clear" w:color="auto" w:fill="auto"/>
            <w:vAlign w:val="center"/>
          </w:tcPr>
          <w:p w14:paraId="14837B1D"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1316CA13"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(9)</w:t>
            </w:r>
            <w:r>
              <w:rPr>
                <w:rFonts w:ascii="Times New Roman" w:eastAsia="宋体" w:hAnsi="Times New Roman" w:cs="Times New Roman"/>
                <w:color w:val="000000"/>
                <w:kern w:val="0"/>
                <w:sz w:val="18"/>
                <w:szCs w:val="18"/>
                <w:lang w:bidi="ar"/>
              </w:rPr>
              <w:t>耳鸣</w:t>
            </w:r>
          </w:p>
        </w:tc>
        <w:tc>
          <w:tcPr>
            <w:tcW w:w="654" w:type="dxa"/>
            <w:shd w:val="clear" w:color="auto" w:fill="auto"/>
            <w:vAlign w:val="center"/>
          </w:tcPr>
          <w:p w14:paraId="6C52F9C4"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3.96</w:t>
            </w:r>
          </w:p>
        </w:tc>
        <w:tc>
          <w:tcPr>
            <w:tcW w:w="573" w:type="dxa"/>
            <w:shd w:val="clear" w:color="auto" w:fill="auto"/>
            <w:vAlign w:val="center"/>
          </w:tcPr>
          <w:p w14:paraId="4644BD41"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0.15 </w:t>
            </w:r>
          </w:p>
        </w:tc>
        <w:tc>
          <w:tcPr>
            <w:tcW w:w="648" w:type="dxa"/>
            <w:shd w:val="clear" w:color="auto" w:fill="auto"/>
            <w:vAlign w:val="bottom"/>
          </w:tcPr>
          <w:p w14:paraId="561D3390"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81%</w:t>
            </w:r>
          </w:p>
        </w:tc>
        <w:tc>
          <w:tcPr>
            <w:tcW w:w="976" w:type="dxa"/>
            <w:shd w:val="clear" w:color="auto" w:fill="auto"/>
            <w:vAlign w:val="center"/>
          </w:tcPr>
          <w:p w14:paraId="39500A0F"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达成共识</w:t>
            </w:r>
          </w:p>
        </w:tc>
      </w:tr>
      <w:tr w:rsidR="00561395" w14:paraId="70FA4B8B" w14:textId="77777777">
        <w:trPr>
          <w:trHeight w:val="263"/>
          <w:jc w:val="center"/>
        </w:trPr>
        <w:tc>
          <w:tcPr>
            <w:tcW w:w="1447" w:type="dxa"/>
            <w:vMerge/>
            <w:shd w:val="clear" w:color="auto" w:fill="auto"/>
            <w:vAlign w:val="center"/>
          </w:tcPr>
          <w:p w14:paraId="37703AFE"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6793E5EE"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(10)</w:t>
            </w:r>
            <w:r>
              <w:rPr>
                <w:rFonts w:ascii="Times New Roman" w:eastAsia="宋体" w:hAnsi="Times New Roman" w:cs="Times New Roman"/>
                <w:color w:val="000000"/>
                <w:kern w:val="0"/>
                <w:sz w:val="18"/>
                <w:szCs w:val="18"/>
                <w:lang w:bidi="ar"/>
              </w:rPr>
              <w:t>齿摇</w:t>
            </w:r>
          </w:p>
        </w:tc>
        <w:tc>
          <w:tcPr>
            <w:tcW w:w="654" w:type="dxa"/>
            <w:shd w:val="clear" w:color="auto" w:fill="auto"/>
            <w:vAlign w:val="center"/>
          </w:tcPr>
          <w:p w14:paraId="2FE8DC7D"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3.73</w:t>
            </w:r>
          </w:p>
        </w:tc>
        <w:tc>
          <w:tcPr>
            <w:tcW w:w="573" w:type="dxa"/>
            <w:shd w:val="clear" w:color="auto" w:fill="auto"/>
            <w:vAlign w:val="center"/>
          </w:tcPr>
          <w:p w14:paraId="135F7903"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0.19 </w:t>
            </w:r>
          </w:p>
        </w:tc>
        <w:tc>
          <w:tcPr>
            <w:tcW w:w="648" w:type="dxa"/>
            <w:shd w:val="clear" w:color="auto" w:fill="auto"/>
            <w:vAlign w:val="bottom"/>
          </w:tcPr>
          <w:p w14:paraId="50B21426"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58%</w:t>
            </w:r>
          </w:p>
        </w:tc>
        <w:tc>
          <w:tcPr>
            <w:tcW w:w="976" w:type="dxa"/>
            <w:shd w:val="clear" w:color="auto" w:fill="auto"/>
            <w:vAlign w:val="center"/>
          </w:tcPr>
          <w:p w14:paraId="5ABBC826"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待共识</w:t>
            </w:r>
          </w:p>
        </w:tc>
      </w:tr>
      <w:tr w:rsidR="00561395" w14:paraId="531E5C27" w14:textId="77777777">
        <w:trPr>
          <w:trHeight w:val="263"/>
          <w:jc w:val="center"/>
        </w:trPr>
        <w:tc>
          <w:tcPr>
            <w:tcW w:w="1447" w:type="dxa"/>
            <w:vMerge/>
            <w:shd w:val="clear" w:color="auto" w:fill="auto"/>
            <w:vAlign w:val="center"/>
          </w:tcPr>
          <w:p w14:paraId="4D31095C"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6D40DD9E"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(11)</w:t>
            </w:r>
            <w:r>
              <w:rPr>
                <w:rFonts w:ascii="Times New Roman" w:eastAsia="宋体" w:hAnsi="Times New Roman" w:cs="Times New Roman"/>
                <w:color w:val="000000"/>
                <w:kern w:val="0"/>
                <w:sz w:val="18"/>
                <w:szCs w:val="18"/>
                <w:lang w:bidi="ar"/>
              </w:rPr>
              <w:t>颧红</w:t>
            </w:r>
          </w:p>
        </w:tc>
        <w:tc>
          <w:tcPr>
            <w:tcW w:w="654" w:type="dxa"/>
            <w:shd w:val="clear" w:color="auto" w:fill="auto"/>
            <w:vAlign w:val="center"/>
          </w:tcPr>
          <w:p w14:paraId="6C82F660"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3.31</w:t>
            </w:r>
          </w:p>
        </w:tc>
        <w:tc>
          <w:tcPr>
            <w:tcW w:w="573" w:type="dxa"/>
            <w:shd w:val="clear" w:color="auto" w:fill="auto"/>
            <w:vAlign w:val="center"/>
          </w:tcPr>
          <w:p w14:paraId="7732A401"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0.21 </w:t>
            </w:r>
          </w:p>
        </w:tc>
        <w:tc>
          <w:tcPr>
            <w:tcW w:w="648" w:type="dxa"/>
            <w:shd w:val="clear" w:color="auto" w:fill="auto"/>
            <w:vAlign w:val="bottom"/>
          </w:tcPr>
          <w:p w14:paraId="6CCAA030"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35%</w:t>
            </w:r>
          </w:p>
        </w:tc>
        <w:tc>
          <w:tcPr>
            <w:tcW w:w="976" w:type="dxa"/>
            <w:shd w:val="clear" w:color="auto" w:fill="auto"/>
            <w:vAlign w:val="center"/>
          </w:tcPr>
          <w:p w14:paraId="34704BF2"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7B0FF0DA" w14:textId="77777777">
        <w:trPr>
          <w:trHeight w:val="263"/>
          <w:jc w:val="center"/>
        </w:trPr>
        <w:tc>
          <w:tcPr>
            <w:tcW w:w="1447" w:type="dxa"/>
            <w:vMerge/>
            <w:shd w:val="clear" w:color="auto" w:fill="auto"/>
            <w:vAlign w:val="center"/>
          </w:tcPr>
          <w:p w14:paraId="4EC22AD2"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09F18E4A"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(12)</w:t>
            </w:r>
            <w:r>
              <w:rPr>
                <w:rFonts w:ascii="Times New Roman" w:eastAsia="宋体" w:hAnsi="Times New Roman" w:cs="Times New Roman"/>
                <w:color w:val="000000"/>
                <w:kern w:val="0"/>
                <w:sz w:val="18"/>
                <w:szCs w:val="18"/>
                <w:lang w:bidi="ar"/>
              </w:rPr>
              <w:t>咽干</w:t>
            </w:r>
          </w:p>
        </w:tc>
        <w:tc>
          <w:tcPr>
            <w:tcW w:w="654" w:type="dxa"/>
            <w:shd w:val="clear" w:color="auto" w:fill="auto"/>
            <w:vAlign w:val="center"/>
          </w:tcPr>
          <w:p w14:paraId="12EC51C0"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3.38</w:t>
            </w:r>
          </w:p>
        </w:tc>
        <w:tc>
          <w:tcPr>
            <w:tcW w:w="573" w:type="dxa"/>
            <w:shd w:val="clear" w:color="auto" w:fill="auto"/>
            <w:vAlign w:val="center"/>
          </w:tcPr>
          <w:p w14:paraId="0F08F451"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0.15 </w:t>
            </w:r>
          </w:p>
        </w:tc>
        <w:tc>
          <w:tcPr>
            <w:tcW w:w="648" w:type="dxa"/>
            <w:shd w:val="clear" w:color="auto" w:fill="auto"/>
            <w:vAlign w:val="bottom"/>
          </w:tcPr>
          <w:p w14:paraId="6591786D"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38%</w:t>
            </w:r>
          </w:p>
        </w:tc>
        <w:tc>
          <w:tcPr>
            <w:tcW w:w="976" w:type="dxa"/>
            <w:shd w:val="clear" w:color="auto" w:fill="auto"/>
            <w:vAlign w:val="center"/>
          </w:tcPr>
          <w:p w14:paraId="18C5E5DC"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345E66B0" w14:textId="77777777">
        <w:trPr>
          <w:trHeight w:val="263"/>
          <w:jc w:val="center"/>
        </w:trPr>
        <w:tc>
          <w:tcPr>
            <w:tcW w:w="1447" w:type="dxa"/>
            <w:vMerge/>
            <w:shd w:val="clear" w:color="auto" w:fill="auto"/>
            <w:vAlign w:val="center"/>
          </w:tcPr>
          <w:p w14:paraId="2D97C36C"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3230D330"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(13)</w:t>
            </w:r>
            <w:r>
              <w:rPr>
                <w:rFonts w:ascii="Times New Roman" w:eastAsia="宋体" w:hAnsi="Times New Roman" w:cs="Times New Roman"/>
                <w:color w:val="000000"/>
                <w:kern w:val="0"/>
                <w:sz w:val="18"/>
                <w:szCs w:val="18"/>
                <w:lang w:bidi="ar"/>
              </w:rPr>
              <w:t>五心烦热</w:t>
            </w:r>
          </w:p>
        </w:tc>
        <w:tc>
          <w:tcPr>
            <w:tcW w:w="654" w:type="dxa"/>
            <w:shd w:val="clear" w:color="auto" w:fill="auto"/>
            <w:vAlign w:val="center"/>
          </w:tcPr>
          <w:p w14:paraId="1622A0D2"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3.5</w:t>
            </w:r>
          </w:p>
        </w:tc>
        <w:tc>
          <w:tcPr>
            <w:tcW w:w="573" w:type="dxa"/>
            <w:shd w:val="clear" w:color="auto" w:fill="auto"/>
            <w:vAlign w:val="center"/>
          </w:tcPr>
          <w:p w14:paraId="49805D99"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0.22 </w:t>
            </w:r>
          </w:p>
        </w:tc>
        <w:tc>
          <w:tcPr>
            <w:tcW w:w="648" w:type="dxa"/>
            <w:shd w:val="clear" w:color="auto" w:fill="auto"/>
            <w:vAlign w:val="bottom"/>
          </w:tcPr>
          <w:p w14:paraId="5C939118"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42%</w:t>
            </w:r>
          </w:p>
        </w:tc>
        <w:tc>
          <w:tcPr>
            <w:tcW w:w="976" w:type="dxa"/>
            <w:shd w:val="clear" w:color="auto" w:fill="auto"/>
            <w:vAlign w:val="center"/>
          </w:tcPr>
          <w:p w14:paraId="24322FBF"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544A29B0" w14:textId="77777777">
        <w:trPr>
          <w:trHeight w:val="263"/>
          <w:jc w:val="center"/>
        </w:trPr>
        <w:tc>
          <w:tcPr>
            <w:tcW w:w="1447" w:type="dxa"/>
            <w:vMerge/>
            <w:shd w:val="clear" w:color="auto" w:fill="auto"/>
            <w:vAlign w:val="center"/>
          </w:tcPr>
          <w:p w14:paraId="24963F89"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33103D31"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(14)</w:t>
            </w:r>
            <w:r>
              <w:rPr>
                <w:rFonts w:ascii="Times New Roman" w:eastAsia="宋体" w:hAnsi="Times New Roman" w:cs="Times New Roman"/>
                <w:color w:val="000000"/>
                <w:kern w:val="0"/>
                <w:sz w:val="18"/>
                <w:szCs w:val="18"/>
                <w:lang w:bidi="ar"/>
              </w:rPr>
              <w:t>遗精滑泄</w:t>
            </w:r>
          </w:p>
        </w:tc>
        <w:tc>
          <w:tcPr>
            <w:tcW w:w="654" w:type="dxa"/>
            <w:shd w:val="clear" w:color="auto" w:fill="auto"/>
            <w:vAlign w:val="center"/>
          </w:tcPr>
          <w:p w14:paraId="11085326"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3.73</w:t>
            </w:r>
          </w:p>
        </w:tc>
        <w:tc>
          <w:tcPr>
            <w:tcW w:w="573" w:type="dxa"/>
            <w:shd w:val="clear" w:color="auto" w:fill="auto"/>
            <w:vAlign w:val="center"/>
          </w:tcPr>
          <w:p w14:paraId="076AA430"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0.22 </w:t>
            </w:r>
          </w:p>
        </w:tc>
        <w:tc>
          <w:tcPr>
            <w:tcW w:w="648" w:type="dxa"/>
            <w:shd w:val="clear" w:color="auto" w:fill="auto"/>
            <w:vAlign w:val="bottom"/>
          </w:tcPr>
          <w:p w14:paraId="21296E93"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58%</w:t>
            </w:r>
          </w:p>
        </w:tc>
        <w:tc>
          <w:tcPr>
            <w:tcW w:w="976" w:type="dxa"/>
            <w:shd w:val="clear" w:color="auto" w:fill="auto"/>
            <w:vAlign w:val="center"/>
          </w:tcPr>
          <w:p w14:paraId="4D83CC87"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待共识</w:t>
            </w:r>
          </w:p>
        </w:tc>
      </w:tr>
      <w:tr w:rsidR="00561395" w14:paraId="263B1554" w14:textId="77777777">
        <w:trPr>
          <w:trHeight w:val="263"/>
          <w:jc w:val="center"/>
        </w:trPr>
        <w:tc>
          <w:tcPr>
            <w:tcW w:w="1447" w:type="dxa"/>
            <w:vMerge/>
            <w:shd w:val="clear" w:color="auto" w:fill="auto"/>
            <w:vAlign w:val="center"/>
          </w:tcPr>
          <w:p w14:paraId="3C2E2C30"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526212D1"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(15)</w:t>
            </w:r>
            <w:r>
              <w:rPr>
                <w:rFonts w:ascii="Times New Roman" w:eastAsia="宋体" w:hAnsi="Times New Roman" w:cs="Times New Roman"/>
                <w:color w:val="000000"/>
                <w:kern w:val="0"/>
                <w:sz w:val="18"/>
                <w:szCs w:val="18"/>
                <w:lang w:bidi="ar"/>
              </w:rPr>
              <w:t>形寒肢冷</w:t>
            </w:r>
          </w:p>
        </w:tc>
        <w:tc>
          <w:tcPr>
            <w:tcW w:w="654" w:type="dxa"/>
            <w:shd w:val="clear" w:color="auto" w:fill="auto"/>
            <w:vAlign w:val="center"/>
          </w:tcPr>
          <w:p w14:paraId="1778AC8D"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3.5</w:t>
            </w:r>
          </w:p>
        </w:tc>
        <w:tc>
          <w:tcPr>
            <w:tcW w:w="573" w:type="dxa"/>
            <w:shd w:val="clear" w:color="auto" w:fill="auto"/>
            <w:vAlign w:val="center"/>
          </w:tcPr>
          <w:p w14:paraId="0B8061C9"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0.20 </w:t>
            </w:r>
          </w:p>
        </w:tc>
        <w:tc>
          <w:tcPr>
            <w:tcW w:w="648" w:type="dxa"/>
            <w:shd w:val="clear" w:color="auto" w:fill="auto"/>
            <w:vAlign w:val="bottom"/>
          </w:tcPr>
          <w:p w14:paraId="57341736"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46%</w:t>
            </w:r>
          </w:p>
        </w:tc>
        <w:tc>
          <w:tcPr>
            <w:tcW w:w="976" w:type="dxa"/>
            <w:shd w:val="clear" w:color="auto" w:fill="auto"/>
            <w:vAlign w:val="center"/>
          </w:tcPr>
          <w:p w14:paraId="046B5F7E"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29E192A8" w14:textId="77777777">
        <w:trPr>
          <w:trHeight w:val="263"/>
          <w:jc w:val="center"/>
        </w:trPr>
        <w:tc>
          <w:tcPr>
            <w:tcW w:w="1447" w:type="dxa"/>
            <w:vMerge/>
            <w:shd w:val="clear" w:color="auto" w:fill="auto"/>
            <w:vAlign w:val="center"/>
          </w:tcPr>
          <w:p w14:paraId="43AE05F7"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0627B564"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(16)</w:t>
            </w:r>
            <w:r>
              <w:rPr>
                <w:rFonts w:ascii="Times New Roman" w:eastAsia="宋体" w:hAnsi="Times New Roman" w:cs="Times New Roman"/>
                <w:color w:val="000000"/>
                <w:kern w:val="0"/>
                <w:sz w:val="18"/>
                <w:szCs w:val="18"/>
                <w:lang w:bidi="ar"/>
              </w:rPr>
              <w:t>腰酸膝软</w:t>
            </w:r>
          </w:p>
        </w:tc>
        <w:tc>
          <w:tcPr>
            <w:tcW w:w="654" w:type="dxa"/>
            <w:shd w:val="clear" w:color="auto" w:fill="auto"/>
            <w:vAlign w:val="center"/>
          </w:tcPr>
          <w:p w14:paraId="3C667CF1"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4.31</w:t>
            </w:r>
          </w:p>
        </w:tc>
        <w:tc>
          <w:tcPr>
            <w:tcW w:w="573" w:type="dxa"/>
            <w:shd w:val="clear" w:color="auto" w:fill="auto"/>
            <w:vAlign w:val="center"/>
          </w:tcPr>
          <w:p w14:paraId="42D40B8F"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0.16 </w:t>
            </w:r>
          </w:p>
        </w:tc>
        <w:tc>
          <w:tcPr>
            <w:tcW w:w="648" w:type="dxa"/>
            <w:shd w:val="clear" w:color="auto" w:fill="auto"/>
            <w:vAlign w:val="bottom"/>
          </w:tcPr>
          <w:p w14:paraId="5BCC36E7"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88%</w:t>
            </w:r>
          </w:p>
        </w:tc>
        <w:tc>
          <w:tcPr>
            <w:tcW w:w="976" w:type="dxa"/>
            <w:shd w:val="clear" w:color="auto" w:fill="auto"/>
            <w:vAlign w:val="center"/>
          </w:tcPr>
          <w:p w14:paraId="44632079"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达成共识</w:t>
            </w:r>
          </w:p>
        </w:tc>
      </w:tr>
      <w:tr w:rsidR="00561395" w14:paraId="3BABE0AC" w14:textId="77777777">
        <w:trPr>
          <w:trHeight w:val="263"/>
          <w:jc w:val="center"/>
        </w:trPr>
        <w:tc>
          <w:tcPr>
            <w:tcW w:w="1447" w:type="dxa"/>
            <w:vMerge/>
            <w:shd w:val="clear" w:color="auto" w:fill="auto"/>
            <w:vAlign w:val="center"/>
          </w:tcPr>
          <w:p w14:paraId="4DC4028F"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73A30562"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(17)</w:t>
            </w:r>
            <w:r>
              <w:rPr>
                <w:rFonts w:ascii="Times New Roman" w:eastAsia="宋体" w:hAnsi="Times New Roman" w:cs="Times New Roman"/>
                <w:color w:val="000000"/>
                <w:kern w:val="0"/>
                <w:sz w:val="18"/>
                <w:szCs w:val="18"/>
                <w:lang w:bidi="ar"/>
              </w:rPr>
              <w:t>舌质红</w:t>
            </w:r>
          </w:p>
        </w:tc>
        <w:tc>
          <w:tcPr>
            <w:tcW w:w="654" w:type="dxa"/>
            <w:shd w:val="clear" w:color="auto" w:fill="auto"/>
            <w:vAlign w:val="center"/>
          </w:tcPr>
          <w:p w14:paraId="50126DD9"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3.46</w:t>
            </w:r>
          </w:p>
        </w:tc>
        <w:tc>
          <w:tcPr>
            <w:tcW w:w="573" w:type="dxa"/>
            <w:shd w:val="clear" w:color="auto" w:fill="auto"/>
            <w:vAlign w:val="center"/>
          </w:tcPr>
          <w:p w14:paraId="6E0CF160"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0.23 </w:t>
            </w:r>
          </w:p>
        </w:tc>
        <w:tc>
          <w:tcPr>
            <w:tcW w:w="648" w:type="dxa"/>
            <w:shd w:val="clear" w:color="auto" w:fill="auto"/>
            <w:vAlign w:val="bottom"/>
          </w:tcPr>
          <w:p w14:paraId="0194DE06"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35%</w:t>
            </w:r>
          </w:p>
        </w:tc>
        <w:tc>
          <w:tcPr>
            <w:tcW w:w="976" w:type="dxa"/>
            <w:shd w:val="clear" w:color="auto" w:fill="auto"/>
            <w:vAlign w:val="center"/>
          </w:tcPr>
          <w:p w14:paraId="47164041"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3474932C" w14:textId="77777777">
        <w:trPr>
          <w:trHeight w:val="263"/>
          <w:jc w:val="center"/>
        </w:trPr>
        <w:tc>
          <w:tcPr>
            <w:tcW w:w="1447" w:type="dxa"/>
            <w:vMerge/>
            <w:shd w:val="clear" w:color="auto" w:fill="auto"/>
            <w:vAlign w:val="center"/>
          </w:tcPr>
          <w:p w14:paraId="4BD6EA5E"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0EEA07B8"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(18)</w:t>
            </w:r>
            <w:r>
              <w:rPr>
                <w:rFonts w:ascii="Times New Roman" w:eastAsia="宋体" w:hAnsi="Times New Roman" w:cs="Times New Roman"/>
                <w:color w:val="000000"/>
                <w:kern w:val="0"/>
                <w:sz w:val="18"/>
                <w:szCs w:val="18"/>
                <w:lang w:bidi="ar"/>
              </w:rPr>
              <w:t>舌淡嫩</w:t>
            </w:r>
          </w:p>
        </w:tc>
        <w:tc>
          <w:tcPr>
            <w:tcW w:w="654" w:type="dxa"/>
            <w:shd w:val="clear" w:color="auto" w:fill="auto"/>
            <w:vAlign w:val="center"/>
          </w:tcPr>
          <w:p w14:paraId="4336E314"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3.65</w:t>
            </w:r>
          </w:p>
        </w:tc>
        <w:tc>
          <w:tcPr>
            <w:tcW w:w="573" w:type="dxa"/>
            <w:shd w:val="clear" w:color="auto" w:fill="auto"/>
            <w:vAlign w:val="center"/>
          </w:tcPr>
          <w:p w14:paraId="2BB249D0"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0.22 </w:t>
            </w:r>
          </w:p>
        </w:tc>
        <w:tc>
          <w:tcPr>
            <w:tcW w:w="648" w:type="dxa"/>
            <w:shd w:val="clear" w:color="auto" w:fill="auto"/>
            <w:vAlign w:val="bottom"/>
          </w:tcPr>
          <w:p w14:paraId="71C67857"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46%</w:t>
            </w:r>
          </w:p>
        </w:tc>
        <w:tc>
          <w:tcPr>
            <w:tcW w:w="976" w:type="dxa"/>
            <w:shd w:val="clear" w:color="auto" w:fill="auto"/>
            <w:vAlign w:val="center"/>
          </w:tcPr>
          <w:p w14:paraId="6603A241"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5CAF16AF" w14:textId="77777777">
        <w:trPr>
          <w:trHeight w:val="263"/>
          <w:jc w:val="center"/>
        </w:trPr>
        <w:tc>
          <w:tcPr>
            <w:tcW w:w="1447" w:type="dxa"/>
            <w:vMerge/>
            <w:shd w:val="clear" w:color="auto" w:fill="auto"/>
            <w:vAlign w:val="center"/>
          </w:tcPr>
          <w:p w14:paraId="773EC69D"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3E5667C0"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(19)</w:t>
            </w:r>
            <w:r>
              <w:rPr>
                <w:rFonts w:ascii="Times New Roman" w:eastAsia="宋体" w:hAnsi="Times New Roman" w:cs="Times New Roman"/>
                <w:color w:val="000000"/>
                <w:kern w:val="0"/>
                <w:sz w:val="18"/>
                <w:szCs w:val="18"/>
                <w:lang w:bidi="ar"/>
              </w:rPr>
              <w:t>少苔</w:t>
            </w:r>
          </w:p>
        </w:tc>
        <w:tc>
          <w:tcPr>
            <w:tcW w:w="654" w:type="dxa"/>
            <w:shd w:val="clear" w:color="auto" w:fill="auto"/>
            <w:vAlign w:val="center"/>
          </w:tcPr>
          <w:p w14:paraId="13D70E30"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3.54</w:t>
            </w:r>
          </w:p>
        </w:tc>
        <w:tc>
          <w:tcPr>
            <w:tcW w:w="573" w:type="dxa"/>
            <w:shd w:val="clear" w:color="auto" w:fill="auto"/>
            <w:vAlign w:val="center"/>
          </w:tcPr>
          <w:p w14:paraId="3C480E52"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0.18 </w:t>
            </w:r>
          </w:p>
        </w:tc>
        <w:tc>
          <w:tcPr>
            <w:tcW w:w="648" w:type="dxa"/>
            <w:shd w:val="clear" w:color="auto" w:fill="auto"/>
            <w:vAlign w:val="bottom"/>
          </w:tcPr>
          <w:p w14:paraId="335A332F"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46%</w:t>
            </w:r>
          </w:p>
        </w:tc>
        <w:tc>
          <w:tcPr>
            <w:tcW w:w="976" w:type="dxa"/>
            <w:shd w:val="clear" w:color="auto" w:fill="auto"/>
            <w:vAlign w:val="center"/>
          </w:tcPr>
          <w:p w14:paraId="266A7249"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53385F67" w14:textId="77777777">
        <w:trPr>
          <w:trHeight w:val="263"/>
          <w:jc w:val="center"/>
        </w:trPr>
        <w:tc>
          <w:tcPr>
            <w:tcW w:w="1447" w:type="dxa"/>
            <w:vMerge/>
            <w:shd w:val="clear" w:color="auto" w:fill="auto"/>
            <w:vAlign w:val="center"/>
          </w:tcPr>
          <w:p w14:paraId="4406324F"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3CC4C868"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(20)</w:t>
            </w:r>
            <w:r>
              <w:rPr>
                <w:rFonts w:ascii="Times New Roman" w:eastAsia="宋体" w:hAnsi="Times New Roman" w:cs="Times New Roman"/>
                <w:color w:val="000000"/>
                <w:kern w:val="0"/>
                <w:sz w:val="18"/>
                <w:szCs w:val="18"/>
                <w:lang w:bidi="ar"/>
              </w:rPr>
              <w:t>苔白</w:t>
            </w:r>
          </w:p>
        </w:tc>
        <w:tc>
          <w:tcPr>
            <w:tcW w:w="654" w:type="dxa"/>
            <w:shd w:val="clear" w:color="auto" w:fill="auto"/>
            <w:vAlign w:val="center"/>
          </w:tcPr>
          <w:p w14:paraId="6449111A"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3.27</w:t>
            </w:r>
          </w:p>
        </w:tc>
        <w:tc>
          <w:tcPr>
            <w:tcW w:w="573" w:type="dxa"/>
            <w:shd w:val="clear" w:color="auto" w:fill="auto"/>
            <w:vAlign w:val="center"/>
          </w:tcPr>
          <w:p w14:paraId="6221EBAF"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0.18 </w:t>
            </w:r>
          </w:p>
        </w:tc>
        <w:tc>
          <w:tcPr>
            <w:tcW w:w="648" w:type="dxa"/>
            <w:shd w:val="clear" w:color="auto" w:fill="auto"/>
            <w:vAlign w:val="bottom"/>
          </w:tcPr>
          <w:p w14:paraId="4A5B7F3A"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27%</w:t>
            </w:r>
          </w:p>
        </w:tc>
        <w:tc>
          <w:tcPr>
            <w:tcW w:w="976" w:type="dxa"/>
            <w:shd w:val="clear" w:color="auto" w:fill="auto"/>
            <w:vAlign w:val="center"/>
          </w:tcPr>
          <w:p w14:paraId="332CA811"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13E00802" w14:textId="77777777">
        <w:trPr>
          <w:trHeight w:val="263"/>
          <w:jc w:val="center"/>
        </w:trPr>
        <w:tc>
          <w:tcPr>
            <w:tcW w:w="1447" w:type="dxa"/>
            <w:vMerge/>
            <w:shd w:val="clear" w:color="auto" w:fill="auto"/>
            <w:vAlign w:val="center"/>
          </w:tcPr>
          <w:p w14:paraId="34B0DA58"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7FB53955"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(21)</w:t>
            </w:r>
            <w:r>
              <w:rPr>
                <w:rFonts w:ascii="Times New Roman" w:eastAsia="宋体" w:hAnsi="Times New Roman" w:cs="Times New Roman"/>
                <w:color w:val="000000"/>
                <w:kern w:val="0"/>
                <w:sz w:val="18"/>
                <w:szCs w:val="18"/>
                <w:lang w:bidi="ar"/>
              </w:rPr>
              <w:t>脉细数</w:t>
            </w:r>
          </w:p>
        </w:tc>
        <w:tc>
          <w:tcPr>
            <w:tcW w:w="654" w:type="dxa"/>
            <w:shd w:val="clear" w:color="auto" w:fill="auto"/>
            <w:vAlign w:val="center"/>
          </w:tcPr>
          <w:p w14:paraId="66656A23"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3.58</w:t>
            </w:r>
          </w:p>
        </w:tc>
        <w:tc>
          <w:tcPr>
            <w:tcW w:w="573" w:type="dxa"/>
            <w:shd w:val="clear" w:color="auto" w:fill="auto"/>
            <w:vAlign w:val="center"/>
          </w:tcPr>
          <w:p w14:paraId="5BA5AF15"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0.24 </w:t>
            </w:r>
          </w:p>
        </w:tc>
        <w:tc>
          <w:tcPr>
            <w:tcW w:w="648" w:type="dxa"/>
            <w:shd w:val="clear" w:color="auto" w:fill="auto"/>
            <w:vAlign w:val="bottom"/>
          </w:tcPr>
          <w:p w14:paraId="7E3AA7D2"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42%</w:t>
            </w:r>
          </w:p>
        </w:tc>
        <w:tc>
          <w:tcPr>
            <w:tcW w:w="976" w:type="dxa"/>
            <w:shd w:val="clear" w:color="auto" w:fill="auto"/>
            <w:vAlign w:val="center"/>
          </w:tcPr>
          <w:p w14:paraId="2B451269"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2B9969B0" w14:textId="77777777">
        <w:trPr>
          <w:trHeight w:val="263"/>
          <w:jc w:val="center"/>
        </w:trPr>
        <w:tc>
          <w:tcPr>
            <w:tcW w:w="1447" w:type="dxa"/>
            <w:vMerge/>
            <w:shd w:val="clear" w:color="auto" w:fill="auto"/>
            <w:vAlign w:val="center"/>
          </w:tcPr>
          <w:p w14:paraId="14A0019B"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596A58B8"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(22)</w:t>
            </w:r>
            <w:r>
              <w:rPr>
                <w:rFonts w:ascii="Times New Roman" w:eastAsia="宋体" w:hAnsi="Times New Roman" w:cs="Times New Roman"/>
                <w:color w:val="000000"/>
                <w:kern w:val="0"/>
                <w:sz w:val="18"/>
                <w:szCs w:val="18"/>
                <w:lang w:bidi="ar"/>
              </w:rPr>
              <w:t>脉沉细无力</w:t>
            </w:r>
          </w:p>
        </w:tc>
        <w:tc>
          <w:tcPr>
            <w:tcW w:w="654" w:type="dxa"/>
            <w:shd w:val="clear" w:color="auto" w:fill="auto"/>
            <w:vAlign w:val="center"/>
          </w:tcPr>
          <w:p w14:paraId="5FDA7AA3"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3.96</w:t>
            </w:r>
          </w:p>
        </w:tc>
        <w:tc>
          <w:tcPr>
            <w:tcW w:w="573" w:type="dxa"/>
            <w:shd w:val="clear" w:color="auto" w:fill="auto"/>
            <w:vAlign w:val="center"/>
          </w:tcPr>
          <w:p w14:paraId="5B9F995A"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0.23 </w:t>
            </w:r>
          </w:p>
        </w:tc>
        <w:tc>
          <w:tcPr>
            <w:tcW w:w="648" w:type="dxa"/>
            <w:shd w:val="clear" w:color="auto" w:fill="auto"/>
            <w:vAlign w:val="bottom"/>
          </w:tcPr>
          <w:p w14:paraId="14CAFF3E"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58%</w:t>
            </w:r>
          </w:p>
        </w:tc>
        <w:tc>
          <w:tcPr>
            <w:tcW w:w="976" w:type="dxa"/>
            <w:shd w:val="clear" w:color="auto" w:fill="auto"/>
            <w:vAlign w:val="center"/>
          </w:tcPr>
          <w:p w14:paraId="4AAEB66E"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待共识</w:t>
            </w:r>
          </w:p>
        </w:tc>
      </w:tr>
      <w:tr w:rsidR="00561395" w14:paraId="6E7EBFC0" w14:textId="77777777">
        <w:trPr>
          <w:trHeight w:val="263"/>
          <w:jc w:val="center"/>
        </w:trPr>
        <w:tc>
          <w:tcPr>
            <w:tcW w:w="1447" w:type="dxa"/>
            <w:vMerge w:val="restart"/>
            <w:shd w:val="clear" w:color="auto" w:fill="auto"/>
            <w:vAlign w:val="center"/>
          </w:tcPr>
          <w:p w14:paraId="3778429B"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疗效评定</w:t>
            </w:r>
          </w:p>
        </w:tc>
        <w:tc>
          <w:tcPr>
            <w:tcW w:w="4775" w:type="dxa"/>
            <w:shd w:val="clear" w:color="auto" w:fill="auto"/>
            <w:vAlign w:val="center"/>
          </w:tcPr>
          <w:p w14:paraId="1B9FFA98"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增加</w:t>
            </w:r>
            <w:r>
              <w:rPr>
                <w:rStyle w:val="font21"/>
                <w:rFonts w:ascii="宋体" w:eastAsia="宋体" w:hAnsi="宋体" w:cs="宋体" w:hint="eastAsia"/>
                <w:sz w:val="18"/>
                <w:szCs w:val="18"/>
                <w:lang w:bidi="ar"/>
              </w:rPr>
              <w:t>“</w:t>
            </w:r>
            <w:r>
              <w:rPr>
                <w:rFonts w:ascii="Times New Roman" w:eastAsia="宋体" w:hAnsi="Times New Roman" w:cs="Times New Roman"/>
                <w:color w:val="000000"/>
                <w:kern w:val="0"/>
                <w:sz w:val="18"/>
                <w:szCs w:val="18"/>
                <w:lang w:bidi="ar"/>
              </w:rPr>
              <w:t>显效</w:t>
            </w:r>
            <w:r>
              <w:rPr>
                <w:rStyle w:val="font21"/>
                <w:rFonts w:ascii="宋体" w:eastAsia="宋体" w:hAnsi="宋体" w:cs="宋体" w:hint="eastAsia"/>
                <w:sz w:val="18"/>
                <w:szCs w:val="18"/>
                <w:lang w:bidi="ar"/>
              </w:rPr>
              <w:t>”</w:t>
            </w:r>
            <w:r>
              <w:rPr>
                <w:rFonts w:ascii="Times New Roman" w:eastAsia="宋体" w:hAnsi="Times New Roman" w:cs="Times New Roman"/>
                <w:color w:val="000000"/>
                <w:kern w:val="0"/>
                <w:sz w:val="18"/>
                <w:szCs w:val="18"/>
                <w:lang w:bidi="ar"/>
              </w:rPr>
              <w:t>等级</w:t>
            </w:r>
          </w:p>
        </w:tc>
        <w:tc>
          <w:tcPr>
            <w:tcW w:w="654" w:type="dxa"/>
            <w:shd w:val="clear" w:color="auto" w:fill="auto"/>
            <w:vAlign w:val="center"/>
          </w:tcPr>
          <w:p w14:paraId="635D5B3B"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3.42</w:t>
            </w:r>
          </w:p>
        </w:tc>
        <w:tc>
          <w:tcPr>
            <w:tcW w:w="573" w:type="dxa"/>
            <w:shd w:val="clear" w:color="auto" w:fill="auto"/>
            <w:vAlign w:val="center"/>
          </w:tcPr>
          <w:p w14:paraId="0F81C140"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0.25 </w:t>
            </w:r>
          </w:p>
        </w:tc>
        <w:tc>
          <w:tcPr>
            <w:tcW w:w="648" w:type="dxa"/>
            <w:shd w:val="clear" w:color="auto" w:fill="auto"/>
            <w:vAlign w:val="bottom"/>
          </w:tcPr>
          <w:p w14:paraId="7FDF6D6B" w14:textId="77777777" w:rsidR="00561395" w:rsidRDefault="00000000">
            <w:pPr>
              <w:widowControl/>
              <w:jc w:val="center"/>
              <w:textAlignment w:val="bottom"/>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42%</w:t>
            </w:r>
          </w:p>
        </w:tc>
        <w:tc>
          <w:tcPr>
            <w:tcW w:w="976" w:type="dxa"/>
            <w:shd w:val="clear" w:color="auto" w:fill="auto"/>
            <w:vAlign w:val="center"/>
          </w:tcPr>
          <w:p w14:paraId="3975926A" w14:textId="77777777" w:rsidR="00561395" w:rsidRDefault="00000000">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剔除</w:t>
            </w:r>
          </w:p>
        </w:tc>
      </w:tr>
      <w:tr w:rsidR="00561395" w14:paraId="59AC0C91" w14:textId="77777777">
        <w:trPr>
          <w:trHeight w:val="263"/>
          <w:jc w:val="center"/>
        </w:trPr>
        <w:tc>
          <w:tcPr>
            <w:tcW w:w="1447" w:type="dxa"/>
            <w:vMerge/>
            <w:shd w:val="clear" w:color="auto" w:fill="auto"/>
            <w:vAlign w:val="center"/>
          </w:tcPr>
          <w:p w14:paraId="0F8F2163" w14:textId="77777777" w:rsidR="00561395" w:rsidRDefault="00561395">
            <w:pPr>
              <w:jc w:val="center"/>
              <w:rPr>
                <w:rFonts w:ascii="Times New Roman" w:eastAsia="宋体" w:hAnsi="Times New Roman" w:cs="Times New Roman"/>
                <w:color w:val="000000"/>
                <w:sz w:val="18"/>
                <w:szCs w:val="18"/>
              </w:rPr>
            </w:pPr>
          </w:p>
        </w:tc>
        <w:tc>
          <w:tcPr>
            <w:tcW w:w="4775" w:type="dxa"/>
            <w:shd w:val="clear" w:color="auto" w:fill="auto"/>
            <w:vAlign w:val="center"/>
          </w:tcPr>
          <w:p w14:paraId="01009787" w14:textId="77777777" w:rsidR="00561395"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w:t>
            </w:r>
            <w:r>
              <w:rPr>
                <w:rFonts w:ascii="Times New Roman" w:eastAsia="宋体" w:hAnsi="Times New Roman" w:cs="Times New Roman"/>
                <w:color w:val="000000"/>
                <w:kern w:val="0"/>
                <w:sz w:val="18"/>
                <w:szCs w:val="18"/>
                <w:lang w:bidi="ar"/>
              </w:rPr>
              <w:t>增加</w:t>
            </w:r>
            <w:r>
              <w:rPr>
                <w:rStyle w:val="font21"/>
                <w:rFonts w:ascii="宋体" w:eastAsia="宋体" w:hAnsi="宋体" w:cs="宋体" w:hint="eastAsia"/>
                <w:sz w:val="18"/>
                <w:szCs w:val="18"/>
                <w:lang w:bidi="ar"/>
              </w:rPr>
              <w:t>“</w:t>
            </w:r>
            <w:r>
              <w:rPr>
                <w:rFonts w:ascii="Times New Roman" w:eastAsia="宋体" w:hAnsi="Times New Roman" w:cs="Times New Roman"/>
                <w:color w:val="000000"/>
                <w:kern w:val="0"/>
                <w:sz w:val="18"/>
                <w:szCs w:val="18"/>
                <w:lang w:bidi="ar"/>
              </w:rPr>
              <w:t>加重</w:t>
            </w:r>
            <w:r>
              <w:rPr>
                <w:rStyle w:val="font21"/>
                <w:rFonts w:ascii="宋体" w:eastAsia="宋体" w:hAnsi="宋体" w:cs="宋体" w:hint="eastAsia"/>
                <w:sz w:val="18"/>
                <w:szCs w:val="18"/>
                <w:lang w:bidi="ar"/>
              </w:rPr>
              <w:t>”</w:t>
            </w:r>
            <w:r>
              <w:rPr>
                <w:rFonts w:ascii="Times New Roman" w:eastAsia="宋体" w:hAnsi="Times New Roman" w:cs="Times New Roman"/>
                <w:color w:val="000000"/>
                <w:kern w:val="0"/>
                <w:sz w:val="18"/>
                <w:szCs w:val="18"/>
                <w:lang w:bidi="ar"/>
              </w:rPr>
              <w:t>等级</w:t>
            </w:r>
          </w:p>
        </w:tc>
        <w:tc>
          <w:tcPr>
            <w:tcW w:w="654" w:type="dxa"/>
            <w:shd w:val="clear" w:color="auto" w:fill="auto"/>
            <w:vAlign w:val="center"/>
          </w:tcPr>
          <w:p w14:paraId="0EC1D13D"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3.46</w:t>
            </w:r>
          </w:p>
        </w:tc>
        <w:tc>
          <w:tcPr>
            <w:tcW w:w="573" w:type="dxa"/>
            <w:shd w:val="clear" w:color="auto" w:fill="auto"/>
            <w:vAlign w:val="center"/>
          </w:tcPr>
          <w:p w14:paraId="3C84D7AB" w14:textId="77777777" w:rsidR="00561395"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0.23 </w:t>
            </w:r>
          </w:p>
        </w:tc>
        <w:tc>
          <w:tcPr>
            <w:tcW w:w="648" w:type="dxa"/>
            <w:shd w:val="clear" w:color="auto" w:fill="auto"/>
            <w:vAlign w:val="bottom"/>
          </w:tcPr>
          <w:p w14:paraId="4F529D8A" w14:textId="77777777" w:rsidR="00561395" w:rsidRDefault="00000000">
            <w:pPr>
              <w:widowControl/>
              <w:jc w:val="center"/>
              <w:textAlignment w:val="bottom"/>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35%</w:t>
            </w:r>
          </w:p>
        </w:tc>
        <w:tc>
          <w:tcPr>
            <w:tcW w:w="976" w:type="dxa"/>
            <w:shd w:val="clear" w:color="auto" w:fill="auto"/>
            <w:vAlign w:val="center"/>
          </w:tcPr>
          <w:p w14:paraId="2F729432" w14:textId="77777777" w:rsidR="00561395"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剔除</w:t>
            </w:r>
          </w:p>
        </w:tc>
      </w:tr>
    </w:tbl>
    <w:p w14:paraId="386AFEAD" w14:textId="77777777" w:rsidR="00561395" w:rsidRDefault="00561395"/>
    <w:p w14:paraId="7BB9112E" w14:textId="77777777" w:rsidR="00561395" w:rsidRDefault="00000000">
      <w:pPr>
        <w:pStyle w:val="Default"/>
        <w:spacing w:line="600" w:lineRule="exact"/>
        <w:ind w:firstLineChars="200" w:firstLine="640"/>
        <w:contextualSpacing/>
        <w:jc w:val="both"/>
        <w:rPr>
          <w:rFonts w:ascii="仿宋_GB2312" w:eastAsia="仿宋_GB2312"/>
          <w:sz w:val="32"/>
          <w:szCs w:val="32"/>
        </w:rPr>
      </w:pPr>
      <w:r>
        <w:rPr>
          <w:rFonts w:ascii="仿宋_GB2312" w:eastAsia="仿宋_GB2312" w:hint="eastAsia"/>
          <w:sz w:val="32"/>
          <w:szCs w:val="32"/>
        </w:rPr>
        <w:t>2024年7月30日，起草组就待共识内容与9条核心技术要素召开专家论证会，共25名专家参会，专家提出“头晕眼花和疾病诊断里面第一条的头晕目眩应当统一用词”等修改建议。本次会议中，共9条核心技术要素达成共识，0条核心技术要素未达成共识</w:t>
      </w:r>
      <w:r>
        <w:rPr>
          <w:rFonts w:ascii="仿宋_GB2312" w:eastAsia="仿宋_GB2312"/>
          <w:sz w:val="32"/>
          <w:szCs w:val="32"/>
        </w:rPr>
        <w:t>，</w:t>
      </w:r>
      <w:r>
        <w:rPr>
          <w:rFonts w:ascii="仿宋_GB2312" w:eastAsia="仿宋_GB2312" w:hint="eastAsia"/>
          <w:sz w:val="32"/>
          <w:szCs w:val="32"/>
        </w:rPr>
        <w:t>汇总内容见表5，会后形成征求意见稿，进入评议阶段。详见附件12。</w:t>
      </w:r>
    </w:p>
    <w:p w14:paraId="05D505DB" w14:textId="77777777" w:rsidR="00561395" w:rsidRDefault="00000000">
      <w:pPr>
        <w:jc w:val="center"/>
      </w:pPr>
      <w:r>
        <w:rPr>
          <w:rStyle w:val="fontstyle01"/>
          <w:rFonts w:ascii="黑体" w:eastAsia="黑体" w:hAnsi="黑体" w:cs="Times New Roman" w:hint="default"/>
          <w:color w:val="auto"/>
          <w:sz w:val="24"/>
        </w:rPr>
        <w:t>表</w:t>
      </w:r>
      <w:r>
        <w:rPr>
          <w:rStyle w:val="fontstyle01"/>
          <w:rFonts w:hAnsi="黑体" w:cs="Times New Roman" w:hint="default"/>
          <w:color w:val="auto"/>
          <w:sz w:val="24"/>
        </w:rPr>
        <w:t>5</w:t>
      </w:r>
      <w:r>
        <w:rPr>
          <w:rStyle w:val="fontstyle01"/>
          <w:rFonts w:ascii="黑体" w:eastAsia="黑体" w:hAnsi="黑体" w:cs="Times New Roman" w:hint="default"/>
          <w:color w:val="auto"/>
          <w:sz w:val="24"/>
        </w:rPr>
        <w:t xml:space="preserve">  共识会议报告简表</w:t>
      </w:r>
    </w:p>
    <w:tbl>
      <w:tblPr>
        <w:tblStyle w:val="af"/>
        <w:tblW w:w="5000" w:type="pct"/>
        <w:jc w:val="center"/>
        <w:tblLook w:val="04A0" w:firstRow="1" w:lastRow="0" w:firstColumn="1" w:lastColumn="0" w:noHBand="0" w:noVBand="1"/>
      </w:tblPr>
      <w:tblGrid>
        <w:gridCol w:w="619"/>
        <w:gridCol w:w="1962"/>
        <w:gridCol w:w="968"/>
        <w:gridCol w:w="4588"/>
        <w:gridCol w:w="1316"/>
      </w:tblGrid>
      <w:tr w:rsidR="00561395" w14:paraId="453F9B4A" w14:textId="77777777">
        <w:trPr>
          <w:trHeight w:val="794"/>
          <w:jc w:val="center"/>
        </w:trPr>
        <w:tc>
          <w:tcPr>
            <w:tcW w:w="327" w:type="pct"/>
            <w:vAlign w:val="center"/>
          </w:tcPr>
          <w:p w14:paraId="584E44A6" w14:textId="77777777" w:rsidR="00561395" w:rsidRDefault="00000000">
            <w:pPr>
              <w:widowControl/>
              <w:jc w:val="center"/>
              <w:textAlignment w:val="center"/>
              <w:rPr>
                <w:rFonts w:ascii="Times New Roman" w:eastAsia="宋体" w:hAnsi="Times New Roman" w:cs="Times New Roman"/>
                <w:b/>
                <w:bCs/>
                <w:color w:val="000000"/>
                <w:kern w:val="0"/>
                <w:sz w:val="18"/>
                <w:szCs w:val="18"/>
                <w:lang w:bidi="ar"/>
              </w:rPr>
            </w:pPr>
            <w:r>
              <w:rPr>
                <w:rFonts w:ascii="Times New Roman" w:eastAsia="宋体" w:hAnsi="Times New Roman" w:cs="Times New Roman" w:hint="eastAsia"/>
                <w:b/>
                <w:bCs/>
                <w:color w:val="000000"/>
                <w:kern w:val="0"/>
                <w:sz w:val="18"/>
                <w:szCs w:val="18"/>
                <w:lang w:bidi="ar"/>
              </w:rPr>
              <w:t>序号</w:t>
            </w:r>
          </w:p>
        </w:tc>
        <w:tc>
          <w:tcPr>
            <w:tcW w:w="1036" w:type="pct"/>
            <w:vAlign w:val="center"/>
          </w:tcPr>
          <w:p w14:paraId="4DAC86F2" w14:textId="77777777" w:rsidR="00561395" w:rsidRDefault="00000000">
            <w:pPr>
              <w:widowControl/>
              <w:jc w:val="center"/>
              <w:textAlignment w:val="center"/>
              <w:rPr>
                <w:rFonts w:ascii="Times New Roman" w:eastAsia="宋体" w:hAnsi="Times New Roman" w:cs="Times New Roman"/>
                <w:b/>
                <w:bCs/>
                <w:color w:val="000000"/>
                <w:kern w:val="0"/>
                <w:sz w:val="18"/>
                <w:szCs w:val="18"/>
                <w:lang w:bidi="ar"/>
              </w:rPr>
            </w:pPr>
            <w:r>
              <w:rPr>
                <w:rFonts w:ascii="Times New Roman" w:eastAsia="宋体" w:hAnsi="Times New Roman" w:cs="Times New Roman" w:hint="eastAsia"/>
                <w:b/>
                <w:bCs/>
                <w:color w:val="000000"/>
                <w:kern w:val="0"/>
                <w:sz w:val="18"/>
                <w:szCs w:val="18"/>
                <w:lang w:bidi="ar"/>
              </w:rPr>
              <w:t>核心技术要素</w:t>
            </w:r>
          </w:p>
        </w:tc>
        <w:tc>
          <w:tcPr>
            <w:tcW w:w="512" w:type="pct"/>
            <w:vAlign w:val="center"/>
          </w:tcPr>
          <w:p w14:paraId="6EC1C84E" w14:textId="77777777" w:rsidR="00561395" w:rsidRDefault="00000000">
            <w:pPr>
              <w:widowControl/>
              <w:jc w:val="center"/>
              <w:textAlignment w:val="center"/>
              <w:rPr>
                <w:rFonts w:ascii="Times New Roman" w:eastAsia="宋体" w:hAnsi="Times New Roman" w:cs="Times New Roman"/>
                <w:b/>
                <w:bCs/>
                <w:color w:val="000000"/>
                <w:kern w:val="0"/>
                <w:sz w:val="18"/>
                <w:szCs w:val="18"/>
                <w:lang w:bidi="ar"/>
              </w:rPr>
            </w:pPr>
            <w:r>
              <w:rPr>
                <w:rFonts w:ascii="Times New Roman" w:eastAsia="宋体" w:hAnsi="Times New Roman" w:cs="Times New Roman" w:hint="eastAsia"/>
                <w:b/>
                <w:bCs/>
                <w:color w:val="000000"/>
                <w:kern w:val="0"/>
                <w:sz w:val="18"/>
                <w:szCs w:val="18"/>
                <w:lang w:bidi="ar"/>
              </w:rPr>
              <w:t>标准草案</w:t>
            </w:r>
          </w:p>
          <w:p w14:paraId="1B2E42BD" w14:textId="77777777" w:rsidR="00561395" w:rsidRDefault="00000000">
            <w:pPr>
              <w:widowControl/>
              <w:jc w:val="center"/>
              <w:textAlignment w:val="center"/>
              <w:rPr>
                <w:rFonts w:ascii="Times New Roman" w:eastAsia="宋体" w:hAnsi="Times New Roman" w:cs="Times New Roman"/>
                <w:b/>
                <w:bCs/>
                <w:color w:val="000000"/>
                <w:kern w:val="0"/>
                <w:sz w:val="18"/>
                <w:szCs w:val="18"/>
                <w:lang w:bidi="ar"/>
              </w:rPr>
            </w:pPr>
            <w:r>
              <w:rPr>
                <w:rFonts w:ascii="Times New Roman" w:eastAsia="宋体" w:hAnsi="Times New Roman" w:cs="Times New Roman" w:hint="eastAsia"/>
                <w:b/>
                <w:bCs/>
                <w:color w:val="000000"/>
                <w:kern w:val="0"/>
                <w:sz w:val="18"/>
                <w:szCs w:val="18"/>
                <w:lang w:bidi="ar"/>
              </w:rPr>
              <w:t>章条编号</w:t>
            </w:r>
          </w:p>
        </w:tc>
        <w:tc>
          <w:tcPr>
            <w:tcW w:w="2426" w:type="pct"/>
            <w:vAlign w:val="center"/>
          </w:tcPr>
          <w:p w14:paraId="58C2FD70" w14:textId="77777777" w:rsidR="00561395" w:rsidRDefault="00000000">
            <w:pPr>
              <w:widowControl/>
              <w:jc w:val="center"/>
              <w:textAlignment w:val="center"/>
              <w:rPr>
                <w:rFonts w:ascii="Times New Roman" w:eastAsia="宋体" w:hAnsi="Times New Roman" w:cs="Times New Roman"/>
                <w:b/>
                <w:bCs/>
                <w:color w:val="000000"/>
                <w:kern w:val="0"/>
                <w:sz w:val="18"/>
                <w:szCs w:val="18"/>
                <w:lang w:bidi="ar"/>
              </w:rPr>
            </w:pPr>
            <w:r>
              <w:rPr>
                <w:rFonts w:ascii="Times New Roman" w:eastAsia="宋体" w:hAnsi="Times New Roman" w:cs="Times New Roman" w:hint="eastAsia"/>
                <w:b/>
                <w:bCs/>
                <w:color w:val="000000"/>
                <w:kern w:val="0"/>
                <w:sz w:val="18"/>
                <w:szCs w:val="18"/>
                <w:lang w:bidi="ar"/>
              </w:rPr>
              <w:t>标准文本内容</w:t>
            </w:r>
          </w:p>
        </w:tc>
        <w:tc>
          <w:tcPr>
            <w:tcW w:w="696" w:type="pct"/>
            <w:vAlign w:val="center"/>
          </w:tcPr>
          <w:p w14:paraId="4B81950B" w14:textId="77777777" w:rsidR="00561395" w:rsidRDefault="00000000">
            <w:pPr>
              <w:widowControl/>
              <w:jc w:val="center"/>
              <w:textAlignment w:val="center"/>
              <w:rPr>
                <w:rFonts w:ascii="Times New Roman" w:eastAsia="宋体" w:hAnsi="Times New Roman" w:cs="Times New Roman"/>
                <w:b/>
                <w:bCs/>
                <w:color w:val="000000"/>
                <w:kern w:val="0"/>
                <w:sz w:val="18"/>
                <w:szCs w:val="18"/>
                <w:lang w:bidi="ar"/>
              </w:rPr>
            </w:pPr>
            <w:r>
              <w:rPr>
                <w:rFonts w:ascii="Times New Roman" w:eastAsia="宋体" w:hAnsi="Times New Roman" w:cs="Times New Roman" w:hint="eastAsia"/>
                <w:b/>
                <w:bCs/>
                <w:color w:val="000000"/>
                <w:kern w:val="0"/>
                <w:sz w:val="18"/>
                <w:szCs w:val="18"/>
                <w:lang w:bidi="ar"/>
              </w:rPr>
              <w:t>专家共识度</w:t>
            </w:r>
            <w:r>
              <w:rPr>
                <w:rFonts w:ascii="Times New Roman" w:eastAsia="宋体" w:hAnsi="Times New Roman" w:cs="Times New Roman" w:hint="eastAsia"/>
                <w:b/>
                <w:bCs/>
                <w:color w:val="000000"/>
                <w:kern w:val="0"/>
                <w:sz w:val="18"/>
                <w:szCs w:val="18"/>
                <w:lang w:bidi="ar"/>
              </w:rPr>
              <w:t>/</w:t>
            </w:r>
            <w:r>
              <w:rPr>
                <w:rFonts w:ascii="Times New Roman" w:eastAsia="宋体" w:hAnsi="Times New Roman" w:cs="Times New Roman"/>
                <w:b/>
                <w:bCs/>
                <w:color w:val="000000"/>
                <w:kern w:val="0"/>
                <w:sz w:val="18"/>
                <w:szCs w:val="18"/>
                <w:lang w:bidi="ar"/>
              </w:rPr>
              <w:t>%</w:t>
            </w:r>
          </w:p>
        </w:tc>
      </w:tr>
      <w:tr w:rsidR="00561395" w14:paraId="0172E5A6" w14:textId="77777777">
        <w:trPr>
          <w:jc w:val="center"/>
        </w:trPr>
        <w:tc>
          <w:tcPr>
            <w:tcW w:w="327" w:type="pct"/>
            <w:vAlign w:val="center"/>
          </w:tcPr>
          <w:p w14:paraId="34354CFC"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1</w:t>
            </w:r>
          </w:p>
        </w:tc>
        <w:tc>
          <w:tcPr>
            <w:tcW w:w="1036" w:type="pct"/>
            <w:vAlign w:val="center"/>
          </w:tcPr>
          <w:p w14:paraId="7BD736FC"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疾病定义</w:t>
            </w:r>
          </w:p>
        </w:tc>
        <w:tc>
          <w:tcPr>
            <w:tcW w:w="512" w:type="pct"/>
            <w:vAlign w:val="center"/>
          </w:tcPr>
          <w:p w14:paraId="0A6560C7"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3.1</w:t>
            </w:r>
          </w:p>
        </w:tc>
        <w:tc>
          <w:tcPr>
            <w:tcW w:w="2426" w:type="pct"/>
            <w:vAlign w:val="center"/>
          </w:tcPr>
          <w:p w14:paraId="6E3E7640"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由气血不能上荣于头，或因风阳、火热上扰，痰浊、瘀血阻滞，清阳被遏等所致清窍失养，脑髓不充，以头晕目眩、视物旋转动摇为主要临床表现的病证。</w:t>
            </w:r>
          </w:p>
        </w:tc>
        <w:tc>
          <w:tcPr>
            <w:tcW w:w="696" w:type="pct"/>
            <w:vAlign w:val="center"/>
          </w:tcPr>
          <w:p w14:paraId="6D4B6BC9"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100%</w:t>
            </w:r>
          </w:p>
        </w:tc>
      </w:tr>
      <w:tr w:rsidR="00561395" w14:paraId="3C691BB3" w14:textId="77777777">
        <w:trPr>
          <w:jc w:val="center"/>
        </w:trPr>
        <w:tc>
          <w:tcPr>
            <w:tcW w:w="327" w:type="pct"/>
            <w:vAlign w:val="center"/>
          </w:tcPr>
          <w:p w14:paraId="2FE0CCE0"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lastRenderedPageBreak/>
              <w:t>2</w:t>
            </w:r>
          </w:p>
        </w:tc>
        <w:tc>
          <w:tcPr>
            <w:tcW w:w="1036" w:type="pct"/>
            <w:vAlign w:val="center"/>
          </w:tcPr>
          <w:p w14:paraId="5E20705C"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诊断依据</w:t>
            </w:r>
          </w:p>
        </w:tc>
        <w:tc>
          <w:tcPr>
            <w:tcW w:w="512" w:type="pct"/>
            <w:vAlign w:val="center"/>
          </w:tcPr>
          <w:p w14:paraId="1D836D9A"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5.1.1</w:t>
            </w:r>
          </w:p>
        </w:tc>
        <w:tc>
          <w:tcPr>
            <w:tcW w:w="2426" w:type="pct"/>
            <w:vAlign w:val="center"/>
          </w:tcPr>
          <w:p w14:paraId="56106597"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 xml:space="preserve">5.1.1.1 </w:t>
            </w:r>
            <w:r>
              <w:rPr>
                <w:rFonts w:ascii="Times New Roman" w:eastAsia="宋体" w:hAnsi="Times New Roman" w:cs="Times New Roman" w:hint="eastAsia"/>
                <w:color w:val="000000"/>
                <w:kern w:val="0"/>
                <w:sz w:val="18"/>
                <w:szCs w:val="18"/>
                <w:lang w:bidi="ar"/>
              </w:rPr>
              <w:t>头晕目眩，轻者闭目即止，重者视物旋转，如坐车船，甚则仆倒。可伴恶心呕吐，或耳鸣耳聋，或汗出，或面色苍白等。</w:t>
            </w:r>
          </w:p>
          <w:p w14:paraId="4E1637FB"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 xml:space="preserve">5.1.1.2 </w:t>
            </w:r>
            <w:r>
              <w:rPr>
                <w:rFonts w:ascii="Times New Roman" w:eastAsia="宋体" w:hAnsi="Times New Roman" w:cs="Times New Roman" w:hint="eastAsia"/>
                <w:color w:val="000000"/>
                <w:kern w:val="0"/>
                <w:sz w:val="18"/>
                <w:szCs w:val="18"/>
                <w:lang w:bidi="ar"/>
              </w:rPr>
              <w:t>慢性起病逐渐加重，或急性起病，或反复发作。</w:t>
            </w:r>
          </w:p>
        </w:tc>
        <w:tc>
          <w:tcPr>
            <w:tcW w:w="696" w:type="pct"/>
            <w:vAlign w:val="center"/>
          </w:tcPr>
          <w:p w14:paraId="456E8820"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95.83%</w:t>
            </w:r>
          </w:p>
        </w:tc>
      </w:tr>
      <w:tr w:rsidR="00561395" w14:paraId="193FA637" w14:textId="77777777">
        <w:trPr>
          <w:jc w:val="center"/>
        </w:trPr>
        <w:tc>
          <w:tcPr>
            <w:tcW w:w="327" w:type="pct"/>
            <w:vAlign w:val="center"/>
          </w:tcPr>
          <w:p w14:paraId="27588755"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3</w:t>
            </w:r>
          </w:p>
        </w:tc>
        <w:tc>
          <w:tcPr>
            <w:tcW w:w="1036" w:type="pct"/>
            <w:vAlign w:val="center"/>
          </w:tcPr>
          <w:p w14:paraId="0A4C9189"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证候分类</w:t>
            </w:r>
          </w:p>
        </w:tc>
        <w:tc>
          <w:tcPr>
            <w:tcW w:w="512" w:type="pct"/>
            <w:vAlign w:val="center"/>
          </w:tcPr>
          <w:p w14:paraId="3677FD73"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6</w:t>
            </w:r>
          </w:p>
        </w:tc>
        <w:tc>
          <w:tcPr>
            <w:tcW w:w="2426" w:type="pct"/>
            <w:vAlign w:val="center"/>
          </w:tcPr>
          <w:p w14:paraId="344305F6"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风阳上扰证、痰浊上蒙证、瘀阻脑络证、气血亏虚证、肝肾亏虚证</w:t>
            </w:r>
          </w:p>
        </w:tc>
        <w:tc>
          <w:tcPr>
            <w:tcW w:w="696" w:type="pct"/>
            <w:vAlign w:val="center"/>
          </w:tcPr>
          <w:p w14:paraId="0A487866"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100%</w:t>
            </w:r>
          </w:p>
        </w:tc>
      </w:tr>
      <w:tr w:rsidR="00561395" w14:paraId="4970D56B" w14:textId="77777777">
        <w:trPr>
          <w:jc w:val="center"/>
        </w:trPr>
        <w:tc>
          <w:tcPr>
            <w:tcW w:w="327" w:type="pct"/>
            <w:vAlign w:val="center"/>
          </w:tcPr>
          <w:p w14:paraId="39D8588F"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4</w:t>
            </w:r>
          </w:p>
        </w:tc>
        <w:tc>
          <w:tcPr>
            <w:tcW w:w="1036" w:type="pct"/>
            <w:vAlign w:val="center"/>
          </w:tcPr>
          <w:p w14:paraId="3BCA31DA"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风阳上扰证的证候诊断</w:t>
            </w:r>
          </w:p>
        </w:tc>
        <w:tc>
          <w:tcPr>
            <w:tcW w:w="512" w:type="pct"/>
            <w:vAlign w:val="center"/>
          </w:tcPr>
          <w:p w14:paraId="56E7521C"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6.1</w:t>
            </w:r>
          </w:p>
        </w:tc>
        <w:tc>
          <w:tcPr>
            <w:tcW w:w="2426" w:type="pct"/>
            <w:vAlign w:val="center"/>
          </w:tcPr>
          <w:p w14:paraId="0345D4D1"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6.1.1</w:t>
            </w:r>
            <w:r>
              <w:rPr>
                <w:rFonts w:ascii="Times New Roman" w:eastAsia="宋体" w:hAnsi="Times New Roman" w:cs="Times New Roman" w:hint="eastAsia"/>
                <w:color w:val="000000"/>
                <w:kern w:val="0"/>
                <w:sz w:val="18"/>
                <w:szCs w:val="18"/>
                <w:lang w:bidi="ar"/>
              </w:rPr>
              <w:t xml:space="preserve">　主症：眩晕耳鸣，头痛且胀。</w:t>
            </w:r>
          </w:p>
          <w:p w14:paraId="290204D5"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6.1.2</w:t>
            </w:r>
            <w:r>
              <w:rPr>
                <w:rFonts w:ascii="Times New Roman" w:eastAsia="宋体" w:hAnsi="Times New Roman" w:cs="Times New Roman" w:hint="eastAsia"/>
                <w:color w:val="000000"/>
                <w:kern w:val="0"/>
                <w:sz w:val="18"/>
                <w:szCs w:val="18"/>
                <w:lang w:bidi="ar"/>
              </w:rPr>
              <w:t xml:space="preserve">　次症：易怒，面红目赤，口苦。舌红，苔黄，脉弦滑或弦数。</w:t>
            </w:r>
          </w:p>
        </w:tc>
        <w:tc>
          <w:tcPr>
            <w:tcW w:w="696" w:type="pct"/>
            <w:vAlign w:val="center"/>
          </w:tcPr>
          <w:p w14:paraId="4D802DFB"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100%</w:t>
            </w:r>
          </w:p>
        </w:tc>
      </w:tr>
      <w:tr w:rsidR="00561395" w14:paraId="45CBBA70" w14:textId="77777777">
        <w:trPr>
          <w:jc w:val="center"/>
        </w:trPr>
        <w:tc>
          <w:tcPr>
            <w:tcW w:w="327" w:type="pct"/>
            <w:vAlign w:val="center"/>
          </w:tcPr>
          <w:p w14:paraId="08B83E8B"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5</w:t>
            </w:r>
          </w:p>
        </w:tc>
        <w:tc>
          <w:tcPr>
            <w:tcW w:w="1036" w:type="pct"/>
            <w:vAlign w:val="center"/>
          </w:tcPr>
          <w:p w14:paraId="1F4417B7"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痰浊上蒙证的证候诊断</w:t>
            </w:r>
          </w:p>
        </w:tc>
        <w:tc>
          <w:tcPr>
            <w:tcW w:w="512" w:type="pct"/>
            <w:vAlign w:val="center"/>
          </w:tcPr>
          <w:p w14:paraId="124E8A52"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6.2</w:t>
            </w:r>
          </w:p>
        </w:tc>
        <w:tc>
          <w:tcPr>
            <w:tcW w:w="2426" w:type="pct"/>
            <w:vAlign w:val="center"/>
          </w:tcPr>
          <w:p w14:paraId="6A1D2029"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6.2.1</w:t>
            </w:r>
            <w:r>
              <w:rPr>
                <w:rFonts w:ascii="Times New Roman" w:eastAsia="宋体" w:hAnsi="Times New Roman" w:cs="Times New Roman" w:hint="eastAsia"/>
                <w:color w:val="000000"/>
                <w:kern w:val="0"/>
                <w:sz w:val="18"/>
                <w:szCs w:val="18"/>
                <w:lang w:bidi="ar"/>
              </w:rPr>
              <w:t xml:space="preserve">　主症：头重如裹，视物旋转。</w:t>
            </w:r>
          </w:p>
          <w:p w14:paraId="7A67C3D2"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6.2.2</w:t>
            </w:r>
            <w:r>
              <w:rPr>
                <w:rFonts w:ascii="Times New Roman" w:eastAsia="宋体" w:hAnsi="Times New Roman" w:cs="Times New Roman" w:hint="eastAsia"/>
                <w:color w:val="000000"/>
                <w:kern w:val="0"/>
                <w:sz w:val="18"/>
                <w:szCs w:val="18"/>
                <w:lang w:bidi="ar"/>
              </w:rPr>
              <w:t xml:space="preserve">　次症：胸闷作恶，呕吐痰涎。舌淡胖，苔白腻，脉弦滑。</w:t>
            </w:r>
          </w:p>
        </w:tc>
        <w:tc>
          <w:tcPr>
            <w:tcW w:w="696" w:type="pct"/>
            <w:vAlign w:val="center"/>
          </w:tcPr>
          <w:p w14:paraId="79D043F3"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100%</w:t>
            </w:r>
          </w:p>
        </w:tc>
      </w:tr>
      <w:tr w:rsidR="00561395" w14:paraId="502F42E1" w14:textId="77777777">
        <w:trPr>
          <w:jc w:val="center"/>
        </w:trPr>
        <w:tc>
          <w:tcPr>
            <w:tcW w:w="327" w:type="pct"/>
            <w:vAlign w:val="center"/>
          </w:tcPr>
          <w:p w14:paraId="33BC2997"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6</w:t>
            </w:r>
          </w:p>
        </w:tc>
        <w:tc>
          <w:tcPr>
            <w:tcW w:w="1036" w:type="pct"/>
            <w:vAlign w:val="center"/>
          </w:tcPr>
          <w:p w14:paraId="54944398"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瘀阻脑络证的证候诊断</w:t>
            </w:r>
          </w:p>
        </w:tc>
        <w:tc>
          <w:tcPr>
            <w:tcW w:w="512" w:type="pct"/>
            <w:vAlign w:val="center"/>
          </w:tcPr>
          <w:p w14:paraId="56F211D5"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6.3</w:t>
            </w:r>
          </w:p>
        </w:tc>
        <w:tc>
          <w:tcPr>
            <w:tcW w:w="2426" w:type="pct"/>
            <w:vAlign w:val="center"/>
          </w:tcPr>
          <w:p w14:paraId="1FA2FCA3"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6.3.1</w:t>
            </w:r>
            <w:r>
              <w:rPr>
                <w:rFonts w:ascii="Times New Roman" w:eastAsia="宋体" w:hAnsi="Times New Roman" w:cs="Times New Roman" w:hint="eastAsia"/>
                <w:color w:val="000000"/>
                <w:kern w:val="0"/>
                <w:sz w:val="18"/>
                <w:szCs w:val="18"/>
                <w:lang w:bidi="ar"/>
              </w:rPr>
              <w:t xml:space="preserve">　主症：眩晕，头刺痛。</w:t>
            </w:r>
          </w:p>
          <w:p w14:paraId="4AC2AE0A"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6.3.2</w:t>
            </w:r>
            <w:r>
              <w:rPr>
                <w:rFonts w:ascii="Times New Roman" w:eastAsia="宋体" w:hAnsi="Times New Roman" w:cs="Times New Roman" w:hint="eastAsia"/>
                <w:color w:val="000000"/>
                <w:kern w:val="0"/>
                <w:sz w:val="18"/>
                <w:szCs w:val="18"/>
                <w:lang w:bidi="ar"/>
              </w:rPr>
              <w:t xml:space="preserve">　次症：面色黧黑，面唇紫暗，健忘失眠，舌暗有瘀斑瘀点，舌下络脉增粗、迂曲，脉弦涩或细涩。</w:t>
            </w:r>
          </w:p>
        </w:tc>
        <w:tc>
          <w:tcPr>
            <w:tcW w:w="696" w:type="pct"/>
            <w:vAlign w:val="center"/>
          </w:tcPr>
          <w:p w14:paraId="299B91A5"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95.83%</w:t>
            </w:r>
          </w:p>
        </w:tc>
      </w:tr>
      <w:tr w:rsidR="00561395" w14:paraId="12CB898D" w14:textId="77777777">
        <w:trPr>
          <w:jc w:val="center"/>
        </w:trPr>
        <w:tc>
          <w:tcPr>
            <w:tcW w:w="327" w:type="pct"/>
            <w:vAlign w:val="center"/>
          </w:tcPr>
          <w:p w14:paraId="402586B5"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7</w:t>
            </w:r>
          </w:p>
        </w:tc>
        <w:tc>
          <w:tcPr>
            <w:tcW w:w="1036" w:type="pct"/>
            <w:vAlign w:val="center"/>
          </w:tcPr>
          <w:p w14:paraId="7AADA6D7"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气血亏虚证的证候诊断</w:t>
            </w:r>
          </w:p>
        </w:tc>
        <w:tc>
          <w:tcPr>
            <w:tcW w:w="512" w:type="pct"/>
            <w:vAlign w:val="center"/>
          </w:tcPr>
          <w:p w14:paraId="72E6852E"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6.4</w:t>
            </w:r>
          </w:p>
        </w:tc>
        <w:tc>
          <w:tcPr>
            <w:tcW w:w="2426" w:type="pct"/>
            <w:vAlign w:val="center"/>
          </w:tcPr>
          <w:p w14:paraId="10903850"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主症：眩晕动则加剧，劳累即发。</w:t>
            </w:r>
          </w:p>
          <w:p w14:paraId="07CD1F9F"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次症：面白或萎黄少华，神倦乏力，倦怠懒言，心悸，唇甲色淡。舌淡，苔薄白，脉细弱。</w:t>
            </w:r>
          </w:p>
        </w:tc>
        <w:tc>
          <w:tcPr>
            <w:tcW w:w="696" w:type="pct"/>
            <w:vAlign w:val="center"/>
          </w:tcPr>
          <w:p w14:paraId="6342BFF8"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100%</w:t>
            </w:r>
          </w:p>
        </w:tc>
      </w:tr>
      <w:tr w:rsidR="00561395" w14:paraId="5E2D897D" w14:textId="77777777">
        <w:trPr>
          <w:jc w:val="center"/>
        </w:trPr>
        <w:tc>
          <w:tcPr>
            <w:tcW w:w="327" w:type="pct"/>
            <w:vAlign w:val="center"/>
          </w:tcPr>
          <w:p w14:paraId="2568B4C0"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8</w:t>
            </w:r>
          </w:p>
        </w:tc>
        <w:tc>
          <w:tcPr>
            <w:tcW w:w="1036" w:type="pct"/>
            <w:vAlign w:val="center"/>
          </w:tcPr>
          <w:p w14:paraId="3CEAEB03"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肝肾亏虚证的证候诊断</w:t>
            </w:r>
          </w:p>
        </w:tc>
        <w:tc>
          <w:tcPr>
            <w:tcW w:w="512" w:type="pct"/>
            <w:vAlign w:val="center"/>
          </w:tcPr>
          <w:p w14:paraId="1B46B3F3"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6.5</w:t>
            </w:r>
          </w:p>
        </w:tc>
        <w:tc>
          <w:tcPr>
            <w:tcW w:w="2426" w:type="pct"/>
            <w:vAlign w:val="center"/>
          </w:tcPr>
          <w:p w14:paraId="02722D4D"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主症：眩晕，腰膝酸软。</w:t>
            </w:r>
          </w:p>
          <w:p w14:paraId="7140830A"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次症：偏阴虚者，五心烦热，两目干涩，耳鸣，少寐，舌红，苔薄、少或无，脉弦细或细数；偏阳虚者，畏寒肢冷，夜尿频数，大便溏薄，舌淡，苔白，脉沉细，双尺脉弱。</w:t>
            </w:r>
          </w:p>
        </w:tc>
        <w:tc>
          <w:tcPr>
            <w:tcW w:w="696" w:type="pct"/>
            <w:vAlign w:val="center"/>
          </w:tcPr>
          <w:p w14:paraId="52F00CF2"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100%</w:t>
            </w:r>
          </w:p>
        </w:tc>
      </w:tr>
      <w:tr w:rsidR="00561395" w14:paraId="75A02D6B" w14:textId="77777777">
        <w:trPr>
          <w:jc w:val="center"/>
        </w:trPr>
        <w:tc>
          <w:tcPr>
            <w:tcW w:w="327" w:type="pct"/>
            <w:vAlign w:val="center"/>
          </w:tcPr>
          <w:p w14:paraId="140057A1"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9</w:t>
            </w:r>
          </w:p>
        </w:tc>
        <w:tc>
          <w:tcPr>
            <w:tcW w:w="1036" w:type="pct"/>
            <w:vAlign w:val="center"/>
          </w:tcPr>
          <w:p w14:paraId="6C2E7F72"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疗效评价指标</w:t>
            </w:r>
          </w:p>
        </w:tc>
        <w:tc>
          <w:tcPr>
            <w:tcW w:w="512" w:type="pct"/>
            <w:vAlign w:val="center"/>
          </w:tcPr>
          <w:p w14:paraId="4EDC2EF3"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7</w:t>
            </w:r>
          </w:p>
        </w:tc>
        <w:tc>
          <w:tcPr>
            <w:tcW w:w="2426" w:type="pct"/>
            <w:vAlign w:val="center"/>
          </w:tcPr>
          <w:p w14:paraId="700207E7"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 xml:space="preserve">7.1  </w:t>
            </w:r>
            <w:r>
              <w:rPr>
                <w:rFonts w:ascii="Times New Roman" w:eastAsia="宋体" w:hAnsi="Times New Roman" w:cs="Times New Roman" w:hint="eastAsia"/>
                <w:color w:val="000000"/>
                <w:kern w:val="0"/>
                <w:sz w:val="18"/>
                <w:szCs w:val="18"/>
                <w:lang w:bidi="ar"/>
              </w:rPr>
              <w:t>主要指标</w:t>
            </w:r>
          </w:p>
          <w:p w14:paraId="18F60AC7"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 xml:space="preserve">7.1.1  </w:t>
            </w:r>
            <w:r>
              <w:rPr>
                <w:rFonts w:ascii="Times New Roman" w:eastAsia="宋体" w:hAnsi="Times New Roman" w:cs="Times New Roman" w:hint="eastAsia"/>
                <w:color w:val="000000"/>
                <w:kern w:val="0"/>
                <w:sz w:val="18"/>
                <w:szCs w:val="18"/>
                <w:lang w:bidi="ar"/>
              </w:rPr>
              <w:t>与疾病（眩晕）相关的指标：眩晕的临床结局终点指标主要针对患者自觉头晕程度和全身症状改善情况进行评价。患者自觉头晕程度常用的评价工具为眩晕症状量表、欧洲眩晕评价量表、眩晕残障程度评定量表。</w:t>
            </w:r>
          </w:p>
          <w:p w14:paraId="32083076"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 xml:space="preserve">7.2  </w:t>
            </w:r>
            <w:r>
              <w:rPr>
                <w:rFonts w:ascii="Times New Roman" w:eastAsia="宋体" w:hAnsi="Times New Roman" w:cs="Times New Roman" w:hint="eastAsia"/>
                <w:color w:val="000000"/>
                <w:kern w:val="0"/>
                <w:sz w:val="18"/>
                <w:szCs w:val="18"/>
                <w:lang w:bidi="ar"/>
              </w:rPr>
              <w:t>次要指标</w:t>
            </w:r>
          </w:p>
          <w:p w14:paraId="7F37F33C"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 xml:space="preserve">7.2.1  </w:t>
            </w:r>
            <w:r>
              <w:rPr>
                <w:rFonts w:ascii="Times New Roman" w:eastAsia="宋体" w:hAnsi="Times New Roman" w:cs="Times New Roman" w:hint="eastAsia"/>
                <w:color w:val="000000"/>
                <w:kern w:val="0"/>
                <w:sz w:val="18"/>
                <w:szCs w:val="18"/>
                <w:lang w:bidi="ar"/>
              </w:rPr>
              <w:t>与证候相关的指标：目前尚无公认的证候积分量表，症状、体征评分可以参照《中药新药临床研究指导原则》，证候疗效评价可以参照采用尼莫地平法。</w:t>
            </w:r>
          </w:p>
          <w:p w14:paraId="207B32DE"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 xml:space="preserve">7.2.2  </w:t>
            </w:r>
            <w:r>
              <w:rPr>
                <w:rFonts w:ascii="Times New Roman" w:eastAsia="宋体" w:hAnsi="Times New Roman" w:cs="Times New Roman" w:hint="eastAsia"/>
                <w:color w:val="000000"/>
                <w:kern w:val="0"/>
                <w:sz w:val="18"/>
                <w:szCs w:val="18"/>
                <w:lang w:bidi="ar"/>
              </w:rPr>
              <w:t>理化检查指标：明确西医疾病导致眩晕的基础上，可以有针对性的选择血压，空腹血糖，血红蛋白，红细胞计数，血清炎症因子，经颅多普勒</w:t>
            </w:r>
            <w:r>
              <w:rPr>
                <w:rFonts w:ascii="Times New Roman" w:eastAsia="宋体" w:hAnsi="Times New Roman" w:cs="Times New Roman" w:hint="eastAsia"/>
                <w:color w:val="000000"/>
                <w:kern w:val="0"/>
                <w:sz w:val="18"/>
                <w:szCs w:val="18"/>
                <w:lang w:bidi="ar"/>
              </w:rPr>
              <w:t>(TCD)</w:t>
            </w:r>
            <w:r>
              <w:rPr>
                <w:rFonts w:ascii="Times New Roman" w:eastAsia="宋体" w:hAnsi="Times New Roman" w:cs="Times New Roman" w:hint="eastAsia"/>
                <w:color w:val="000000"/>
                <w:kern w:val="0"/>
                <w:sz w:val="18"/>
                <w:szCs w:val="18"/>
                <w:lang w:bidi="ar"/>
              </w:rPr>
              <w:t>检测参数，听力检查，脑干听觉诱发电位</w:t>
            </w:r>
            <w:r>
              <w:rPr>
                <w:rFonts w:ascii="Times New Roman" w:eastAsia="宋体" w:hAnsi="Times New Roman" w:cs="Times New Roman" w:hint="eastAsia"/>
                <w:color w:val="000000"/>
                <w:kern w:val="0"/>
                <w:sz w:val="18"/>
                <w:szCs w:val="18"/>
                <w:lang w:bidi="ar"/>
              </w:rPr>
              <w:t>(BAEP)</w:t>
            </w:r>
            <w:r>
              <w:rPr>
                <w:rFonts w:ascii="Times New Roman" w:eastAsia="宋体" w:hAnsi="Times New Roman" w:cs="Times New Roman" w:hint="eastAsia"/>
                <w:color w:val="000000"/>
                <w:kern w:val="0"/>
                <w:sz w:val="18"/>
                <w:szCs w:val="18"/>
                <w:lang w:bidi="ar"/>
              </w:rPr>
              <w:t>，头颅</w:t>
            </w:r>
            <w:r>
              <w:rPr>
                <w:rFonts w:ascii="Times New Roman" w:eastAsia="宋体" w:hAnsi="Times New Roman" w:cs="Times New Roman" w:hint="eastAsia"/>
                <w:color w:val="000000"/>
                <w:kern w:val="0"/>
                <w:sz w:val="18"/>
                <w:szCs w:val="18"/>
                <w:lang w:bidi="ar"/>
              </w:rPr>
              <w:t>CT</w:t>
            </w:r>
            <w:r>
              <w:rPr>
                <w:rFonts w:ascii="Times New Roman" w:eastAsia="宋体" w:hAnsi="Times New Roman" w:cs="Times New Roman" w:hint="eastAsia"/>
                <w:color w:val="000000"/>
                <w:kern w:val="0"/>
                <w:sz w:val="18"/>
                <w:szCs w:val="18"/>
                <w:lang w:bidi="ar"/>
              </w:rPr>
              <w:t>等，作为评价指标。</w:t>
            </w:r>
          </w:p>
          <w:p w14:paraId="315B420B"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 xml:space="preserve">7.2.3  </w:t>
            </w:r>
            <w:r>
              <w:rPr>
                <w:rFonts w:ascii="Times New Roman" w:eastAsia="宋体" w:hAnsi="Times New Roman" w:cs="Times New Roman" w:hint="eastAsia"/>
                <w:color w:val="000000"/>
                <w:kern w:val="0"/>
                <w:sz w:val="18"/>
                <w:szCs w:val="18"/>
                <w:lang w:bidi="ar"/>
              </w:rPr>
              <w:t>其他指标：对眩晕患者的生活质量评价也是疗效评定的重要内容，可采用生活质量指数（</w:t>
            </w:r>
            <w:r>
              <w:rPr>
                <w:rFonts w:ascii="Times New Roman" w:eastAsia="宋体" w:hAnsi="Times New Roman" w:cs="Times New Roman" w:hint="eastAsia"/>
                <w:color w:val="000000"/>
                <w:kern w:val="0"/>
                <w:sz w:val="18"/>
                <w:szCs w:val="18"/>
                <w:lang w:bidi="ar"/>
              </w:rPr>
              <w:t>Quality of Life Index ,QLI</w:t>
            </w:r>
            <w:r>
              <w:rPr>
                <w:rFonts w:ascii="Times New Roman" w:eastAsia="宋体" w:hAnsi="Times New Roman" w:cs="Times New Roman" w:hint="eastAsia"/>
                <w:color w:val="000000"/>
                <w:kern w:val="0"/>
                <w:sz w:val="18"/>
                <w:szCs w:val="18"/>
                <w:lang w:bidi="ar"/>
              </w:rPr>
              <w:t>）。</w:t>
            </w:r>
          </w:p>
        </w:tc>
        <w:tc>
          <w:tcPr>
            <w:tcW w:w="696" w:type="pct"/>
            <w:vAlign w:val="center"/>
          </w:tcPr>
          <w:p w14:paraId="15018035" w14:textId="77777777" w:rsidR="00561395" w:rsidRDefault="00000000">
            <w:pPr>
              <w:widowControl/>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95.83%</w:t>
            </w:r>
          </w:p>
        </w:tc>
      </w:tr>
    </w:tbl>
    <w:p w14:paraId="1CFB5C9B" w14:textId="77777777" w:rsidR="00561395" w:rsidRDefault="00000000">
      <w:pPr>
        <w:pStyle w:val="2"/>
        <w:ind w:firstLineChars="200" w:firstLine="643"/>
      </w:pPr>
      <w:bookmarkStart w:id="15" w:name="_Toc28637"/>
      <w:r>
        <w:rPr>
          <w:rFonts w:hint="eastAsia"/>
        </w:rPr>
        <w:t>（三）征求意见并形成报批稿</w:t>
      </w:r>
      <w:bookmarkEnd w:id="15"/>
    </w:p>
    <w:p w14:paraId="721C6E29" w14:textId="77777777" w:rsidR="00561395" w:rsidRDefault="00000000">
      <w:pPr>
        <w:tabs>
          <w:tab w:val="left" w:pos="312"/>
        </w:tabs>
        <w:spacing w:beforeLines="50" w:before="156" w:afterLines="50" w:after="156" w:line="360" w:lineRule="auto"/>
        <w:ind w:firstLineChars="200" w:firstLine="643"/>
        <w:rPr>
          <w:rFonts w:ascii="仿宋_GB2312" w:eastAsia="仿宋_GB2312" w:hAnsi="仿宋" w:cs="仿宋_GB2312"/>
          <w:sz w:val="32"/>
          <w:szCs w:val="32"/>
        </w:rPr>
      </w:pPr>
      <w:r>
        <w:rPr>
          <w:rFonts w:ascii="仿宋_GB2312" w:eastAsia="仿宋_GB2312" w:hAnsiTheme="minorEastAsia" w:hint="eastAsia"/>
          <w:b/>
          <w:bCs/>
          <w:sz w:val="32"/>
          <w:szCs w:val="32"/>
        </w:rPr>
        <w:t>1.修订后标准适用性评价</w:t>
      </w:r>
    </w:p>
    <w:p w14:paraId="47BB2284" w14:textId="77777777" w:rsidR="00561395" w:rsidRDefault="00000000">
      <w:pPr>
        <w:tabs>
          <w:tab w:val="left" w:pos="312"/>
        </w:tabs>
        <w:spacing w:beforeLines="50" w:before="156" w:afterLines="50" w:after="156" w:line="360" w:lineRule="auto"/>
        <w:ind w:firstLineChars="200" w:firstLine="640"/>
        <w:rPr>
          <w:rFonts w:ascii="仿宋_GB2312" w:eastAsia="仿宋_GB2312" w:hAnsi="仿宋" w:cs="仿宋_GB2312"/>
          <w:sz w:val="32"/>
          <w:szCs w:val="32"/>
        </w:rPr>
      </w:pPr>
      <w:r>
        <w:rPr>
          <w:rFonts w:ascii="仿宋_GB2312" w:eastAsia="仿宋_GB2312" w:hAnsi="仿宋" w:cs="仿宋_GB2312"/>
          <w:sz w:val="32"/>
          <w:szCs w:val="32"/>
        </w:rPr>
        <w:lastRenderedPageBreak/>
        <w:t>对于修订后标准</w:t>
      </w:r>
      <w:r>
        <w:rPr>
          <w:rFonts w:ascii="仿宋_GB2312" w:eastAsia="仿宋_GB2312" w:hAnsi="仿宋" w:cs="仿宋_GB2312" w:hint="eastAsia"/>
          <w:sz w:val="32"/>
          <w:szCs w:val="32"/>
        </w:rPr>
        <w:t>开展</w:t>
      </w:r>
      <w:r>
        <w:rPr>
          <w:rFonts w:ascii="仿宋_GB2312" w:eastAsia="仿宋_GB2312" w:hAnsi="仿宋" w:cs="仿宋_GB2312"/>
          <w:sz w:val="32"/>
          <w:szCs w:val="32"/>
        </w:rPr>
        <w:t>专家调查问卷适用性评价，问卷共发放30份，回收27份，问卷回收率为90%，问卷有效率为100%。共咨询专家27名，职称均为主任医师</w:t>
      </w:r>
      <w:r>
        <w:rPr>
          <w:rFonts w:ascii="仿宋_GB2312" w:eastAsia="仿宋_GB2312" w:hAnsi="仿宋" w:cs="仿宋_GB2312" w:hint="eastAsia"/>
          <w:sz w:val="32"/>
          <w:szCs w:val="32"/>
        </w:rPr>
        <w:t>，</w:t>
      </w:r>
      <w:r>
        <w:rPr>
          <w:rFonts w:ascii="仿宋_GB2312" w:eastAsia="仿宋_GB2312" w:hAnsi="仿宋" w:cs="仿宋_GB2312"/>
          <w:sz w:val="32"/>
          <w:szCs w:val="32"/>
        </w:rPr>
        <w:t>工作单位所在地域覆盖东北、华北等地区的11个省和1</w:t>
      </w:r>
      <w:r>
        <w:rPr>
          <w:rFonts w:ascii="仿宋_GB2312" w:eastAsia="仿宋_GB2312" w:hAnsi="仿宋" w:cs="仿宋_GB2312" w:hint="eastAsia"/>
          <w:sz w:val="32"/>
          <w:szCs w:val="32"/>
        </w:rPr>
        <w:t>8</w:t>
      </w:r>
      <w:r>
        <w:rPr>
          <w:rFonts w:ascii="仿宋_GB2312" w:eastAsia="仿宋_GB2312" w:hAnsi="仿宋" w:cs="仿宋_GB2312"/>
          <w:sz w:val="32"/>
          <w:szCs w:val="32"/>
        </w:rPr>
        <w:t>个市，调查具有较好的专业权威性及地域代表性。</w:t>
      </w:r>
    </w:p>
    <w:p w14:paraId="7127F319" w14:textId="77777777" w:rsidR="00561395" w:rsidRDefault="00000000">
      <w:pPr>
        <w:tabs>
          <w:tab w:val="left" w:pos="312"/>
        </w:tabs>
        <w:spacing w:beforeLines="50" w:before="156" w:afterLines="50" w:after="156" w:line="360" w:lineRule="auto"/>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结果显示，</w:t>
      </w:r>
      <w:r>
        <w:rPr>
          <w:rFonts w:ascii="仿宋_GB2312" w:eastAsia="仿宋_GB2312" w:hAnsi="仿宋" w:cs="仿宋_GB2312"/>
          <w:sz w:val="32"/>
          <w:szCs w:val="32"/>
        </w:rPr>
        <w:t>对于疾病定义，24名专家认为眩晕的疾病定义完全合理，占比88.89%；3名认为比较合理，占比11.11%。25名专家认为该标准在临床时的整体适用性很好，占比9</w:t>
      </w:r>
      <w:r>
        <w:rPr>
          <w:rFonts w:ascii="仿宋_GB2312" w:eastAsia="仿宋_GB2312" w:hAnsi="仿宋" w:cs="仿宋_GB2312" w:hint="eastAsia"/>
          <w:sz w:val="32"/>
          <w:szCs w:val="32"/>
        </w:rPr>
        <w:t>2.59</w:t>
      </w:r>
      <w:r>
        <w:rPr>
          <w:rFonts w:ascii="仿宋_GB2312" w:eastAsia="仿宋_GB2312" w:hAnsi="仿宋" w:cs="仿宋_GB2312"/>
          <w:sz w:val="32"/>
          <w:szCs w:val="32"/>
        </w:rPr>
        <w:t>%；</w:t>
      </w:r>
      <w:r>
        <w:rPr>
          <w:rFonts w:ascii="仿宋_GB2312" w:eastAsia="仿宋_GB2312" w:hAnsi="仿宋" w:cs="仿宋_GB2312" w:hint="eastAsia"/>
          <w:sz w:val="32"/>
          <w:szCs w:val="32"/>
        </w:rPr>
        <w:t>2</w:t>
      </w:r>
      <w:r>
        <w:rPr>
          <w:rFonts w:ascii="仿宋_GB2312" w:eastAsia="仿宋_GB2312" w:hAnsi="仿宋" w:cs="仿宋_GB2312"/>
          <w:sz w:val="32"/>
          <w:szCs w:val="32"/>
        </w:rPr>
        <w:t>名认为较好，占比7.41%。新修订标准所有条目的</w:t>
      </w:r>
      <w:r>
        <w:rPr>
          <w:rFonts w:ascii="仿宋_GB2312" w:eastAsia="仿宋_GB2312" w:hAnsi="仿宋" w:cs="仿宋_GB2312"/>
          <w:sz w:val="32"/>
          <w:szCs w:val="32"/>
        </w:rPr>
        <w:t>“</w:t>
      </w:r>
      <w:r>
        <w:rPr>
          <w:rFonts w:ascii="仿宋_GB2312" w:eastAsia="仿宋_GB2312" w:hAnsi="仿宋" w:cs="仿宋_GB2312"/>
          <w:sz w:val="32"/>
          <w:szCs w:val="32"/>
        </w:rPr>
        <w:t>完全合理</w:t>
      </w:r>
      <w:r>
        <w:rPr>
          <w:rFonts w:ascii="仿宋_GB2312" w:eastAsia="仿宋_GB2312" w:hAnsi="仿宋" w:cs="仿宋_GB2312"/>
          <w:sz w:val="32"/>
          <w:szCs w:val="32"/>
        </w:rPr>
        <w:t>”</w:t>
      </w:r>
      <w:r>
        <w:rPr>
          <w:rFonts w:ascii="仿宋_GB2312" w:eastAsia="仿宋_GB2312" w:hAnsi="仿宋" w:cs="仿宋_GB2312"/>
          <w:sz w:val="32"/>
          <w:szCs w:val="32"/>
        </w:rPr>
        <w:t>人数均大于70%，均为完全适用条目和核心技术要素。</w:t>
      </w:r>
      <w:r>
        <w:rPr>
          <w:rFonts w:ascii="仿宋_GB2312" w:eastAsia="仿宋_GB2312" w:hAnsi="仿宋" w:cs="仿宋_GB2312" w:hint="eastAsia"/>
          <w:sz w:val="32"/>
          <w:szCs w:val="32"/>
        </w:rPr>
        <w:t>根据专家意见标准修改情况见表6。详</w:t>
      </w:r>
      <w:r>
        <w:rPr>
          <w:rFonts w:ascii="仿宋_GB2312" w:eastAsia="仿宋_GB2312" w:hAnsi="仿宋" w:cs="仿宋_GB2312"/>
          <w:sz w:val="32"/>
          <w:szCs w:val="32"/>
        </w:rPr>
        <w:t>见附件</w:t>
      </w:r>
      <w:r>
        <w:rPr>
          <w:rFonts w:ascii="仿宋_GB2312" w:eastAsia="仿宋_GB2312" w:hAnsi="仿宋" w:cs="仿宋_GB2312" w:hint="eastAsia"/>
          <w:sz w:val="32"/>
          <w:szCs w:val="32"/>
        </w:rPr>
        <w:t>14</w:t>
      </w:r>
      <w:r>
        <w:rPr>
          <w:rFonts w:ascii="仿宋_GB2312" w:eastAsia="仿宋_GB2312" w:hAnsi="仿宋" w:cs="仿宋_GB2312"/>
          <w:sz w:val="32"/>
          <w:szCs w:val="32"/>
        </w:rPr>
        <w:t>。</w:t>
      </w:r>
    </w:p>
    <w:p w14:paraId="24A5FB6C" w14:textId="77777777" w:rsidR="00561395" w:rsidRDefault="00000000">
      <w:pPr>
        <w:jc w:val="center"/>
        <w:rPr>
          <w:rFonts w:ascii="仿宋_GB2312" w:eastAsia="仿宋_GB2312" w:hAnsi="仿宋" w:cs="仿宋_GB2312"/>
          <w:sz w:val="32"/>
          <w:szCs w:val="32"/>
        </w:rPr>
      </w:pPr>
      <w:r>
        <w:rPr>
          <w:rStyle w:val="fontstyle01"/>
          <w:rFonts w:ascii="黑体" w:eastAsia="黑体" w:hAnsi="黑体" w:cs="Times New Roman" w:hint="default"/>
          <w:color w:val="auto"/>
          <w:sz w:val="24"/>
        </w:rPr>
        <w:t>表</w:t>
      </w:r>
      <w:r>
        <w:rPr>
          <w:rStyle w:val="fontstyle01"/>
          <w:rFonts w:hAnsi="黑体" w:cs="Times New Roman" w:hint="default"/>
          <w:color w:val="auto"/>
          <w:sz w:val="24"/>
        </w:rPr>
        <w:t>6</w:t>
      </w:r>
      <w:r>
        <w:rPr>
          <w:rStyle w:val="fontstyle01"/>
          <w:rFonts w:ascii="黑体" w:eastAsia="黑体" w:hAnsi="黑体" w:cs="Times New Roman" w:hint="default"/>
          <w:color w:val="auto"/>
          <w:sz w:val="24"/>
        </w:rPr>
        <w:t xml:space="preserve">  修订后标准适用性评价简表</w:t>
      </w:r>
    </w:p>
    <w:tbl>
      <w:tblPr>
        <w:tblStyle w:val="af"/>
        <w:tblW w:w="9857" w:type="dxa"/>
        <w:jc w:val="center"/>
        <w:tblLook w:val="04A0" w:firstRow="1" w:lastRow="0" w:firstColumn="1" w:lastColumn="0" w:noHBand="0" w:noVBand="1"/>
      </w:tblPr>
      <w:tblGrid>
        <w:gridCol w:w="1364"/>
        <w:gridCol w:w="4102"/>
        <w:gridCol w:w="963"/>
        <w:gridCol w:w="1010"/>
        <w:gridCol w:w="2418"/>
      </w:tblGrid>
      <w:tr w:rsidR="00561395" w14:paraId="6F1DA4CA" w14:textId="77777777">
        <w:trPr>
          <w:trHeight w:val="307"/>
          <w:jc w:val="center"/>
        </w:trPr>
        <w:tc>
          <w:tcPr>
            <w:tcW w:w="1364" w:type="dxa"/>
            <w:vAlign w:val="center"/>
          </w:tcPr>
          <w:p w14:paraId="0EAB2319" w14:textId="77777777" w:rsidR="00561395" w:rsidRDefault="00000000">
            <w:pPr>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类别</w:t>
            </w:r>
          </w:p>
        </w:tc>
        <w:tc>
          <w:tcPr>
            <w:tcW w:w="4102" w:type="dxa"/>
            <w:vAlign w:val="center"/>
          </w:tcPr>
          <w:p w14:paraId="566E26C9" w14:textId="77777777" w:rsidR="00561395" w:rsidRDefault="00000000">
            <w:pPr>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修订建议</w:t>
            </w:r>
          </w:p>
        </w:tc>
        <w:tc>
          <w:tcPr>
            <w:tcW w:w="963" w:type="dxa"/>
            <w:vAlign w:val="center"/>
          </w:tcPr>
          <w:p w14:paraId="5AD2C968" w14:textId="77777777" w:rsidR="00561395" w:rsidRDefault="00000000">
            <w:pPr>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提及人数</w:t>
            </w:r>
          </w:p>
        </w:tc>
        <w:tc>
          <w:tcPr>
            <w:tcW w:w="1010" w:type="dxa"/>
            <w:vAlign w:val="center"/>
          </w:tcPr>
          <w:p w14:paraId="63857332" w14:textId="77777777" w:rsidR="00561395" w:rsidRDefault="00000000">
            <w:pPr>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是否采纳</w:t>
            </w:r>
          </w:p>
        </w:tc>
        <w:tc>
          <w:tcPr>
            <w:tcW w:w="2418" w:type="dxa"/>
            <w:vAlign w:val="center"/>
          </w:tcPr>
          <w:p w14:paraId="11A12BE5" w14:textId="77777777" w:rsidR="00561395" w:rsidRDefault="00000000">
            <w:pPr>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采纳修订情况</w:t>
            </w:r>
            <w:r>
              <w:rPr>
                <w:rFonts w:ascii="Times New Roman" w:eastAsia="宋体" w:hAnsi="Times New Roman" w:cs="Times New Roman" w:hint="eastAsia"/>
                <w:b/>
                <w:bCs/>
                <w:color w:val="000000"/>
                <w:sz w:val="18"/>
                <w:szCs w:val="18"/>
              </w:rPr>
              <w:t>或不采纳理由</w:t>
            </w:r>
          </w:p>
        </w:tc>
      </w:tr>
      <w:tr w:rsidR="00561395" w14:paraId="23620DA2" w14:textId="77777777">
        <w:trPr>
          <w:jc w:val="center"/>
        </w:trPr>
        <w:tc>
          <w:tcPr>
            <w:tcW w:w="1364" w:type="dxa"/>
            <w:vMerge w:val="restart"/>
            <w:vAlign w:val="center"/>
          </w:tcPr>
          <w:p w14:paraId="5F47C6DA"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疾病定义</w:t>
            </w:r>
          </w:p>
        </w:tc>
        <w:tc>
          <w:tcPr>
            <w:tcW w:w="4102" w:type="dxa"/>
            <w:vAlign w:val="center"/>
          </w:tcPr>
          <w:p w14:paraId="5FA48192"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建议将</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头晕目眩</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修改为</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头晕、目眩</w:t>
            </w:r>
            <w:r>
              <w:rPr>
                <w:rFonts w:ascii="Times New Roman" w:eastAsia="宋体" w:hAnsi="Times New Roman" w:cs="Times New Roman"/>
                <w:color w:val="000000"/>
                <w:sz w:val="18"/>
                <w:szCs w:val="18"/>
              </w:rPr>
              <w:t>”</w:t>
            </w:r>
          </w:p>
        </w:tc>
        <w:tc>
          <w:tcPr>
            <w:tcW w:w="963" w:type="dxa"/>
            <w:vAlign w:val="center"/>
          </w:tcPr>
          <w:p w14:paraId="450B98DA"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w:t>
            </w:r>
          </w:p>
        </w:tc>
        <w:tc>
          <w:tcPr>
            <w:tcW w:w="1010" w:type="dxa"/>
            <w:vAlign w:val="center"/>
          </w:tcPr>
          <w:p w14:paraId="68F3C2BA"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否</w:t>
            </w:r>
          </w:p>
        </w:tc>
        <w:tc>
          <w:tcPr>
            <w:tcW w:w="2418" w:type="dxa"/>
            <w:vAlign w:val="center"/>
          </w:tcPr>
          <w:p w14:paraId="6A824A1C"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与原义相近，</w:t>
            </w:r>
            <w:r>
              <w:rPr>
                <w:rFonts w:ascii="Times New Roman" w:eastAsia="宋体" w:hAnsi="Times New Roman" w:cs="Times New Roman"/>
                <w:color w:val="000000"/>
                <w:sz w:val="18"/>
                <w:szCs w:val="18"/>
              </w:rPr>
              <w:t>头晕目眩</w:t>
            </w:r>
            <w:r>
              <w:rPr>
                <w:rFonts w:ascii="Times New Roman" w:eastAsia="宋体" w:hAnsi="Times New Roman" w:cs="Times New Roman" w:hint="eastAsia"/>
                <w:color w:val="000000"/>
                <w:sz w:val="18"/>
                <w:szCs w:val="18"/>
              </w:rPr>
              <w:t>在前期已形成专家共识</w:t>
            </w:r>
          </w:p>
        </w:tc>
      </w:tr>
      <w:tr w:rsidR="00561395" w14:paraId="218977B9" w14:textId="77777777">
        <w:trPr>
          <w:jc w:val="center"/>
        </w:trPr>
        <w:tc>
          <w:tcPr>
            <w:tcW w:w="1364" w:type="dxa"/>
            <w:vMerge/>
            <w:vAlign w:val="center"/>
          </w:tcPr>
          <w:p w14:paraId="03B1C431" w14:textId="77777777" w:rsidR="00561395" w:rsidRDefault="00561395">
            <w:pPr>
              <w:rPr>
                <w:rFonts w:ascii="Times New Roman" w:eastAsia="宋体" w:hAnsi="Times New Roman" w:cs="Times New Roman"/>
                <w:color w:val="000000"/>
                <w:sz w:val="18"/>
                <w:szCs w:val="18"/>
              </w:rPr>
            </w:pPr>
          </w:p>
        </w:tc>
        <w:tc>
          <w:tcPr>
            <w:tcW w:w="4102" w:type="dxa"/>
            <w:vAlign w:val="center"/>
          </w:tcPr>
          <w:p w14:paraId="55C03217"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建议将</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所致清窍失养，脑髓不充</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修改为</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所致清窍失养或不宁</w:t>
            </w:r>
            <w:r>
              <w:rPr>
                <w:rFonts w:ascii="Times New Roman" w:eastAsia="宋体" w:hAnsi="Times New Roman" w:cs="Times New Roman"/>
                <w:color w:val="000000"/>
                <w:sz w:val="18"/>
                <w:szCs w:val="18"/>
              </w:rPr>
              <w:t>”</w:t>
            </w:r>
          </w:p>
        </w:tc>
        <w:tc>
          <w:tcPr>
            <w:tcW w:w="963" w:type="dxa"/>
            <w:vAlign w:val="center"/>
          </w:tcPr>
          <w:p w14:paraId="494E6F3A"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w:t>
            </w:r>
          </w:p>
        </w:tc>
        <w:tc>
          <w:tcPr>
            <w:tcW w:w="1010" w:type="dxa"/>
            <w:vAlign w:val="center"/>
          </w:tcPr>
          <w:p w14:paraId="610DD9DD"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否</w:t>
            </w:r>
          </w:p>
        </w:tc>
        <w:tc>
          <w:tcPr>
            <w:tcW w:w="2418" w:type="dxa"/>
            <w:vAlign w:val="center"/>
          </w:tcPr>
          <w:p w14:paraId="6B6BCC4C"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清窍不宁</w:t>
            </w:r>
            <w:r>
              <w:rPr>
                <w:rFonts w:ascii="Times New Roman" w:eastAsia="宋体" w:hAnsi="Times New Roman" w:cs="Times New Roman" w:hint="eastAsia"/>
                <w:color w:val="000000"/>
                <w:sz w:val="18"/>
                <w:szCs w:val="18"/>
              </w:rPr>
              <w:t>非专业规范用语</w:t>
            </w:r>
          </w:p>
        </w:tc>
      </w:tr>
      <w:tr w:rsidR="00561395" w14:paraId="2CCEB5DC" w14:textId="77777777">
        <w:trPr>
          <w:jc w:val="center"/>
        </w:trPr>
        <w:tc>
          <w:tcPr>
            <w:tcW w:w="1364" w:type="dxa"/>
            <w:vAlign w:val="center"/>
          </w:tcPr>
          <w:p w14:paraId="31C2AE47"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疾病</w:t>
            </w:r>
            <w:r>
              <w:rPr>
                <w:rFonts w:ascii="Times New Roman" w:eastAsia="宋体" w:hAnsi="Times New Roman" w:cs="Times New Roman"/>
                <w:color w:val="000000"/>
                <w:sz w:val="18"/>
                <w:szCs w:val="18"/>
              </w:rPr>
              <w:t>诊断</w:t>
            </w:r>
          </w:p>
        </w:tc>
        <w:tc>
          <w:tcPr>
            <w:tcW w:w="4102" w:type="dxa"/>
            <w:vAlign w:val="center"/>
          </w:tcPr>
          <w:p w14:paraId="14A4AADE"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建议将</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头晕目眩</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修改为</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头晕、目眩</w:t>
            </w:r>
            <w:r>
              <w:rPr>
                <w:rFonts w:ascii="Times New Roman" w:eastAsia="宋体" w:hAnsi="Times New Roman" w:cs="Times New Roman"/>
                <w:color w:val="000000"/>
                <w:sz w:val="18"/>
                <w:szCs w:val="18"/>
              </w:rPr>
              <w:t>”</w:t>
            </w:r>
          </w:p>
        </w:tc>
        <w:tc>
          <w:tcPr>
            <w:tcW w:w="963" w:type="dxa"/>
            <w:vAlign w:val="center"/>
          </w:tcPr>
          <w:p w14:paraId="0C3BCEA8"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w:t>
            </w:r>
          </w:p>
        </w:tc>
        <w:tc>
          <w:tcPr>
            <w:tcW w:w="1010" w:type="dxa"/>
            <w:vAlign w:val="center"/>
          </w:tcPr>
          <w:p w14:paraId="6D73CBDC"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否</w:t>
            </w:r>
          </w:p>
        </w:tc>
        <w:tc>
          <w:tcPr>
            <w:tcW w:w="2418" w:type="dxa"/>
            <w:vAlign w:val="center"/>
          </w:tcPr>
          <w:p w14:paraId="0E60A60B"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与原义相近，</w:t>
            </w:r>
            <w:r>
              <w:rPr>
                <w:rFonts w:ascii="Times New Roman" w:eastAsia="宋体" w:hAnsi="Times New Roman" w:cs="Times New Roman"/>
                <w:color w:val="000000"/>
                <w:sz w:val="18"/>
                <w:szCs w:val="18"/>
              </w:rPr>
              <w:t>头晕目眩</w:t>
            </w:r>
            <w:r>
              <w:rPr>
                <w:rFonts w:ascii="Times New Roman" w:eastAsia="宋体" w:hAnsi="Times New Roman" w:cs="Times New Roman" w:hint="eastAsia"/>
                <w:color w:val="000000"/>
                <w:sz w:val="18"/>
                <w:szCs w:val="18"/>
              </w:rPr>
              <w:t>在前期已形成专家共识</w:t>
            </w:r>
          </w:p>
        </w:tc>
      </w:tr>
      <w:tr w:rsidR="00561395" w14:paraId="3180D0B8" w14:textId="77777777">
        <w:trPr>
          <w:jc w:val="center"/>
        </w:trPr>
        <w:tc>
          <w:tcPr>
            <w:tcW w:w="1364" w:type="dxa"/>
            <w:vMerge w:val="restart"/>
            <w:vAlign w:val="center"/>
          </w:tcPr>
          <w:p w14:paraId="112385CD"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鉴别诊断</w:t>
            </w:r>
          </w:p>
        </w:tc>
        <w:tc>
          <w:tcPr>
            <w:tcW w:w="4102" w:type="dxa"/>
            <w:vAlign w:val="center"/>
          </w:tcPr>
          <w:p w14:paraId="1AD0CAE3"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w:t>
            </w:r>
            <w:r>
              <w:rPr>
                <w:rFonts w:ascii="Times New Roman" w:eastAsia="宋体" w:hAnsi="Times New Roman" w:cs="Times New Roman"/>
                <w:color w:val="000000"/>
                <w:sz w:val="18"/>
                <w:szCs w:val="18"/>
              </w:rPr>
              <w:t>建议和晕厥鉴别</w:t>
            </w:r>
          </w:p>
        </w:tc>
        <w:tc>
          <w:tcPr>
            <w:tcW w:w="963" w:type="dxa"/>
            <w:vAlign w:val="center"/>
          </w:tcPr>
          <w:p w14:paraId="57042FE5"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w:t>
            </w:r>
          </w:p>
        </w:tc>
        <w:tc>
          <w:tcPr>
            <w:tcW w:w="1010" w:type="dxa"/>
            <w:vAlign w:val="center"/>
          </w:tcPr>
          <w:p w14:paraId="56AE3E54"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否</w:t>
            </w:r>
          </w:p>
        </w:tc>
        <w:tc>
          <w:tcPr>
            <w:tcW w:w="2418" w:type="dxa"/>
            <w:vAlign w:val="center"/>
          </w:tcPr>
          <w:p w14:paraId="759A0A0F"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病种鉴别在前期已形成专家共识</w:t>
            </w:r>
          </w:p>
        </w:tc>
      </w:tr>
      <w:tr w:rsidR="00561395" w14:paraId="2898618E" w14:textId="77777777">
        <w:trPr>
          <w:jc w:val="center"/>
        </w:trPr>
        <w:tc>
          <w:tcPr>
            <w:tcW w:w="1364" w:type="dxa"/>
            <w:vMerge/>
            <w:vAlign w:val="center"/>
          </w:tcPr>
          <w:p w14:paraId="35D3F2A5" w14:textId="77777777" w:rsidR="00561395" w:rsidRDefault="00561395">
            <w:pPr>
              <w:rPr>
                <w:rFonts w:ascii="Times New Roman" w:eastAsia="宋体" w:hAnsi="Times New Roman" w:cs="Times New Roman"/>
                <w:color w:val="000000"/>
                <w:sz w:val="18"/>
                <w:szCs w:val="18"/>
              </w:rPr>
            </w:pPr>
          </w:p>
        </w:tc>
        <w:tc>
          <w:tcPr>
            <w:tcW w:w="4102" w:type="dxa"/>
            <w:vAlign w:val="center"/>
          </w:tcPr>
          <w:p w14:paraId="1F106894"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2.</w:t>
            </w:r>
            <w:r>
              <w:rPr>
                <w:rFonts w:ascii="Times New Roman" w:eastAsia="宋体" w:hAnsi="Times New Roman" w:cs="Times New Roman"/>
                <w:color w:val="000000"/>
                <w:sz w:val="18"/>
                <w:szCs w:val="18"/>
              </w:rPr>
              <w:t>建议</w:t>
            </w:r>
            <w:r>
              <w:rPr>
                <w:rFonts w:ascii="Times New Roman" w:eastAsia="宋体" w:hAnsi="Times New Roman" w:cs="Times New Roman" w:hint="eastAsia"/>
                <w:color w:val="000000"/>
                <w:sz w:val="18"/>
                <w:szCs w:val="18"/>
              </w:rPr>
              <w:t>将</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痫病</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修改为</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痫证</w:t>
            </w:r>
            <w:r>
              <w:rPr>
                <w:rFonts w:ascii="Times New Roman" w:eastAsia="宋体" w:hAnsi="Times New Roman" w:cs="Times New Roman"/>
                <w:color w:val="000000"/>
                <w:sz w:val="18"/>
                <w:szCs w:val="18"/>
              </w:rPr>
              <w:t>”</w:t>
            </w:r>
          </w:p>
        </w:tc>
        <w:tc>
          <w:tcPr>
            <w:tcW w:w="963" w:type="dxa"/>
            <w:vAlign w:val="center"/>
          </w:tcPr>
          <w:p w14:paraId="5388B7ED"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w:t>
            </w:r>
          </w:p>
        </w:tc>
        <w:tc>
          <w:tcPr>
            <w:tcW w:w="1010" w:type="dxa"/>
            <w:vAlign w:val="center"/>
          </w:tcPr>
          <w:p w14:paraId="3F04E7D9"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是</w:t>
            </w:r>
          </w:p>
        </w:tc>
        <w:tc>
          <w:tcPr>
            <w:tcW w:w="2418" w:type="dxa"/>
            <w:vAlign w:val="center"/>
          </w:tcPr>
          <w:p w14:paraId="3A3F4720"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已修改</w:t>
            </w:r>
          </w:p>
        </w:tc>
      </w:tr>
      <w:tr w:rsidR="00561395" w14:paraId="1966B547" w14:textId="77777777">
        <w:trPr>
          <w:jc w:val="center"/>
        </w:trPr>
        <w:tc>
          <w:tcPr>
            <w:tcW w:w="1364" w:type="dxa"/>
            <w:vMerge/>
            <w:vAlign w:val="center"/>
          </w:tcPr>
          <w:p w14:paraId="78E350A3" w14:textId="77777777" w:rsidR="00561395" w:rsidRDefault="00561395">
            <w:pPr>
              <w:rPr>
                <w:rFonts w:ascii="Times New Roman" w:eastAsia="宋体" w:hAnsi="Times New Roman" w:cs="Times New Roman"/>
                <w:color w:val="000000"/>
                <w:sz w:val="18"/>
                <w:szCs w:val="18"/>
              </w:rPr>
            </w:pPr>
          </w:p>
        </w:tc>
        <w:tc>
          <w:tcPr>
            <w:tcW w:w="4102" w:type="dxa"/>
            <w:vAlign w:val="center"/>
          </w:tcPr>
          <w:p w14:paraId="43996511"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3.</w:t>
            </w:r>
            <w:r>
              <w:rPr>
                <w:rFonts w:ascii="Times New Roman" w:eastAsia="宋体" w:hAnsi="Times New Roman" w:cs="Times New Roman" w:hint="eastAsia"/>
                <w:color w:val="000000"/>
                <w:sz w:val="18"/>
                <w:szCs w:val="18"/>
              </w:rPr>
              <w:t>痫证轻证亦有仅“神情恍惚”不发生昏仆者，需要结合相关病史和症状与单纯眩晕进行鉴别</w:t>
            </w:r>
          </w:p>
        </w:tc>
        <w:tc>
          <w:tcPr>
            <w:tcW w:w="963" w:type="dxa"/>
            <w:vAlign w:val="center"/>
          </w:tcPr>
          <w:p w14:paraId="6EC70DB9"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w:t>
            </w:r>
          </w:p>
        </w:tc>
        <w:tc>
          <w:tcPr>
            <w:tcW w:w="1010" w:type="dxa"/>
            <w:vAlign w:val="center"/>
          </w:tcPr>
          <w:p w14:paraId="65665629"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是</w:t>
            </w:r>
          </w:p>
        </w:tc>
        <w:tc>
          <w:tcPr>
            <w:tcW w:w="2418" w:type="dxa"/>
            <w:vAlign w:val="center"/>
          </w:tcPr>
          <w:p w14:paraId="220448B9"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已修改完善相关描述</w:t>
            </w:r>
          </w:p>
        </w:tc>
      </w:tr>
      <w:tr w:rsidR="00561395" w14:paraId="56D34086" w14:textId="77777777">
        <w:trPr>
          <w:jc w:val="center"/>
        </w:trPr>
        <w:tc>
          <w:tcPr>
            <w:tcW w:w="1364" w:type="dxa"/>
            <w:vMerge/>
            <w:vAlign w:val="center"/>
          </w:tcPr>
          <w:p w14:paraId="144536FE" w14:textId="77777777" w:rsidR="00561395" w:rsidRDefault="00561395">
            <w:pPr>
              <w:rPr>
                <w:rFonts w:ascii="Times New Roman" w:eastAsia="宋体" w:hAnsi="Times New Roman" w:cs="Times New Roman"/>
                <w:color w:val="000000"/>
                <w:sz w:val="18"/>
                <w:szCs w:val="18"/>
              </w:rPr>
            </w:pPr>
          </w:p>
        </w:tc>
        <w:tc>
          <w:tcPr>
            <w:tcW w:w="4102" w:type="dxa"/>
            <w:vAlign w:val="center"/>
          </w:tcPr>
          <w:p w14:paraId="3E5B6BB7"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4.</w:t>
            </w:r>
            <w:r>
              <w:rPr>
                <w:rFonts w:ascii="Times New Roman" w:eastAsia="宋体" w:hAnsi="Times New Roman" w:cs="Times New Roman" w:hint="eastAsia"/>
                <w:color w:val="000000"/>
                <w:sz w:val="18"/>
                <w:szCs w:val="18"/>
              </w:rPr>
              <w:t>建议鉴别诊断的中医病名也加代码</w:t>
            </w:r>
          </w:p>
        </w:tc>
        <w:tc>
          <w:tcPr>
            <w:tcW w:w="963" w:type="dxa"/>
            <w:vAlign w:val="center"/>
          </w:tcPr>
          <w:p w14:paraId="54402338"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w:t>
            </w:r>
          </w:p>
        </w:tc>
        <w:tc>
          <w:tcPr>
            <w:tcW w:w="1010" w:type="dxa"/>
            <w:vAlign w:val="center"/>
          </w:tcPr>
          <w:p w14:paraId="3B941015"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是</w:t>
            </w:r>
          </w:p>
        </w:tc>
        <w:tc>
          <w:tcPr>
            <w:tcW w:w="2418" w:type="dxa"/>
            <w:vAlign w:val="center"/>
          </w:tcPr>
          <w:p w14:paraId="3A39CF52"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已增加</w:t>
            </w:r>
          </w:p>
        </w:tc>
      </w:tr>
      <w:tr w:rsidR="00561395" w14:paraId="3DAA29AD" w14:textId="77777777">
        <w:trPr>
          <w:trHeight w:val="90"/>
          <w:jc w:val="center"/>
        </w:trPr>
        <w:tc>
          <w:tcPr>
            <w:tcW w:w="1364" w:type="dxa"/>
            <w:vMerge w:val="restart"/>
            <w:vAlign w:val="center"/>
          </w:tcPr>
          <w:p w14:paraId="015F3651"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痰浊上蒙证的证候诊断</w:t>
            </w:r>
            <w:r>
              <w:rPr>
                <w:rFonts w:ascii="Times New Roman" w:eastAsia="宋体" w:hAnsi="Times New Roman" w:cs="Times New Roman"/>
                <w:color w:val="000000"/>
                <w:sz w:val="18"/>
                <w:szCs w:val="18"/>
              </w:rPr>
              <w:t xml:space="preserve"> </w:t>
            </w:r>
          </w:p>
        </w:tc>
        <w:tc>
          <w:tcPr>
            <w:tcW w:w="4102" w:type="dxa"/>
            <w:vAlign w:val="center"/>
          </w:tcPr>
          <w:p w14:paraId="3CB3688A"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w:t>
            </w:r>
            <w:r>
              <w:rPr>
                <w:rFonts w:ascii="Times New Roman" w:eastAsia="宋体" w:hAnsi="Times New Roman" w:cs="Times New Roman"/>
                <w:color w:val="000000"/>
                <w:sz w:val="18"/>
                <w:szCs w:val="18"/>
              </w:rPr>
              <w:t>建议增加</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或脉濡滑</w:t>
            </w:r>
            <w:r>
              <w:rPr>
                <w:rFonts w:ascii="Times New Roman" w:eastAsia="宋体" w:hAnsi="Times New Roman" w:cs="Times New Roman"/>
                <w:color w:val="000000"/>
                <w:sz w:val="18"/>
                <w:szCs w:val="18"/>
              </w:rPr>
              <w:t>”</w:t>
            </w:r>
          </w:p>
        </w:tc>
        <w:tc>
          <w:tcPr>
            <w:tcW w:w="963" w:type="dxa"/>
            <w:vAlign w:val="center"/>
          </w:tcPr>
          <w:p w14:paraId="49BE48EE"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w:t>
            </w:r>
          </w:p>
        </w:tc>
        <w:tc>
          <w:tcPr>
            <w:tcW w:w="1010" w:type="dxa"/>
            <w:vAlign w:val="center"/>
          </w:tcPr>
          <w:p w14:paraId="2400ACC0"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是</w:t>
            </w:r>
          </w:p>
        </w:tc>
        <w:tc>
          <w:tcPr>
            <w:tcW w:w="2418" w:type="dxa"/>
            <w:vAlign w:val="center"/>
          </w:tcPr>
          <w:p w14:paraId="48F016DE"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已修改</w:t>
            </w:r>
          </w:p>
        </w:tc>
      </w:tr>
      <w:tr w:rsidR="00561395" w14:paraId="6FCA7BC9" w14:textId="77777777">
        <w:trPr>
          <w:trHeight w:val="90"/>
          <w:jc w:val="center"/>
        </w:trPr>
        <w:tc>
          <w:tcPr>
            <w:tcW w:w="1364" w:type="dxa"/>
            <w:vMerge/>
            <w:vAlign w:val="center"/>
          </w:tcPr>
          <w:p w14:paraId="440DA252" w14:textId="77777777" w:rsidR="00561395" w:rsidRDefault="00561395">
            <w:pPr>
              <w:rPr>
                <w:rFonts w:ascii="Times New Roman" w:eastAsia="宋体" w:hAnsi="Times New Roman" w:cs="Times New Roman"/>
                <w:color w:val="000000"/>
                <w:sz w:val="18"/>
                <w:szCs w:val="18"/>
              </w:rPr>
            </w:pPr>
          </w:p>
        </w:tc>
        <w:tc>
          <w:tcPr>
            <w:tcW w:w="4102" w:type="dxa"/>
            <w:vAlign w:val="center"/>
          </w:tcPr>
          <w:p w14:paraId="5A1900C6"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2.</w:t>
            </w:r>
            <w:r>
              <w:rPr>
                <w:rFonts w:ascii="Times New Roman" w:eastAsia="宋体" w:hAnsi="Times New Roman" w:cs="Times New Roman"/>
                <w:color w:val="000000"/>
                <w:sz w:val="18"/>
                <w:szCs w:val="18"/>
              </w:rPr>
              <w:t>建议主症第一项必备，第二项可有可无</w:t>
            </w:r>
          </w:p>
        </w:tc>
        <w:tc>
          <w:tcPr>
            <w:tcW w:w="963" w:type="dxa"/>
            <w:vAlign w:val="center"/>
          </w:tcPr>
          <w:p w14:paraId="0C3F95BB"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w:t>
            </w:r>
          </w:p>
        </w:tc>
        <w:tc>
          <w:tcPr>
            <w:tcW w:w="1010" w:type="dxa"/>
            <w:vAlign w:val="center"/>
          </w:tcPr>
          <w:p w14:paraId="7E5FECB0"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否</w:t>
            </w:r>
          </w:p>
        </w:tc>
        <w:tc>
          <w:tcPr>
            <w:tcW w:w="2418" w:type="dxa"/>
            <w:vAlign w:val="center"/>
          </w:tcPr>
          <w:p w14:paraId="41082043"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前期未形成专家共识</w:t>
            </w:r>
          </w:p>
        </w:tc>
      </w:tr>
      <w:tr w:rsidR="00561395" w14:paraId="2A12EE2E" w14:textId="77777777">
        <w:trPr>
          <w:trHeight w:val="90"/>
          <w:jc w:val="center"/>
        </w:trPr>
        <w:tc>
          <w:tcPr>
            <w:tcW w:w="1364" w:type="dxa"/>
            <w:vMerge w:val="restart"/>
            <w:vAlign w:val="center"/>
          </w:tcPr>
          <w:p w14:paraId="45FBB8DE"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瘀阻脑络证的证候诊断</w:t>
            </w:r>
          </w:p>
        </w:tc>
        <w:tc>
          <w:tcPr>
            <w:tcW w:w="4102" w:type="dxa"/>
            <w:vAlign w:val="center"/>
          </w:tcPr>
          <w:p w14:paraId="64EFF762"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建议</w:t>
            </w:r>
            <w:r>
              <w:rPr>
                <w:rFonts w:ascii="Times New Roman" w:eastAsia="宋体" w:hAnsi="Times New Roman" w:cs="Times New Roman" w:hint="eastAsia"/>
                <w:color w:val="000000"/>
                <w:sz w:val="18"/>
                <w:szCs w:val="18"/>
              </w:rPr>
              <w:t>将“</w:t>
            </w:r>
            <w:r>
              <w:rPr>
                <w:rFonts w:ascii="Times New Roman" w:eastAsia="宋体" w:hAnsi="Times New Roman" w:cs="Times New Roman"/>
                <w:color w:val="000000"/>
                <w:sz w:val="18"/>
                <w:szCs w:val="18"/>
              </w:rPr>
              <w:t>舌下络脉增粗、迂曲</w:t>
            </w:r>
            <w:r>
              <w:rPr>
                <w:rFonts w:ascii="Times New Roman" w:eastAsia="宋体" w:hAnsi="Times New Roman" w:cs="Times New Roman" w:hint="eastAsia"/>
                <w:color w:val="000000"/>
                <w:sz w:val="18"/>
                <w:szCs w:val="18"/>
              </w:rPr>
              <w:t>”</w:t>
            </w:r>
            <w:r>
              <w:rPr>
                <w:rFonts w:ascii="Times New Roman" w:eastAsia="宋体" w:hAnsi="Times New Roman" w:cs="Times New Roman"/>
                <w:color w:val="000000"/>
                <w:sz w:val="18"/>
                <w:szCs w:val="18"/>
              </w:rPr>
              <w:t>修改为</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舌下络脉增粗或迂曲</w:t>
            </w:r>
            <w:r>
              <w:rPr>
                <w:rFonts w:ascii="Times New Roman" w:eastAsia="宋体" w:hAnsi="Times New Roman" w:cs="Times New Roman"/>
                <w:color w:val="000000"/>
                <w:sz w:val="18"/>
                <w:szCs w:val="18"/>
              </w:rPr>
              <w:t>”</w:t>
            </w:r>
          </w:p>
        </w:tc>
        <w:tc>
          <w:tcPr>
            <w:tcW w:w="963" w:type="dxa"/>
            <w:vAlign w:val="center"/>
          </w:tcPr>
          <w:p w14:paraId="64F26987"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w:t>
            </w:r>
          </w:p>
        </w:tc>
        <w:tc>
          <w:tcPr>
            <w:tcW w:w="1010" w:type="dxa"/>
            <w:vAlign w:val="center"/>
          </w:tcPr>
          <w:p w14:paraId="42C754B5"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是</w:t>
            </w:r>
          </w:p>
        </w:tc>
        <w:tc>
          <w:tcPr>
            <w:tcW w:w="2418" w:type="dxa"/>
            <w:vAlign w:val="center"/>
          </w:tcPr>
          <w:p w14:paraId="74097679"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已修改</w:t>
            </w:r>
          </w:p>
        </w:tc>
      </w:tr>
      <w:tr w:rsidR="00561395" w14:paraId="4C54E3FA" w14:textId="77777777">
        <w:trPr>
          <w:trHeight w:val="90"/>
          <w:jc w:val="center"/>
        </w:trPr>
        <w:tc>
          <w:tcPr>
            <w:tcW w:w="1364" w:type="dxa"/>
            <w:vMerge/>
            <w:vAlign w:val="center"/>
          </w:tcPr>
          <w:p w14:paraId="334815AE" w14:textId="77777777" w:rsidR="00561395" w:rsidRDefault="00561395">
            <w:pPr>
              <w:rPr>
                <w:rFonts w:ascii="Times New Roman" w:eastAsia="宋体" w:hAnsi="Times New Roman" w:cs="Times New Roman"/>
                <w:color w:val="000000"/>
                <w:sz w:val="18"/>
                <w:szCs w:val="18"/>
              </w:rPr>
            </w:pPr>
          </w:p>
        </w:tc>
        <w:tc>
          <w:tcPr>
            <w:tcW w:w="4102" w:type="dxa"/>
            <w:vAlign w:val="center"/>
          </w:tcPr>
          <w:p w14:paraId="6F748C2D"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2.</w:t>
            </w:r>
            <w:r>
              <w:rPr>
                <w:rFonts w:ascii="Times New Roman" w:eastAsia="宋体" w:hAnsi="Times New Roman" w:cs="Times New Roman" w:hint="eastAsia"/>
                <w:color w:val="000000"/>
                <w:sz w:val="18"/>
                <w:szCs w:val="18"/>
              </w:rPr>
              <w:t>建议将“头刺痛”修改为用适用性更强的“头痛”</w:t>
            </w:r>
          </w:p>
        </w:tc>
        <w:tc>
          <w:tcPr>
            <w:tcW w:w="963" w:type="dxa"/>
            <w:vAlign w:val="center"/>
          </w:tcPr>
          <w:p w14:paraId="65327DA0"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w:t>
            </w:r>
          </w:p>
        </w:tc>
        <w:tc>
          <w:tcPr>
            <w:tcW w:w="1010" w:type="dxa"/>
            <w:vAlign w:val="center"/>
          </w:tcPr>
          <w:p w14:paraId="5D0A56E3"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否</w:t>
            </w:r>
          </w:p>
        </w:tc>
        <w:tc>
          <w:tcPr>
            <w:tcW w:w="2418" w:type="dxa"/>
            <w:vAlign w:val="center"/>
          </w:tcPr>
          <w:p w14:paraId="70B434A7"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头刺痛更具特异性，头痛则易与其他证候混淆</w:t>
            </w:r>
          </w:p>
        </w:tc>
      </w:tr>
      <w:tr w:rsidR="00561395" w14:paraId="5AA146F6" w14:textId="77777777">
        <w:trPr>
          <w:trHeight w:val="90"/>
          <w:jc w:val="center"/>
        </w:trPr>
        <w:tc>
          <w:tcPr>
            <w:tcW w:w="1364" w:type="dxa"/>
            <w:vAlign w:val="center"/>
          </w:tcPr>
          <w:p w14:paraId="6FBACAA7"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疗效</w:t>
            </w:r>
            <w:r>
              <w:rPr>
                <w:rFonts w:ascii="Times New Roman" w:eastAsia="宋体" w:hAnsi="Times New Roman" w:cs="Times New Roman" w:hint="eastAsia"/>
                <w:color w:val="000000"/>
                <w:sz w:val="18"/>
                <w:szCs w:val="18"/>
              </w:rPr>
              <w:t>评价指标</w:t>
            </w:r>
          </w:p>
        </w:tc>
        <w:tc>
          <w:tcPr>
            <w:tcW w:w="4102" w:type="dxa"/>
            <w:vAlign w:val="center"/>
          </w:tcPr>
          <w:p w14:paraId="6BFD6AE4"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建议增加不同量表的适用范围或适应症或亮点</w:t>
            </w:r>
            <w:r>
              <w:rPr>
                <w:rFonts w:ascii="Times New Roman" w:eastAsia="宋体" w:hAnsi="Times New Roman" w:cs="Times New Roman"/>
                <w:color w:val="000000"/>
                <w:sz w:val="18"/>
                <w:szCs w:val="18"/>
              </w:rPr>
              <w:lastRenderedPageBreak/>
              <w:t>描述</w:t>
            </w:r>
          </w:p>
        </w:tc>
        <w:tc>
          <w:tcPr>
            <w:tcW w:w="963" w:type="dxa"/>
            <w:vAlign w:val="center"/>
          </w:tcPr>
          <w:p w14:paraId="73FAA157"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lastRenderedPageBreak/>
              <w:t>1</w:t>
            </w:r>
          </w:p>
        </w:tc>
        <w:tc>
          <w:tcPr>
            <w:tcW w:w="1010" w:type="dxa"/>
            <w:vAlign w:val="center"/>
          </w:tcPr>
          <w:p w14:paraId="710C71D3"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是</w:t>
            </w:r>
          </w:p>
        </w:tc>
        <w:tc>
          <w:tcPr>
            <w:tcW w:w="2418" w:type="dxa"/>
            <w:vAlign w:val="center"/>
          </w:tcPr>
          <w:p w14:paraId="0577A929" w14:textId="77777777" w:rsidR="00561395" w:rsidRDefault="00000000">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已在附录中增加相关描述</w:t>
            </w:r>
          </w:p>
        </w:tc>
      </w:tr>
    </w:tbl>
    <w:p w14:paraId="782C26A0" w14:textId="77777777" w:rsidR="00561395" w:rsidRDefault="00000000">
      <w:pPr>
        <w:tabs>
          <w:tab w:val="left" w:pos="312"/>
        </w:tabs>
        <w:spacing w:beforeLines="50" w:before="156" w:afterLines="50" w:after="156" w:line="360" w:lineRule="auto"/>
        <w:ind w:firstLineChars="200" w:firstLine="643"/>
        <w:rPr>
          <w:rFonts w:ascii="仿宋_GB2312" w:eastAsia="仿宋_GB2312" w:hAnsiTheme="minorEastAsia"/>
          <w:b/>
          <w:bCs/>
          <w:sz w:val="32"/>
          <w:szCs w:val="32"/>
        </w:rPr>
      </w:pPr>
      <w:r>
        <w:rPr>
          <w:rFonts w:ascii="仿宋_GB2312" w:eastAsia="仿宋_GB2312" w:hAnsiTheme="minorEastAsia" w:hint="eastAsia"/>
          <w:b/>
          <w:bCs/>
          <w:sz w:val="32"/>
          <w:szCs w:val="32"/>
        </w:rPr>
        <w:t>2.临床应用评价</w:t>
      </w:r>
    </w:p>
    <w:p w14:paraId="50D2D178" w14:textId="77777777" w:rsidR="00561395"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对病证诊断指标符合度、疗效评价指标符合度、修订后标准综合评价等方面通过回顾性研究开展临床应用评价，共有1家医院的203位患者参与评价。统计方法为两名研究员评价结果的一致性采用组内相关系数检验，系数值为&gt;0.75 表示一致性非常好。分别计算各领域标准化评分的平均值、中位数和全距（最大值与最小值之差），平均值或中位数&gt;50.00% 提示质量较高，全距&gt;50.00% 提示质量差异较大。以P&lt;0.05 为差异有统计学意义。</w:t>
      </w:r>
    </w:p>
    <w:p w14:paraId="42BAC07C" w14:textId="77777777" w:rsidR="00561395"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结果显示166个病例的条目评价中，一致性的组内相关系数≥0.75（P 均&lt;0.05），占总病例203例的81.77%，提示两名研究员评价结果的一致性非常好。从平均标准化评分和中位标准化评分看，所有条目均≥90%，提示临床应用性较好。从全距上看，除“疗效评价指标符合度”外，其余2个领域的全距≤50%，提示病例之间具有较好稳定性，差异性较小。基于203例病案，对本标准的临床应用性进行评价，只有一条等级显示为“C”，因此本标准具有较好临床应用性，无条目需要修改。详见附件15。</w:t>
      </w:r>
    </w:p>
    <w:p w14:paraId="1177315D" w14:textId="77777777" w:rsidR="00561395" w:rsidRDefault="00000000">
      <w:pPr>
        <w:pStyle w:val="1"/>
        <w:ind w:firstLineChars="200" w:firstLine="640"/>
      </w:pPr>
      <w:bookmarkStart w:id="16" w:name="_Toc31118"/>
      <w:r>
        <w:rPr>
          <w:rFonts w:hint="eastAsia"/>
        </w:rPr>
        <w:t>五、与有关法律、行政法规及相关标准的关系</w:t>
      </w:r>
      <w:bookmarkEnd w:id="16"/>
    </w:p>
    <w:p w14:paraId="24AD67DF" w14:textId="77777777" w:rsidR="00561395"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本文件与现行法律、法规和强制性标准没有冲突。</w:t>
      </w:r>
    </w:p>
    <w:p w14:paraId="2B769A7F" w14:textId="77777777" w:rsidR="00561395"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本文件修订了</w:t>
      </w:r>
      <w:r>
        <w:rPr>
          <w:rFonts w:ascii="仿宋_GB2312" w:eastAsia="仿宋_GB2312" w:hAnsi="仿宋" w:cs="仿宋_GB2312"/>
          <w:sz w:val="32"/>
          <w:szCs w:val="32"/>
        </w:rPr>
        <w:t>ZY/T 001.(X)</w:t>
      </w:r>
      <w:r>
        <w:rPr>
          <w:rFonts w:ascii="仿宋_GB2312" w:eastAsia="仿宋_GB2312" w:hAnsi="仿宋" w:cs="仿宋_GB2312"/>
          <w:sz w:val="32"/>
          <w:szCs w:val="32"/>
        </w:rPr>
        <w:t>—</w:t>
      </w:r>
      <w:r>
        <w:rPr>
          <w:rFonts w:ascii="仿宋_GB2312" w:eastAsia="仿宋_GB2312" w:hAnsi="仿宋" w:cs="仿宋_GB2312"/>
          <w:sz w:val="32"/>
          <w:szCs w:val="32"/>
        </w:rPr>
        <w:t>94《中医（学科）病证诊断疗效标准》中的（病证）</w:t>
      </w:r>
      <w:r>
        <w:rPr>
          <w:rFonts w:ascii="仿宋_GB2312" w:eastAsia="仿宋_GB2312" w:hAnsi="仿宋" w:cs="仿宋_GB2312" w:hint="eastAsia"/>
          <w:sz w:val="32"/>
          <w:szCs w:val="32"/>
        </w:rPr>
        <w:t>。</w:t>
      </w:r>
    </w:p>
    <w:p w14:paraId="0011D4BB" w14:textId="77777777" w:rsidR="00561395"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本文件与ZY/T 10—2024《</w:t>
      </w:r>
      <w:r>
        <w:rPr>
          <w:rFonts w:ascii="仿宋_GB2312" w:eastAsia="仿宋_GB2312" w:hAnsi="仿宋" w:cs="仿宋_GB2312"/>
          <w:sz w:val="32"/>
          <w:szCs w:val="32"/>
        </w:rPr>
        <w:t>中医病证诊断与疗效评价规范制修订通则</w:t>
      </w:r>
      <w:r>
        <w:rPr>
          <w:rFonts w:ascii="仿宋_GB2312" w:eastAsia="仿宋_GB2312" w:hAnsi="仿宋" w:cs="仿宋_GB2312" w:hint="eastAsia"/>
          <w:sz w:val="32"/>
          <w:szCs w:val="32"/>
        </w:rPr>
        <w:t>》协调。</w:t>
      </w:r>
    </w:p>
    <w:p w14:paraId="471AAE33" w14:textId="77777777" w:rsidR="00561395"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lastRenderedPageBreak/>
        <w:t>在与规范性法律文件的协调性方面，本文件与《中医药标准管理办法》（国中医药法监发〔2023〕9号）、《行业标准管理办法》（总局</w:t>
      </w:r>
      <w:r>
        <w:rPr>
          <w:rFonts w:ascii="仿宋_GB2312" w:eastAsia="仿宋_GB2312" w:hAnsi="仿宋" w:cs="仿宋_GB2312"/>
          <w:sz w:val="32"/>
          <w:szCs w:val="32"/>
        </w:rPr>
        <w:t>2023年86号令）</w:t>
      </w:r>
      <w:r>
        <w:rPr>
          <w:rFonts w:ascii="仿宋_GB2312" w:eastAsia="仿宋_GB2312" w:hAnsi="仿宋" w:cs="仿宋_GB2312" w:hint="eastAsia"/>
          <w:sz w:val="32"/>
          <w:szCs w:val="32"/>
        </w:rPr>
        <w:t>相协调。</w:t>
      </w:r>
    </w:p>
    <w:p w14:paraId="6599B112" w14:textId="77777777" w:rsidR="00561395"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在与现行标准的协调性方面，本文件与ZYYXH/T 18⼀2008《中医内科常见病诊疗指南 眩晕》等相协调。</w:t>
      </w:r>
    </w:p>
    <w:p w14:paraId="542ADF26" w14:textId="77777777" w:rsidR="00561395" w:rsidRDefault="00000000">
      <w:pPr>
        <w:pStyle w:val="1"/>
        <w:ind w:firstLineChars="200" w:firstLine="640"/>
      </w:pPr>
      <w:bookmarkStart w:id="17" w:name="_Toc26942"/>
      <w:r>
        <w:rPr>
          <w:rFonts w:hint="eastAsia"/>
        </w:rPr>
        <w:t>六、采用国际国外标准的情况</w:t>
      </w:r>
      <w:bookmarkEnd w:id="17"/>
    </w:p>
    <w:p w14:paraId="0BBF85F5" w14:textId="77777777" w:rsidR="00561395" w:rsidRDefault="00000000">
      <w:pPr>
        <w:pStyle w:val="Default"/>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无。</w:t>
      </w:r>
    </w:p>
    <w:p w14:paraId="4D82B09D" w14:textId="77777777" w:rsidR="00561395" w:rsidRDefault="00000000">
      <w:pPr>
        <w:pStyle w:val="1"/>
        <w:ind w:firstLineChars="200" w:firstLine="640"/>
      </w:pPr>
      <w:bookmarkStart w:id="18" w:name="_Toc21715"/>
      <w:r>
        <w:rPr>
          <w:rFonts w:hint="eastAsia"/>
        </w:rPr>
        <w:t>七、重大分歧意见的处理经过和依据</w:t>
      </w:r>
      <w:bookmarkEnd w:id="18"/>
    </w:p>
    <w:p w14:paraId="29BE621C" w14:textId="77777777" w:rsidR="00561395" w:rsidRDefault="00000000">
      <w:pPr>
        <w:pStyle w:val="Default"/>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无。</w:t>
      </w:r>
    </w:p>
    <w:p w14:paraId="07C6954E" w14:textId="77777777" w:rsidR="00561395" w:rsidRDefault="00000000">
      <w:pPr>
        <w:pStyle w:val="1"/>
        <w:ind w:firstLineChars="200" w:firstLine="640"/>
      </w:pPr>
      <w:bookmarkStart w:id="19" w:name="_Toc32597"/>
      <w:r>
        <w:rPr>
          <w:rFonts w:hint="eastAsia"/>
        </w:rPr>
        <w:t>八、贯彻标准的要求和措施建议</w:t>
      </w:r>
      <w:bookmarkEnd w:id="19"/>
    </w:p>
    <w:p w14:paraId="685A8F99" w14:textId="77777777" w:rsidR="00561395" w:rsidRDefault="00000000">
      <w:pPr>
        <w:pStyle w:val="Default"/>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无。</w:t>
      </w:r>
    </w:p>
    <w:p w14:paraId="7543DE9C" w14:textId="77777777" w:rsidR="00561395" w:rsidRDefault="00000000">
      <w:pPr>
        <w:pStyle w:val="1"/>
        <w:ind w:firstLineChars="200" w:firstLine="640"/>
      </w:pPr>
      <w:bookmarkStart w:id="20" w:name="_Toc8319"/>
      <w:r>
        <w:rPr>
          <w:rFonts w:hint="eastAsia"/>
        </w:rPr>
        <w:t>九、废止现行有关标准的建议</w:t>
      </w:r>
      <w:bookmarkEnd w:id="20"/>
    </w:p>
    <w:p w14:paraId="47BFF471" w14:textId="77777777" w:rsidR="00561395" w:rsidRDefault="00000000">
      <w:pPr>
        <w:pStyle w:val="Default"/>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无。</w:t>
      </w:r>
    </w:p>
    <w:p w14:paraId="2A1170F0" w14:textId="77777777" w:rsidR="00561395" w:rsidRDefault="00000000">
      <w:pPr>
        <w:pStyle w:val="1"/>
        <w:ind w:firstLineChars="200" w:firstLine="640"/>
      </w:pPr>
      <w:bookmarkStart w:id="21" w:name="_Toc24989"/>
      <w:r>
        <w:rPr>
          <w:rFonts w:hint="eastAsia"/>
        </w:rPr>
        <w:t>十、其他应当说明的事项</w:t>
      </w:r>
      <w:bookmarkEnd w:id="21"/>
    </w:p>
    <w:p w14:paraId="578E2E67" w14:textId="50705F13" w:rsidR="00561395" w:rsidRDefault="00000000" w:rsidP="00377809">
      <w:pPr>
        <w:pStyle w:val="Default"/>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无。</w:t>
      </w:r>
    </w:p>
    <w:sectPr w:rsidR="00561395">
      <w:headerReference w:type="default" r:id="rId10"/>
      <w:footerReference w:type="even" r:id="rId11"/>
      <w:footerReference w:type="default" r:id="rId12"/>
      <w:pgSz w:w="11906" w:h="16838"/>
      <w:pgMar w:top="1440" w:right="1264" w:bottom="1440" w:left="1179"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7540D" w14:textId="77777777" w:rsidR="003A202D" w:rsidRDefault="003A202D">
      <w:r>
        <w:separator/>
      </w:r>
    </w:p>
  </w:endnote>
  <w:endnote w:type="continuationSeparator" w:id="0">
    <w:p w14:paraId="1FBCB566" w14:textId="77777777" w:rsidR="003A202D" w:rsidRDefault="003A2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embedRegular r:id="rId1" w:subsetted="1" w:fontKey="{E218BB72-7C2A-4A37-846A-F0B6165DDAF1}"/>
    <w:embedBold r:id="rId2" w:subsetted="1" w:fontKey="{76A74415-6687-467F-9151-B666F5444E9F}"/>
  </w:font>
  <w:font w:name="黑体">
    <w:altName w:val="SimHei"/>
    <w:panose1 w:val="02010609060101010101"/>
    <w:charset w:val="86"/>
    <w:family w:val="modern"/>
    <w:pitch w:val="fixed"/>
    <w:sig w:usb0="800002BF" w:usb1="38CF7CFA" w:usb2="00000016" w:usb3="00000000" w:csb0="00040001" w:csb1="00000000"/>
    <w:embedRegular r:id="rId3" w:subsetted="1" w:fontKey="{4B0E5CB3-9105-4B41-973E-80F12D79E4B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embedRegular r:id="rId4" w:subsetted="1" w:fontKey="{48DDFAAA-2C7F-465E-BAE1-9D6566D7198C}"/>
    <w:embedBold r:id="rId5" w:subsetted="1" w:fontKey="{EC98BEA8-FF57-4013-B120-ABE0C47F2F22}"/>
  </w:font>
  <w:font w:name="仿宋">
    <w:panose1 w:val="02010609060101010101"/>
    <w:charset w:val="86"/>
    <w:family w:val="modern"/>
    <w:pitch w:val="fixed"/>
    <w:sig w:usb0="800002BF" w:usb1="38CF7CFA" w:usb2="00000016" w:usb3="00000000" w:csb0="00040001" w:csb1="00000000"/>
    <w:embedRegular r:id="rId6" w:subsetted="1" w:fontKey="{7EEA52A6-8AA9-456E-BD57-13FD9A9BBF1E}"/>
  </w:font>
  <w:font w:name="方正小标宋简体">
    <w:panose1 w:val="03000509000000000000"/>
    <w:charset w:val="86"/>
    <w:family w:val="script"/>
    <w:pitch w:val="fixed"/>
    <w:sig w:usb0="00000001" w:usb1="080E0000" w:usb2="00000010" w:usb3="00000000" w:csb0="00040000" w:csb1="00000000"/>
    <w:embedRegular r:id="rId7" w:subsetted="1" w:fontKey="{7020BFF3-C1A9-496E-B97B-BEDACDE41BB8}"/>
  </w:font>
  <w:font w:name="仿宋_GB2312">
    <w:panose1 w:val="02010609030101010101"/>
    <w:charset w:val="86"/>
    <w:family w:val="modern"/>
    <w:pitch w:val="fixed"/>
    <w:sig w:usb0="00000001" w:usb1="080E0000" w:usb2="00000010" w:usb3="00000000" w:csb0="00040000" w:csb1="00000000"/>
    <w:embedRegular r:id="rId8" w:subsetted="1" w:fontKey="{A87DD686-B806-42F6-925C-71583C32940B}"/>
    <w:embedBold r:id="rId9" w:subsetted="1" w:fontKey="{93C0082A-9249-45AF-94B0-1AD62785CE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F178C" w14:textId="77777777" w:rsidR="00561395" w:rsidRDefault="00561395">
    <w:pPr>
      <w:pStyle w:val="a9"/>
      <w:jc w:val="center"/>
    </w:pPr>
  </w:p>
  <w:p w14:paraId="3C771300" w14:textId="77777777" w:rsidR="00561395" w:rsidRDefault="0056139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10E83" w14:textId="77777777" w:rsidR="00561395" w:rsidRDefault="00000000">
    <w:pPr>
      <w:pStyle w:val="a9"/>
      <w:framePr w:wrap="around" w:vAnchor="text" w:hAnchor="margin" w:xAlign="right" w:y="1"/>
      <w:rPr>
        <w:rStyle w:val="af0"/>
      </w:rPr>
    </w:pPr>
    <w:r>
      <w:fldChar w:fldCharType="begin"/>
    </w:r>
    <w:r>
      <w:rPr>
        <w:rStyle w:val="af0"/>
      </w:rPr>
      <w:instrText xml:space="preserve">PAGE  </w:instrText>
    </w:r>
    <w:r>
      <w:fldChar w:fldCharType="separate"/>
    </w:r>
    <w:r>
      <w:rPr>
        <w:rStyle w:val="af0"/>
      </w:rPr>
      <w:t>5</w:t>
    </w:r>
    <w:r>
      <w:fldChar w:fldCharType="end"/>
    </w:r>
  </w:p>
  <w:p w14:paraId="6C66788D" w14:textId="77777777" w:rsidR="00561395" w:rsidRDefault="00561395">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B9EB1" w14:textId="77777777" w:rsidR="00561395" w:rsidRDefault="00000000">
    <w:pPr>
      <w:pStyle w:val="a9"/>
      <w:jc w:val="center"/>
    </w:pPr>
    <w:r>
      <w:fldChar w:fldCharType="begin"/>
    </w:r>
    <w:r>
      <w:instrText>PAGE   \* MERGEFORMAT</w:instrText>
    </w:r>
    <w:r>
      <w:fldChar w:fldCharType="separate"/>
    </w:r>
    <w:r>
      <w:rPr>
        <w:lang w:val="zh-CN"/>
      </w:rPr>
      <w:t>2</w:t>
    </w:r>
    <w:r>
      <w:fldChar w:fldCharType="end"/>
    </w:r>
  </w:p>
  <w:p w14:paraId="5483BF2C" w14:textId="77777777" w:rsidR="00561395" w:rsidRDefault="00561395">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6DEEB2" w14:textId="77777777" w:rsidR="003A202D" w:rsidRDefault="003A202D">
      <w:r>
        <w:separator/>
      </w:r>
    </w:p>
  </w:footnote>
  <w:footnote w:type="continuationSeparator" w:id="0">
    <w:p w14:paraId="3E130453" w14:textId="77777777" w:rsidR="003A202D" w:rsidRDefault="003A2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4BB4A" w14:textId="77777777" w:rsidR="00561395" w:rsidRDefault="00561395">
    <w:pPr>
      <w:rPr>
        <w:rFonts w:ascii="宋体" w:eastAsia="宋体" w:hAnsi="宋体"/>
        <w:b/>
        <w:bCs/>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TrueTypeFonts/>
  <w:saveSubsetFonts/>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1MzFjZjFkOTcyMzNhZTRkZTBjMzIyYjA0YjAxNDQifQ=="/>
  </w:docVars>
  <w:rsids>
    <w:rsidRoot w:val="000345ED"/>
    <w:rsid w:val="00001208"/>
    <w:rsid w:val="0000251A"/>
    <w:rsid w:val="000030BB"/>
    <w:rsid w:val="00003ADA"/>
    <w:rsid w:val="00003CDD"/>
    <w:rsid w:val="00005782"/>
    <w:rsid w:val="0000638A"/>
    <w:rsid w:val="000064AA"/>
    <w:rsid w:val="00006958"/>
    <w:rsid w:val="00006A39"/>
    <w:rsid w:val="00007F54"/>
    <w:rsid w:val="000106F7"/>
    <w:rsid w:val="0001169D"/>
    <w:rsid w:val="00012462"/>
    <w:rsid w:val="00012729"/>
    <w:rsid w:val="00013AF3"/>
    <w:rsid w:val="000145A3"/>
    <w:rsid w:val="00014A33"/>
    <w:rsid w:val="00016A0E"/>
    <w:rsid w:val="00016B0F"/>
    <w:rsid w:val="00016D67"/>
    <w:rsid w:val="0002091A"/>
    <w:rsid w:val="00021339"/>
    <w:rsid w:val="00021652"/>
    <w:rsid w:val="00022A2E"/>
    <w:rsid w:val="00023086"/>
    <w:rsid w:val="00023EE3"/>
    <w:rsid w:val="00024B48"/>
    <w:rsid w:val="00031435"/>
    <w:rsid w:val="00032ADE"/>
    <w:rsid w:val="000345ED"/>
    <w:rsid w:val="0003516E"/>
    <w:rsid w:val="000359A3"/>
    <w:rsid w:val="000361D1"/>
    <w:rsid w:val="00037066"/>
    <w:rsid w:val="000406EA"/>
    <w:rsid w:val="000412F7"/>
    <w:rsid w:val="0004132E"/>
    <w:rsid w:val="000413FC"/>
    <w:rsid w:val="000417C2"/>
    <w:rsid w:val="000419B5"/>
    <w:rsid w:val="00042327"/>
    <w:rsid w:val="00043BA0"/>
    <w:rsid w:val="00045B0D"/>
    <w:rsid w:val="00046A9C"/>
    <w:rsid w:val="00047C49"/>
    <w:rsid w:val="0005067E"/>
    <w:rsid w:val="000507A7"/>
    <w:rsid w:val="000509E3"/>
    <w:rsid w:val="00053E14"/>
    <w:rsid w:val="00053F9F"/>
    <w:rsid w:val="00056A61"/>
    <w:rsid w:val="00057B2F"/>
    <w:rsid w:val="00057FB3"/>
    <w:rsid w:val="0006026C"/>
    <w:rsid w:val="0006109B"/>
    <w:rsid w:val="00062652"/>
    <w:rsid w:val="00062B7C"/>
    <w:rsid w:val="000638B3"/>
    <w:rsid w:val="00063A28"/>
    <w:rsid w:val="00064909"/>
    <w:rsid w:val="000662B6"/>
    <w:rsid w:val="00066612"/>
    <w:rsid w:val="000670F3"/>
    <w:rsid w:val="00070EC7"/>
    <w:rsid w:val="000714BD"/>
    <w:rsid w:val="00071693"/>
    <w:rsid w:val="000747B0"/>
    <w:rsid w:val="00074AD3"/>
    <w:rsid w:val="00075376"/>
    <w:rsid w:val="00075ACF"/>
    <w:rsid w:val="00076380"/>
    <w:rsid w:val="000804AD"/>
    <w:rsid w:val="00080515"/>
    <w:rsid w:val="00080530"/>
    <w:rsid w:val="00080CCA"/>
    <w:rsid w:val="00080F42"/>
    <w:rsid w:val="0008100E"/>
    <w:rsid w:val="000827D5"/>
    <w:rsid w:val="00083BA6"/>
    <w:rsid w:val="00085AB1"/>
    <w:rsid w:val="00086427"/>
    <w:rsid w:val="000866AD"/>
    <w:rsid w:val="0009161F"/>
    <w:rsid w:val="00091AF9"/>
    <w:rsid w:val="00092CB8"/>
    <w:rsid w:val="00093632"/>
    <w:rsid w:val="0009408B"/>
    <w:rsid w:val="0009417D"/>
    <w:rsid w:val="000946AF"/>
    <w:rsid w:val="0009488A"/>
    <w:rsid w:val="00094A2B"/>
    <w:rsid w:val="0009504A"/>
    <w:rsid w:val="00095660"/>
    <w:rsid w:val="00095E62"/>
    <w:rsid w:val="00096BE2"/>
    <w:rsid w:val="00097165"/>
    <w:rsid w:val="000A0AE4"/>
    <w:rsid w:val="000A10F6"/>
    <w:rsid w:val="000A1F5D"/>
    <w:rsid w:val="000A21B9"/>
    <w:rsid w:val="000A3D98"/>
    <w:rsid w:val="000A407D"/>
    <w:rsid w:val="000A460C"/>
    <w:rsid w:val="000A5463"/>
    <w:rsid w:val="000A58CC"/>
    <w:rsid w:val="000A5F8A"/>
    <w:rsid w:val="000A6E31"/>
    <w:rsid w:val="000A746C"/>
    <w:rsid w:val="000A7A3D"/>
    <w:rsid w:val="000A7C83"/>
    <w:rsid w:val="000B029B"/>
    <w:rsid w:val="000B2EC5"/>
    <w:rsid w:val="000B34A9"/>
    <w:rsid w:val="000B34FB"/>
    <w:rsid w:val="000B3E5E"/>
    <w:rsid w:val="000B4158"/>
    <w:rsid w:val="000B5B58"/>
    <w:rsid w:val="000B692A"/>
    <w:rsid w:val="000B6B3C"/>
    <w:rsid w:val="000B78CD"/>
    <w:rsid w:val="000B7E0F"/>
    <w:rsid w:val="000C005E"/>
    <w:rsid w:val="000C01EA"/>
    <w:rsid w:val="000C0202"/>
    <w:rsid w:val="000C0676"/>
    <w:rsid w:val="000C075B"/>
    <w:rsid w:val="000C2077"/>
    <w:rsid w:val="000C2B9F"/>
    <w:rsid w:val="000C3C7B"/>
    <w:rsid w:val="000C43FA"/>
    <w:rsid w:val="000C4FC6"/>
    <w:rsid w:val="000C6011"/>
    <w:rsid w:val="000C6883"/>
    <w:rsid w:val="000C7AA4"/>
    <w:rsid w:val="000C7BB7"/>
    <w:rsid w:val="000C7C31"/>
    <w:rsid w:val="000D0492"/>
    <w:rsid w:val="000D21E7"/>
    <w:rsid w:val="000D3538"/>
    <w:rsid w:val="000D40C3"/>
    <w:rsid w:val="000D63E5"/>
    <w:rsid w:val="000D76BB"/>
    <w:rsid w:val="000D7BB3"/>
    <w:rsid w:val="000E0928"/>
    <w:rsid w:val="000E2427"/>
    <w:rsid w:val="000E24B8"/>
    <w:rsid w:val="000E3324"/>
    <w:rsid w:val="000E42FF"/>
    <w:rsid w:val="000E4C96"/>
    <w:rsid w:val="000E5065"/>
    <w:rsid w:val="000E57C7"/>
    <w:rsid w:val="000E60A5"/>
    <w:rsid w:val="000E6B56"/>
    <w:rsid w:val="000E73D7"/>
    <w:rsid w:val="000F0BF5"/>
    <w:rsid w:val="000F10AA"/>
    <w:rsid w:val="000F3C3A"/>
    <w:rsid w:val="000F5835"/>
    <w:rsid w:val="000F60EA"/>
    <w:rsid w:val="000F7554"/>
    <w:rsid w:val="000F7866"/>
    <w:rsid w:val="000F7D1F"/>
    <w:rsid w:val="001006FE"/>
    <w:rsid w:val="00100E25"/>
    <w:rsid w:val="00102886"/>
    <w:rsid w:val="00104101"/>
    <w:rsid w:val="0010448F"/>
    <w:rsid w:val="00104A31"/>
    <w:rsid w:val="00104D4A"/>
    <w:rsid w:val="0010575D"/>
    <w:rsid w:val="00107A99"/>
    <w:rsid w:val="0011036F"/>
    <w:rsid w:val="00110FDC"/>
    <w:rsid w:val="001117CC"/>
    <w:rsid w:val="001128BC"/>
    <w:rsid w:val="00115CAF"/>
    <w:rsid w:val="0011628B"/>
    <w:rsid w:val="0011697D"/>
    <w:rsid w:val="00116B76"/>
    <w:rsid w:val="001170E7"/>
    <w:rsid w:val="00117485"/>
    <w:rsid w:val="00117CE1"/>
    <w:rsid w:val="00117CED"/>
    <w:rsid w:val="00117EEF"/>
    <w:rsid w:val="00120646"/>
    <w:rsid w:val="001215B7"/>
    <w:rsid w:val="00121893"/>
    <w:rsid w:val="0012317F"/>
    <w:rsid w:val="001243A0"/>
    <w:rsid w:val="001243DB"/>
    <w:rsid w:val="00124FAE"/>
    <w:rsid w:val="00125D57"/>
    <w:rsid w:val="00126F20"/>
    <w:rsid w:val="00127D0F"/>
    <w:rsid w:val="0013114F"/>
    <w:rsid w:val="00131C33"/>
    <w:rsid w:val="00132449"/>
    <w:rsid w:val="0013252F"/>
    <w:rsid w:val="0013411F"/>
    <w:rsid w:val="00135C05"/>
    <w:rsid w:val="00137142"/>
    <w:rsid w:val="001400AB"/>
    <w:rsid w:val="00140434"/>
    <w:rsid w:val="001417E4"/>
    <w:rsid w:val="00141B1B"/>
    <w:rsid w:val="0014270C"/>
    <w:rsid w:val="00143A6F"/>
    <w:rsid w:val="00143B18"/>
    <w:rsid w:val="00143CF4"/>
    <w:rsid w:val="00143D5D"/>
    <w:rsid w:val="0014434E"/>
    <w:rsid w:val="00144ACA"/>
    <w:rsid w:val="00145DD3"/>
    <w:rsid w:val="00145EF5"/>
    <w:rsid w:val="00146148"/>
    <w:rsid w:val="0014684E"/>
    <w:rsid w:val="001476D4"/>
    <w:rsid w:val="00150235"/>
    <w:rsid w:val="00150363"/>
    <w:rsid w:val="00151126"/>
    <w:rsid w:val="0015377B"/>
    <w:rsid w:val="00153845"/>
    <w:rsid w:val="00154351"/>
    <w:rsid w:val="00155BA9"/>
    <w:rsid w:val="00155DAD"/>
    <w:rsid w:val="0015606F"/>
    <w:rsid w:val="001568F2"/>
    <w:rsid w:val="001569F2"/>
    <w:rsid w:val="001576E9"/>
    <w:rsid w:val="001609BC"/>
    <w:rsid w:val="00163E9C"/>
    <w:rsid w:val="00164FCF"/>
    <w:rsid w:val="001650DC"/>
    <w:rsid w:val="0016562B"/>
    <w:rsid w:val="00165B73"/>
    <w:rsid w:val="00165D7C"/>
    <w:rsid w:val="00167CF4"/>
    <w:rsid w:val="001704A1"/>
    <w:rsid w:val="001705DB"/>
    <w:rsid w:val="0017322C"/>
    <w:rsid w:val="001747F4"/>
    <w:rsid w:val="00175A97"/>
    <w:rsid w:val="00176561"/>
    <w:rsid w:val="001804A4"/>
    <w:rsid w:val="0018123D"/>
    <w:rsid w:val="001831A1"/>
    <w:rsid w:val="00183C9F"/>
    <w:rsid w:val="00183F92"/>
    <w:rsid w:val="00187F51"/>
    <w:rsid w:val="0019051D"/>
    <w:rsid w:val="00190ABB"/>
    <w:rsid w:val="00190ECD"/>
    <w:rsid w:val="00190F23"/>
    <w:rsid w:val="00192248"/>
    <w:rsid w:val="00192734"/>
    <w:rsid w:val="00193F7B"/>
    <w:rsid w:val="00194CE9"/>
    <w:rsid w:val="00195A2A"/>
    <w:rsid w:val="00195B23"/>
    <w:rsid w:val="00196216"/>
    <w:rsid w:val="00196501"/>
    <w:rsid w:val="001A03E8"/>
    <w:rsid w:val="001A06EE"/>
    <w:rsid w:val="001A14AC"/>
    <w:rsid w:val="001A16C8"/>
    <w:rsid w:val="001A19BA"/>
    <w:rsid w:val="001A1E7F"/>
    <w:rsid w:val="001A2254"/>
    <w:rsid w:val="001A30F4"/>
    <w:rsid w:val="001A3777"/>
    <w:rsid w:val="001A378D"/>
    <w:rsid w:val="001A3B76"/>
    <w:rsid w:val="001A3D44"/>
    <w:rsid w:val="001A4655"/>
    <w:rsid w:val="001A7AD5"/>
    <w:rsid w:val="001A7B1F"/>
    <w:rsid w:val="001B14B9"/>
    <w:rsid w:val="001B1B37"/>
    <w:rsid w:val="001B27C0"/>
    <w:rsid w:val="001B5C18"/>
    <w:rsid w:val="001C04C3"/>
    <w:rsid w:val="001C0536"/>
    <w:rsid w:val="001C0DD2"/>
    <w:rsid w:val="001C0FC5"/>
    <w:rsid w:val="001C15C5"/>
    <w:rsid w:val="001C1A2F"/>
    <w:rsid w:val="001C1D43"/>
    <w:rsid w:val="001C2044"/>
    <w:rsid w:val="001C2C0D"/>
    <w:rsid w:val="001C3376"/>
    <w:rsid w:val="001C3452"/>
    <w:rsid w:val="001C4078"/>
    <w:rsid w:val="001C437F"/>
    <w:rsid w:val="001C670F"/>
    <w:rsid w:val="001C7E87"/>
    <w:rsid w:val="001D0825"/>
    <w:rsid w:val="001D10BC"/>
    <w:rsid w:val="001D1DB1"/>
    <w:rsid w:val="001D283D"/>
    <w:rsid w:val="001D4C33"/>
    <w:rsid w:val="001D681B"/>
    <w:rsid w:val="001E08C2"/>
    <w:rsid w:val="001E1323"/>
    <w:rsid w:val="001E204F"/>
    <w:rsid w:val="001E219B"/>
    <w:rsid w:val="001E2227"/>
    <w:rsid w:val="001E310D"/>
    <w:rsid w:val="001E3D59"/>
    <w:rsid w:val="001E4AB8"/>
    <w:rsid w:val="001E5669"/>
    <w:rsid w:val="001E59CE"/>
    <w:rsid w:val="001E6D6E"/>
    <w:rsid w:val="001F0446"/>
    <w:rsid w:val="001F055A"/>
    <w:rsid w:val="001F0DDC"/>
    <w:rsid w:val="001F13FE"/>
    <w:rsid w:val="001F1B27"/>
    <w:rsid w:val="001F2831"/>
    <w:rsid w:val="001F2B0A"/>
    <w:rsid w:val="001F2C56"/>
    <w:rsid w:val="001F3860"/>
    <w:rsid w:val="001F3874"/>
    <w:rsid w:val="001F405E"/>
    <w:rsid w:val="001F5966"/>
    <w:rsid w:val="001F6D49"/>
    <w:rsid w:val="001F7EF1"/>
    <w:rsid w:val="00201E4A"/>
    <w:rsid w:val="00202A40"/>
    <w:rsid w:val="00202A65"/>
    <w:rsid w:val="00203A0B"/>
    <w:rsid w:val="00203A61"/>
    <w:rsid w:val="00204B16"/>
    <w:rsid w:val="00204E0F"/>
    <w:rsid w:val="00204FFB"/>
    <w:rsid w:val="00205174"/>
    <w:rsid w:val="0020538C"/>
    <w:rsid w:val="00205723"/>
    <w:rsid w:val="002059F7"/>
    <w:rsid w:val="00206E6A"/>
    <w:rsid w:val="00206F66"/>
    <w:rsid w:val="00211938"/>
    <w:rsid w:val="00211AD0"/>
    <w:rsid w:val="0021222E"/>
    <w:rsid w:val="002125DD"/>
    <w:rsid w:val="00212BED"/>
    <w:rsid w:val="002130C0"/>
    <w:rsid w:val="002139C4"/>
    <w:rsid w:val="00215551"/>
    <w:rsid w:val="00215986"/>
    <w:rsid w:val="00215D45"/>
    <w:rsid w:val="002170C8"/>
    <w:rsid w:val="002177FA"/>
    <w:rsid w:val="00217DB3"/>
    <w:rsid w:val="002214F2"/>
    <w:rsid w:val="00221CB3"/>
    <w:rsid w:val="00221E44"/>
    <w:rsid w:val="00222606"/>
    <w:rsid w:val="002234E5"/>
    <w:rsid w:val="00223687"/>
    <w:rsid w:val="002239FF"/>
    <w:rsid w:val="0022492B"/>
    <w:rsid w:val="00224E2B"/>
    <w:rsid w:val="00225240"/>
    <w:rsid w:val="002269D1"/>
    <w:rsid w:val="00226F6C"/>
    <w:rsid w:val="00230262"/>
    <w:rsid w:val="002302ED"/>
    <w:rsid w:val="00230B57"/>
    <w:rsid w:val="002344C9"/>
    <w:rsid w:val="00237129"/>
    <w:rsid w:val="00237BAA"/>
    <w:rsid w:val="00237DD3"/>
    <w:rsid w:val="00241E32"/>
    <w:rsid w:val="00241F4F"/>
    <w:rsid w:val="00242DB7"/>
    <w:rsid w:val="00242F9B"/>
    <w:rsid w:val="00243159"/>
    <w:rsid w:val="002432A5"/>
    <w:rsid w:val="002437DF"/>
    <w:rsid w:val="00243936"/>
    <w:rsid w:val="002441B5"/>
    <w:rsid w:val="002445AE"/>
    <w:rsid w:val="0024490B"/>
    <w:rsid w:val="00244FA7"/>
    <w:rsid w:val="00247A0B"/>
    <w:rsid w:val="002502BB"/>
    <w:rsid w:val="002504E0"/>
    <w:rsid w:val="00250622"/>
    <w:rsid w:val="00253044"/>
    <w:rsid w:val="00253157"/>
    <w:rsid w:val="002546E0"/>
    <w:rsid w:val="00255C53"/>
    <w:rsid w:val="00257616"/>
    <w:rsid w:val="00260707"/>
    <w:rsid w:val="002609CA"/>
    <w:rsid w:val="00261E3A"/>
    <w:rsid w:val="00262120"/>
    <w:rsid w:val="0026400C"/>
    <w:rsid w:val="002640DB"/>
    <w:rsid w:val="00265EE0"/>
    <w:rsid w:val="00265F57"/>
    <w:rsid w:val="00266E26"/>
    <w:rsid w:val="00267850"/>
    <w:rsid w:val="00267F5D"/>
    <w:rsid w:val="00270545"/>
    <w:rsid w:val="00270573"/>
    <w:rsid w:val="00270B7D"/>
    <w:rsid w:val="00271332"/>
    <w:rsid w:val="0027173C"/>
    <w:rsid w:val="0027232B"/>
    <w:rsid w:val="00272BEF"/>
    <w:rsid w:val="00272E47"/>
    <w:rsid w:val="0027580B"/>
    <w:rsid w:val="002759B4"/>
    <w:rsid w:val="00276B83"/>
    <w:rsid w:val="00276DC5"/>
    <w:rsid w:val="00277305"/>
    <w:rsid w:val="00280AD9"/>
    <w:rsid w:val="00280F0E"/>
    <w:rsid w:val="00282345"/>
    <w:rsid w:val="00283684"/>
    <w:rsid w:val="00283A97"/>
    <w:rsid w:val="002846D6"/>
    <w:rsid w:val="0028474A"/>
    <w:rsid w:val="00284C6F"/>
    <w:rsid w:val="002854E6"/>
    <w:rsid w:val="0028603F"/>
    <w:rsid w:val="00286DF2"/>
    <w:rsid w:val="002873F1"/>
    <w:rsid w:val="00287E8D"/>
    <w:rsid w:val="002904DC"/>
    <w:rsid w:val="002935BE"/>
    <w:rsid w:val="0029466A"/>
    <w:rsid w:val="002949E9"/>
    <w:rsid w:val="00294A16"/>
    <w:rsid w:val="00294E2A"/>
    <w:rsid w:val="0029625D"/>
    <w:rsid w:val="002962EC"/>
    <w:rsid w:val="002968D8"/>
    <w:rsid w:val="00296AAC"/>
    <w:rsid w:val="00296BE4"/>
    <w:rsid w:val="00297206"/>
    <w:rsid w:val="00297274"/>
    <w:rsid w:val="00297AF9"/>
    <w:rsid w:val="002A1A7B"/>
    <w:rsid w:val="002A38AA"/>
    <w:rsid w:val="002A7D55"/>
    <w:rsid w:val="002A7F0F"/>
    <w:rsid w:val="002A7F3B"/>
    <w:rsid w:val="002B02AA"/>
    <w:rsid w:val="002B10FF"/>
    <w:rsid w:val="002B3109"/>
    <w:rsid w:val="002B3456"/>
    <w:rsid w:val="002B615A"/>
    <w:rsid w:val="002B63EA"/>
    <w:rsid w:val="002B7313"/>
    <w:rsid w:val="002C12A3"/>
    <w:rsid w:val="002C1A47"/>
    <w:rsid w:val="002C3251"/>
    <w:rsid w:val="002C3E9E"/>
    <w:rsid w:val="002C4056"/>
    <w:rsid w:val="002C4CDE"/>
    <w:rsid w:val="002C5BC9"/>
    <w:rsid w:val="002C6C88"/>
    <w:rsid w:val="002C703F"/>
    <w:rsid w:val="002C7052"/>
    <w:rsid w:val="002D067E"/>
    <w:rsid w:val="002D2412"/>
    <w:rsid w:val="002D3290"/>
    <w:rsid w:val="002D35DE"/>
    <w:rsid w:val="002D4A73"/>
    <w:rsid w:val="002D58DD"/>
    <w:rsid w:val="002D6424"/>
    <w:rsid w:val="002D6991"/>
    <w:rsid w:val="002D747E"/>
    <w:rsid w:val="002D75BA"/>
    <w:rsid w:val="002D7790"/>
    <w:rsid w:val="002E0A8D"/>
    <w:rsid w:val="002E12F7"/>
    <w:rsid w:val="002E1573"/>
    <w:rsid w:val="002E1787"/>
    <w:rsid w:val="002E20DE"/>
    <w:rsid w:val="002E223E"/>
    <w:rsid w:val="002E2FCA"/>
    <w:rsid w:val="002E38BC"/>
    <w:rsid w:val="002E3BCD"/>
    <w:rsid w:val="002E3EE3"/>
    <w:rsid w:val="002E55FF"/>
    <w:rsid w:val="002E5F49"/>
    <w:rsid w:val="002E5F89"/>
    <w:rsid w:val="002F035A"/>
    <w:rsid w:val="002F0613"/>
    <w:rsid w:val="002F0D26"/>
    <w:rsid w:val="002F1EA9"/>
    <w:rsid w:val="002F2F2D"/>
    <w:rsid w:val="002F307F"/>
    <w:rsid w:val="002F36CE"/>
    <w:rsid w:val="002F3F16"/>
    <w:rsid w:val="002F4048"/>
    <w:rsid w:val="002F418A"/>
    <w:rsid w:val="002F4CD3"/>
    <w:rsid w:val="002F5048"/>
    <w:rsid w:val="002F52C8"/>
    <w:rsid w:val="002F53B1"/>
    <w:rsid w:val="002F582A"/>
    <w:rsid w:val="002F59F8"/>
    <w:rsid w:val="002F5DDF"/>
    <w:rsid w:val="002F682B"/>
    <w:rsid w:val="002F7170"/>
    <w:rsid w:val="002F7C82"/>
    <w:rsid w:val="0030031D"/>
    <w:rsid w:val="003013F6"/>
    <w:rsid w:val="003038EF"/>
    <w:rsid w:val="0030407C"/>
    <w:rsid w:val="00304243"/>
    <w:rsid w:val="003046D1"/>
    <w:rsid w:val="00304C37"/>
    <w:rsid w:val="00304CD4"/>
    <w:rsid w:val="00304E81"/>
    <w:rsid w:val="00304E8B"/>
    <w:rsid w:val="00304F64"/>
    <w:rsid w:val="00305895"/>
    <w:rsid w:val="00306378"/>
    <w:rsid w:val="00306B9A"/>
    <w:rsid w:val="003076AD"/>
    <w:rsid w:val="003108E5"/>
    <w:rsid w:val="00310CF8"/>
    <w:rsid w:val="00311536"/>
    <w:rsid w:val="00312814"/>
    <w:rsid w:val="00313BB5"/>
    <w:rsid w:val="00314003"/>
    <w:rsid w:val="003148BA"/>
    <w:rsid w:val="00315A10"/>
    <w:rsid w:val="00315F12"/>
    <w:rsid w:val="0031673C"/>
    <w:rsid w:val="00317B7F"/>
    <w:rsid w:val="00317C99"/>
    <w:rsid w:val="003200F2"/>
    <w:rsid w:val="00320290"/>
    <w:rsid w:val="00320669"/>
    <w:rsid w:val="00321172"/>
    <w:rsid w:val="00321370"/>
    <w:rsid w:val="00322F59"/>
    <w:rsid w:val="003233A1"/>
    <w:rsid w:val="0032531E"/>
    <w:rsid w:val="0032582E"/>
    <w:rsid w:val="00325B49"/>
    <w:rsid w:val="00327930"/>
    <w:rsid w:val="00330367"/>
    <w:rsid w:val="00331A66"/>
    <w:rsid w:val="00331AE4"/>
    <w:rsid w:val="003324C2"/>
    <w:rsid w:val="00333B44"/>
    <w:rsid w:val="00333D79"/>
    <w:rsid w:val="0033411F"/>
    <w:rsid w:val="003346C3"/>
    <w:rsid w:val="00334A61"/>
    <w:rsid w:val="0033510E"/>
    <w:rsid w:val="0033536A"/>
    <w:rsid w:val="003358B2"/>
    <w:rsid w:val="00335C6A"/>
    <w:rsid w:val="00335EFB"/>
    <w:rsid w:val="00336A25"/>
    <w:rsid w:val="00337564"/>
    <w:rsid w:val="003376E1"/>
    <w:rsid w:val="00337903"/>
    <w:rsid w:val="00341A5E"/>
    <w:rsid w:val="003445FC"/>
    <w:rsid w:val="0034665E"/>
    <w:rsid w:val="00346F02"/>
    <w:rsid w:val="00347696"/>
    <w:rsid w:val="00350099"/>
    <w:rsid w:val="00350138"/>
    <w:rsid w:val="00350305"/>
    <w:rsid w:val="00350A8E"/>
    <w:rsid w:val="00350C6E"/>
    <w:rsid w:val="00352916"/>
    <w:rsid w:val="00352BB2"/>
    <w:rsid w:val="00352E19"/>
    <w:rsid w:val="00354415"/>
    <w:rsid w:val="00354A12"/>
    <w:rsid w:val="003565C4"/>
    <w:rsid w:val="0035752D"/>
    <w:rsid w:val="003577DF"/>
    <w:rsid w:val="00360034"/>
    <w:rsid w:val="0036054F"/>
    <w:rsid w:val="00361B9C"/>
    <w:rsid w:val="0036258B"/>
    <w:rsid w:val="00363F52"/>
    <w:rsid w:val="003645A9"/>
    <w:rsid w:val="00364E2E"/>
    <w:rsid w:val="00365233"/>
    <w:rsid w:val="0036644F"/>
    <w:rsid w:val="00367019"/>
    <w:rsid w:val="00367CED"/>
    <w:rsid w:val="00370366"/>
    <w:rsid w:val="00371647"/>
    <w:rsid w:val="003719EC"/>
    <w:rsid w:val="00373452"/>
    <w:rsid w:val="00373963"/>
    <w:rsid w:val="00374EF6"/>
    <w:rsid w:val="00375298"/>
    <w:rsid w:val="0037562A"/>
    <w:rsid w:val="00375698"/>
    <w:rsid w:val="00375C40"/>
    <w:rsid w:val="00376C57"/>
    <w:rsid w:val="00377375"/>
    <w:rsid w:val="00377809"/>
    <w:rsid w:val="00377D88"/>
    <w:rsid w:val="00380D3F"/>
    <w:rsid w:val="00381CD7"/>
    <w:rsid w:val="0038209D"/>
    <w:rsid w:val="00382D9B"/>
    <w:rsid w:val="0038360B"/>
    <w:rsid w:val="003839D5"/>
    <w:rsid w:val="00383CAB"/>
    <w:rsid w:val="0038550D"/>
    <w:rsid w:val="00385748"/>
    <w:rsid w:val="0038596B"/>
    <w:rsid w:val="00385AA7"/>
    <w:rsid w:val="00385EED"/>
    <w:rsid w:val="0039169F"/>
    <w:rsid w:val="00392114"/>
    <w:rsid w:val="00394D33"/>
    <w:rsid w:val="00396867"/>
    <w:rsid w:val="003A0374"/>
    <w:rsid w:val="003A114D"/>
    <w:rsid w:val="003A202D"/>
    <w:rsid w:val="003A26E4"/>
    <w:rsid w:val="003A4100"/>
    <w:rsid w:val="003A473C"/>
    <w:rsid w:val="003A540D"/>
    <w:rsid w:val="003A5FC0"/>
    <w:rsid w:val="003A64D5"/>
    <w:rsid w:val="003A7525"/>
    <w:rsid w:val="003A7F50"/>
    <w:rsid w:val="003B01D1"/>
    <w:rsid w:val="003B1E7A"/>
    <w:rsid w:val="003B23E9"/>
    <w:rsid w:val="003B393F"/>
    <w:rsid w:val="003B44FA"/>
    <w:rsid w:val="003B5C54"/>
    <w:rsid w:val="003B666E"/>
    <w:rsid w:val="003B772C"/>
    <w:rsid w:val="003B7ACC"/>
    <w:rsid w:val="003C0D37"/>
    <w:rsid w:val="003C1AE2"/>
    <w:rsid w:val="003C1E04"/>
    <w:rsid w:val="003C311C"/>
    <w:rsid w:val="003C4E0F"/>
    <w:rsid w:val="003C53BC"/>
    <w:rsid w:val="003C5583"/>
    <w:rsid w:val="003C5844"/>
    <w:rsid w:val="003C5B7A"/>
    <w:rsid w:val="003C6496"/>
    <w:rsid w:val="003C6BF6"/>
    <w:rsid w:val="003C6DBD"/>
    <w:rsid w:val="003C78CD"/>
    <w:rsid w:val="003D0638"/>
    <w:rsid w:val="003D0DDA"/>
    <w:rsid w:val="003D11B9"/>
    <w:rsid w:val="003D165F"/>
    <w:rsid w:val="003D18E6"/>
    <w:rsid w:val="003D204C"/>
    <w:rsid w:val="003D32B9"/>
    <w:rsid w:val="003D3721"/>
    <w:rsid w:val="003D3978"/>
    <w:rsid w:val="003D484B"/>
    <w:rsid w:val="003D4869"/>
    <w:rsid w:val="003D4D1E"/>
    <w:rsid w:val="003D6334"/>
    <w:rsid w:val="003E0442"/>
    <w:rsid w:val="003E2AFC"/>
    <w:rsid w:val="003E4714"/>
    <w:rsid w:val="003E7820"/>
    <w:rsid w:val="003F0280"/>
    <w:rsid w:val="003F0BFC"/>
    <w:rsid w:val="003F0E72"/>
    <w:rsid w:val="003F17FA"/>
    <w:rsid w:val="003F2A92"/>
    <w:rsid w:val="003F30DD"/>
    <w:rsid w:val="003F39C7"/>
    <w:rsid w:val="003F3D2F"/>
    <w:rsid w:val="003F5D56"/>
    <w:rsid w:val="003F6350"/>
    <w:rsid w:val="0040030E"/>
    <w:rsid w:val="00400FAA"/>
    <w:rsid w:val="0040161D"/>
    <w:rsid w:val="00402245"/>
    <w:rsid w:val="00403BCB"/>
    <w:rsid w:val="00404854"/>
    <w:rsid w:val="00404F7E"/>
    <w:rsid w:val="004057AA"/>
    <w:rsid w:val="004062B9"/>
    <w:rsid w:val="0040749C"/>
    <w:rsid w:val="00407A9D"/>
    <w:rsid w:val="00407D90"/>
    <w:rsid w:val="0041103A"/>
    <w:rsid w:val="004127E7"/>
    <w:rsid w:val="00412FEA"/>
    <w:rsid w:val="00414420"/>
    <w:rsid w:val="00415CD4"/>
    <w:rsid w:val="00417847"/>
    <w:rsid w:val="00417C2E"/>
    <w:rsid w:val="004204ED"/>
    <w:rsid w:val="004204FE"/>
    <w:rsid w:val="004206FF"/>
    <w:rsid w:val="00420DDD"/>
    <w:rsid w:val="00423F3A"/>
    <w:rsid w:val="00424DCB"/>
    <w:rsid w:val="00425476"/>
    <w:rsid w:val="00425E3F"/>
    <w:rsid w:val="00426D02"/>
    <w:rsid w:val="00427463"/>
    <w:rsid w:val="00427AE9"/>
    <w:rsid w:val="004309B1"/>
    <w:rsid w:val="0043166F"/>
    <w:rsid w:val="00432C44"/>
    <w:rsid w:val="00433B97"/>
    <w:rsid w:val="00433C47"/>
    <w:rsid w:val="00434764"/>
    <w:rsid w:val="004348C6"/>
    <w:rsid w:val="00434E06"/>
    <w:rsid w:val="00436DC7"/>
    <w:rsid w:val="00437A74"/>
    <w:rsid w:val="00440214"/>
    <w:rsid w:val="00440AA3"/>
    <w:rsid w:val="00441300"/>
    <w:rsid w:val="004449F4"/>
    <w:rsid w:val="00445993"/>
    <w:rsid w:val="004462D6"/>
    <w:rsid w:val="00447555"/>
    <w:rsid w:val="004478D9"/>
    <w:rsid w:val="004512DF"/>
    <w:rsid w:val="00453411"/>
    <w:rsid w:val="00454774"/>
    <w:rsid w:val="0045497A"/>
    <w:rsid w:val="00454F1D"/>
    <w:rsid w:val="004558C0"/>
    <w:rsid w:val="00456ACA"/>
    <w:rsid w:val="00456B3F"/>
    <w:rsid w:val="00460C1C"/>
    <w:rsid w:val="004612A5"/>
    <w:rsid w:val="0046167B"/>
    <w:rsid w:val="00461D6F"/>
    <w:rsid w:val="004648D0"/>
    <w:rsid w:val="00464F61"/>
    <w:rsid w:val="0046692C"/>
    <w:rsid w:val="004669A3"/>
    <w:rsid w:val="00466E3D"/>
    <w:rsid w:val="00470C35"/>
    <w:rsid w:val="00471614"/>
    <w:rsid w:val="00471699"/>
    <w:rsid w:val="00471E17"/>
    <w:rsid w:val="00472086"/>
    <w:rsid w:val="00472260"/>
    <w:rsid w:val="00472A9B"/>
    <w:rsid w:val="00472C87"/>
    <w:rsid w:val="00480685"/>
    <w:rsid w:val="0048139C"/>
    <w:rsid w:val="00481C48"/>
    <w:rsid w:val="004820A5"/>
    <w:rsid w:val="0048494D"/>
    <w:rsid w:val="00484F36"/>
    <w:rsid w:val="0048530B"/>
    <w:rsid w:val="00485C01"/>
    <w:rsid w:val="00485D5B"/>
    <w:rsid w:val="0048663B"/>
    <w:rsid w:val="00486893"/>
    <w:rsid w:val="00487FEF"/>
    <w:rsid w:val="00490D1A"/>
    <w:rsid w:val="00491758"/>
    <w:rsid w:val="004918A2"/>
    <w:rsid w:val="00491B55"/>
    <w:rsid w:val="00491BCF"/>
    <w:rsid w:val="00493456"/>
    <w:rsid w:val="00493FB8"/>
    <w:rsid w:val="00494B58"/>
    <w:rsid w:val="00495BEC"/>
    <w:rsid w:val="004979D7"/>
    <w:rsid w:val="004A0833"/>
    <w:rsid w:val="004A0F21"/>
    <w:rsid w:val="004A109E"/>
    <w:rsid w:val="004A2C29"/>
    <w:rsid w:val="004A6479"/>
    <w:rsid w:val="004A6AB3"/>
    <w:rsid w:val="004B1661"/>
    <w:rsid w:val="004B2D79"/>
    <w:rsid w:val="004B4154"/>
    <w:rsid w:val="004B46BB"/>
    <w:rsid w:val="004B57D2"/>
    <w:rsid w:val="004B598D"/>
    <w:rsid w:val="004B5990"/>
    <w:rsid w:val="004B616C"/>
    <w:rsid w:val="004B6B96"/>
    <w:rsid w:val="004C04B6"/>
    <w:rsid w:val="004C0C8C"/>
    <w:rsid w:val="004C1F5A"/>
    <w:rsid w:val="004C2CC8"/>
    <w:rsid w:val="004C3091"/>
    <w:rsid w:val="004C3BBC"/>
    <w:rsid w:val="004C3BF6"/>
    <w:rsid w:val="004C4679"/>
    <w:rsid w:val="004C53B6"/>
    <w:rsid w:val="004C77DB"/>
    <w:rsid w:val="004C7F54"/>
    <w:rsid w:val="004D080E"/>
    <w:rsid w:val="004D34CD"/>
    <w:rsid w:val="004D4487"/>
    <w:rsid w:val="004D5247"/>
    <w:rsid w:val="004D5D47"/>
    <w:rsid w:val="004D5EB7"/>
    <w:rsid w:val="004D6150"/>
    <w:rsid w:val="004D68BA"/>
    <w:rsid w:val="004E221E"/>
    <w:rsid w:val="004E29E5"/>
    <w:rsid w:val="004E2A05"/>
    <w:rsid w:val="004E39A7"/>
    <w:rsid w:val="004E4673"/>
    <w:rsid w:val="004E5EBC"/>
    <w:rsid w:val="004E6C21"/>
    <w:rsid w:val="004E7D28"/>
    <w:rsid w:val="004F0270"/>
    <w:rsid w:val="004F0B44"/>
    <w:rsid w:val="004F0D26"/>
    <w:rsid w:val="004F0E68"/>
    <w:rsid w:val="004F1031"/>
    <w:rsid w:val="004F127C"/>
    <w:rsid w:val="004F20AB"/>
    <w:rsid w:val="004F28A6"/>
    <w:rsid w:val="004F30C3"/>
    <w:rsid w:val="004F3A73"/>
    <w:rsid w:val="004F596B"/>
    <w:rsid w:val="004F6A60"/>
    <w:rsid w:val="004F6C3A"/>
    <w:rsid w:val="004F6E4B"/>
    <w:rsid w:val="004F6F67"/>
    <w:rsid w:val="004F7202"/>
    <w:rsid w:val="00500670"/>
    <w:rsid w:val="00501608"/>
    <w:rsid w:val="00501AE7"/>
    <w:rsid w:val="0050581A"/>
    <w:rsid w:val="00506D2A"/>
    <w:rsid w:val="005075E8"/>
    <w:rsid w:val="00507AB2"/>
    <w:rsid w:val="005100A0"/>
    <w:rsid w:val="005102B7"/>
    <w:rsid w:val="00510463"/>
    <w:rsid w:val="0051099E"/>
    <w:rsid w:val="00510B49"/>
    <w:rsid w:val="00510F81"/>
    <w:rsid w:val="0051101C"/>
    <w:rsid w:val="005145BD"/>
    <w:rsid w:val="00515245"/>
    <w:rsid w:val="00515967"/>
    <w:rsid w:val="00516228"/>
    <w:rsid w:val="00516C24"/>
    <w:rsid w:val="00516DB5"/>
    <w:rsid w:val="00524BEA"/>
    <w:rsid w:val="00525812"/>
    <w:rsid w:val="005260FE"/>
    <w:rsid w:val="0052745D"/>
    <w:rsid w:val="0052749B"/>
    <w:rsid w:val="005275DF"/>
    <w:rsid w:val="00527637"/>
    <w:rsid w:val="005312FB"/>
    <w:rsid w:val="00531323"/>
    <w:rsid w:val="00532982"/>
    <w:rsid w:val="00532C6D"/>
    <w:rsid w:val="00534BC2"/>
    <w:rsid w:val="005362AB"/>
    <w:rsid w:val="00536495"/>
    <w:rsid w:val="00537023"/>
    <w:rsid w:val="00537A18"/>
    <w:rsid w:val="00537C61"/>
    <w:rsid w:val="005403F4"/>
    <w:rsid w:val="00540550"/>
    <w:rsid w:val="005408C4"/>
    <w:rsid w:val="005408C6"/>
    <w:rsid w:val="0054185C"/>
    <w:rsid w:val="00542EC3"/>
    <w:rsid w:val="005447CE"/>
    <w:rsid w:val="0054504B"/>
    <w:rsid w:val="00545550"/>
    <w:rsid w:val="00545A0E"/>
    <w:rsid w:val="00547224"/>
    <w:rsid w:val="0054773A"/>
    <w:rsid w:val="00547AFD"/>
    <w:rsid w:val="00550EE0"/>
    <w:rsid w:val="00551411"/>
    <w:rsid w:val="0055516E"/>
    <w:rsid w:val="00555905"/>
    <w:rsid w:val="00557F8F"/>
    <w:rsid w:val="00560202"/>
    <w:rsid w:val="0056108E"/>
    <w:rsid w:val="00561395"/>
    <w:rsid w:val="00562BD9"/>
    <w:rsid w:val="005641C7"/>
    <w:rsid w:val="00564456"/>
    <w:rsid w:val="00565686"/>
    <w:rsid w:val="00567F80"/>
    <w:rsid w:val="00567FCE"/>
    <w:rsid w:val="00574167"/>
    <w:rsid w:val="00574F0C"/>
    <w:rsid w:val="0057535B"/>
    <w:rsid w:val="0057587A"/>
    <w:rsid w:val="005772B7"/>
    <w:rsid w:val="0057751D"/>
    <w:rsid w:val="00577856"/>
    <w:rsid w:val="00580018"/>
    <w:rsid w:val="00581419"/>
    <w:rsid w:val="00581F88"/>
    <w:rsid w:val="005820D6"/>
    <w:rsid w:val="00582AE5"/>
    <w:rsid w:val="00583778"/>
    <w:rsid w:val="00587838"/>
    <w:rsid w:val="00587ACA"/>
    <w:rsid w:val="0059073F"/>
    <w:rsid w:val="0059096F"/>
    <w:rsid w:val="00591032"/>
    <w:rsid w:val="00592D77"/>
    <w:rsid w:val="00593D63"/>
    <w:rsid w:val="00594471"/>
    <w:rsid w:val="005946DB"/>
    <w:rsid w:val="005A19BB"/>
    <w:rsid w:val="005A1DD0"/>
    <w:rsid w:val="005A2171"/>
    <w:rsid w:val="005A2812"/>
    <w:rsid w:val="005A2C41"/>
    <w:rsid w:val="005A30FB"/>
    <w:rsid w:val="005A3C65"/>
    <w:rsid w:val="005A3F17"/>
    <w:rsid w:val="005A4364"/>
    <w:rsid w:val="005A49C7"/>
    <w:rsid w:val="005A58CE"/>
    <w:rsid w:val="005A705F"/>
    <w:rsid w:val="005B2637"/>
    <w:rsid w:val="005B7187"/>
    <w:rsid w:val="005B77AF"/>
    <w:rsid w:val="005C104A"/>
    <w:rsid w:val="005C10EF"/>
    <w:rsid w:val="005C24E9"/>
    <w:rsid w:val="005C2E25"/>
    <w:rsid w:val="005C3AB5"/>
    <w:rsid w:val="005C4D42"/>
    <w:rsid w:val="005C4E1A"/>
    <w:rsid w:val="005C56BB"/>
    <w:rsid w:val="005C5F61"/>
    <w:rsid w:val="005C6D06"/>
    <w:rsid w:val="005C75E0"/>
    <w:rsid w:val="005D0D2C"/>
    <w:rsid w:val="005D3277"/>
    <w:rsid w:val="005D3906"/>
    <w:rsid w:val="005D3A85"/>
    <w:rsid w:val="005D444F"/>
    <w:rsid w:val="005D4536"/>
    <w:rsid w:val="005D45FA"/>
    <w:rsid w:val="005D4FE6"/>
    <w:rsid w:val="005D54F4"/>
    <w:rsid w:val="005D7255"/>
    <w:rsid w:val="005D73AE"/>
    <w:rsid w:val="005D7F2C"/>
    <w:rsid w:val="005E0971"/>
    <w:rsid w:val="005E20EE"/>
    <w:rsid w:val="005E32D6"/>
    <w:rsid w:val="005E35A2"/>
    <w:rsid w:val="005F0857"/>
    <w:rsid w:val="005F0D48"/>
    <w:rsid w:val="005F2234"/>
    <w:rsid w:val="005F2CDF"/>
    <w:rsid w:val="005F4057"/>
    <w:rsid w:val="005F55C9"/>
    <w:rsid w:val="005F5CDE"/>
    <w:rsid w:val="005F6949"/>
    <w:rsid w:val="00601273"/>
    <w:rsid w:val="00601409"/>
    <w:rsid w:val="00602741"/>
    <w:rsid w:val="00602D5E"/>
    <w:rsid w:val="00603435"/>
    <w:rsid w:val="00603F48"/>
    <w:rsid w:val="00604019"/>
    <w:rsid w:val="00604864"/>
    <w:rsid w:val="00607433"/>
    <w:rsid w:val="00610528"/>
    <w:rsid w:val="0061136B"/>
    <w:rsid w:val="0061254C"/>
    <w:rsid w:val="00612E6D"/>
    <w:rsid w:val="006147E8"/>
    <w:rsid w:val="00614A7F"/>
    <w:rsid w:val="006174E1"/>
    <w:rsid w:val="0061769B"/>
    <w:rsid w:val="00617EE0"/>
    <w:rsid w:val="00620319"/>
    <w:rsid w:val="0062031F"/>
    <w:rsid w:val="0062050D"/>
    <w:rsid w:val="00620543"/>
    <w:rsid w:val="00620CFC"/>
    <w:rsid w:val="00621433"/>
    <w:rsid w:val="0062145D"/>
    <w:rsid w:val="00622A7B"/>
    <w:rsid w:val="00622B65"/>
    <w:rsid w:val="00622E4F"/>
    <w:rsid w:val="00622E6E"/>
    <w:rsid w:val="006230E1"/>
    <w:rsid w:val="00623630"/>
    <w:rsid w:val="00625367"/>
    <w:rsid w:val="00631400"/>
    <w:rsid w:val="006373EF"/>
    <w:rsid w:val="006378FB"/>
    <w:rsid w:val="00637DA8"/>
    <w:rsid w:val="006406D7"/>
    <w:rsid w:val="00640C4F"/>
    <w:rsid w:val="00644E04"/>
    <w:rsid w:val="00645074"/>
    <w:rsid w:val="00646B04"/>
    <w:rsid w:val="00646E08"/>
    <w:rsid w:val="006472CD"/>
    <w:rsid w:val="0064752F"/>
    <w:rsid w:val="00647C2E"/>
    <w:rsid w:val="00651C4B"/>
    <w:rsid w:val="00654D90"/>
    <w:rsid w:val="0066065E"/>
    <w:rsid w:val="00660B4C"/>
    <w:rsid w:val="00660B50"/>
    <w:rsid w:val="00660DB8"/>
    <w:rsid w:val="006621A7"/>
    <w:rsid w:val="0066294F"/>
    <w:rsid w:val="00662963"/>
    <w:rsid w:val="00663199"/>
    <w:rsid w:val="0066343D"/>
    <w:rsid w:val="0066499A"/>
    <w:rsid w:val="00665EF2"/>
    <w:rsid w:val="006661F7"/>
    <w:rsid w:val="00667611"/>
    <w:rsid w:val="006703E5"/>
    <w:rsid w:val="00671006"/>
    <w:rsid w:val="006716E3"/>
    <w:rsid w:val="00671FCA"/>
    <w:rsid w:val="006720D0"/>
    <w:rsid w:val="00673F0C"/>
    <w:rsid w:val="00674389"/>
    <w:rsid w:val="0067470B"/>
    <w:rsid w:val="00674FAA"/>
    <w:rsid w:val="006755B0"/>
    <w:rsid w:val="0067617B"/>
    <w:rsid w:val="00676B1F"/>
    <w:rsid w:val="006803CF"/>
    <w:rsid w:val="006809FD"/>
    <w:rsid w:val="00681D72"/>
    <w:rsid w:val="0068286F"/>
    <w:rsid w:val="00683217"/>
    <w:rsid w:val="006849EA"/>
    <w:rsid w:val="00684A5E"/>
    <w:rsid w:val="00684BF0"/>
    <w:rsid w:val="00685269"/>
    <w:rsid w:val="0068548E"/>
    <w:rsid w:val="0068549F"/>
    <w:rsid w:val="006862D0"/>
    <w:rsid w:val="00686700"/>
    <w:rsid w:val="00686AB9"/>
    <w:rsid w:val="006871AD"/>
    <w:rsid w:val="00692F4B"/>
    <w:rsid w:val="0069384F"/>
    <w:rsid w:val="00693EFD"/>
    <w:rsid w:val="006954AE"/>
    <w:rsid w:val="00695D6D"/>
    <w:rsid w:val="00696460"/>
    <w:rsid w:val="00696AA3"/>
    <w:rsid w:val="006A05CE"/>
    <w:rsid w:val="006A16C3"/>
    <w:rsid w:val="006A24FF"/>
    <w:rsid w:val="006A32DA"/>
    <w:rsid w:val="006A3FF5"/>
    <w:rsid w:val="006A4884"/>
    <w:rsid w:val="006A4B57"/>
    <w:rsid w:val="006A4EAD"/>
    <w:rsid w:val="006A6151"/>
    <w:rsid w:val="006A6577"/>
    <w:rsid w:val="006A6634"/>
    <w:rsid w:val="006A6835"/>
    <w:rsid w:val="006A702C"/>
    <w:rsid w:val="006A7091"/>
    <w:rsid w:val="006A7560"/>
    <w:rsid w:val="006A76FE"/>
    <w:rsid w:val="006B0264"/>
    <w:rsid w:val="006B05F1"/>
    <w:rsid w:val="006B08FE"/>
    <w:rsid w:val="006B0E9A"/>
    <w:rsid w:val="006B14B4"/>
    <w:rsid w:val="006B179D"/>
    <w:rsid w:val="006B22A0"/>
    <w:rsid w:val="006B264A"/>
    <w:rsid w:val="006B2786"/>
    <w:rsid w:val="006B2AF0"/>
    <w:rsid w:val="006B54BF"/>
    <w:rsid w:val="006B5540"/>
    <w:rsid w:val="006B5703"/>
    <w:rsid w:val="006B5FEA"/>
    <w:rsid w:val="006B6546"/>
    <w:rsid w:val="006C1171"/>
    <w:rsid w:val="006C1563"/>
    <w:rsid w:val="006C1D41"/>
    <w:rsid w:val="006C3716"/>
    <w:rsid w:val="006C5E8F"/>
    <w:rsid w:val="006C7795"/>
    <w:rsid w:val="006C7B41"/>
    <w:rsid w:val="006C7B4C"/>
    <w:rsid w:val="006D03C0"/>
    <w:rsid w:val="006D072F"/>
    <w:rsid w:val="006D15EF"/>
    <w:rsid w:val="006D305E"/>
    <w:rsid w:val="006D56B2"/>
    <w:rsid w:val="006D6555"/>
    <w:rsid w:val="006D6567"/>
    <w:rsid w:val="006D6B05"/>
    <w:rsid w:val="006D7AFE"/>
    <w:rsid w:val="006D7B6D"/>
    <w:rsid w:val="006E1AE4"/>
    <w:rsid w:val="006E1C3C"/>
    <w:rsid w:val="006E240F"/>
    <w:rsid w:val="006E2D8C"/>
    <w:rsid w:val="006E3627"/>
    <w:rsid w:val="006E39A0"/>
    <w:rsid w:val="006E3E27"/>
    <w:rsid w:val="006E5E0E"/>
    <w:rsid w:val="006E65F9"/>
    <w:rsid w:val="006E6FA7"/>
    <w:rsid w:val="006E71B7"/>
    <w:rsid w:val="006E75A9"/>
    <w:rsid w:val="006F1551"/>
    <w:rsid w:val="006F1D73"/>
    <w:rsid w:val="006F1ED5"/>
    <w:rsid w:val="006F257D"/>
    <w:rsid w:val="006F35DD"/>
    <w:rsid w:val="006F47C0"/>
    <w:rsid w:val="006F49AC"/>
    <w:rsid w:val="006F4A43"/>
    <w:rsid w:val="006F587A"/>
    <w:rsid w:val="006F60B1"/>
    <w:rsid w:val="006F6781"/>
    <w:rsid w:val="006F6C0C"/>
    <w:rsid w:val="006F6CFA"/>
    <w:rsid w:val="006F733E"/>
    <w:rsid w:val="006F7BB8"/>
    <w:rsid w:val="0070017C"/>
    <w:rsid w:val="007005F7"/>
    <w:rsid w:val="00701805"/>
    <w:rsid w:val="00702486"/>
    <w:rsid w:val="00702845"/>
    <w:rsid w:val="00703B6E"/>
    <w:rsid w:val="007044D9"/>
    <w:rsid w:val="00704531"/>
    <w:rsid w:val="007053D2"/>
    <w:rsid w:val="00705EFC"/>
    <w:rsid w:val="0070657B"/>
    <w:rsid w:val="0070757D"/>
    <w:rsid w:val="00710290"/>
    <w:rsid w:val="00711143"/>
    <w:rsid w:val="007116B3"/>
    <w:rsid w:val="00711863"/>
    <w:rsid w:val="00711C64"/>
    <w:rsid w:val="00712C1C"/>
    <w:rsid w:val="007139B8"/>
    <w:rsid w:val="00713EF5"/>
    <w:rsid w:val="0071404F"/>
    <w:rsid w:val="00714219"/>
    <w:rsid w:val="00714522"/>
    <w:rsid w:val="00714A2D"/>
    <w:rsid w:val="007150AF"/>
    <w:rsid w:val="00715AC3"/>
    <w:rsid w:val="00717157"/>
    <w:rsid w:val="00717272"/>
    <w:rsid w:val="00717BAC"/>
    <w:rsid w:val="007203B9"/>
    <w:rsid w:val="007210F7"/>
    <w:rsid w:val="00721145"/>
    <w:rsid w:val="0072140E"/>
    <w:rsid w:val="00721EDA"/>
    <w:rsid w:val="007231F6"/>
    <w:rsid w:val="0072381E"/>
    <w:rsid w:val="0072446D"/>
    <w:rsid w:val="00724881"/>
    <w:rsid w:val="00724998"/>
    <w:rsid w:val="00726960"/>
    <w:rsid w:val="00726C62"/>
    <w:rsid w:val="00726EB4"/>
    <w:rsid w:val="00727132"/>
    <w:rsid w:val="007279C7"/>
    <w:rsid w:val="00727B57"/>
    <w:rsid w:val="00730F61"/>
    <w:rsid w:val="00731A97"/>
    <w:rsid w:val="007325F5"/>
    <w:rsid w:val="00732FD6"/>
    <w:rsid w:val="0073353F"/>
    <w:rsid w:val="00733FB0"/>
    <w:rsid w:val="00734671"/>
    <w:rsid w:val="007352ED"/>
    <w:rsid w:val="00735773"/>
    <w:rsid w:val="00736310"/>
    <w:rsid w:val="00736371"/>
    <w:rsid w:val="007371F1"/>
    <w:rsid w:val="0074167B"/>
    <w:rsid w:val="00741695"/>
    <w:rsid w:val="007418FB"/>
    <w:rsid w:val="00741E0C"/>
    <w:rsid w:val="007435F7"/>
    <w:rsid w:val="007452BE"/>
    <w:rsid w:val="00745336"/>
    <w:rsid w:val="007454B6"/>
    <w:rsid w:val="00745CE1"/>
    <w:rsid w:val="00746995"/>
    <w:rsid w:val="00747941"/>
    <w:rsid w:val="0075036C"/>
    <w:rsid w:val="00751F90"/>
    <w:rsid w:val="00753564"/>
    <w:rsid w:val="00753E3D"/>
    <w:rsid w:val="00754059"/>
    <w:rsid w:val="00754140"/>
    <w:rsid w:val="007541E1"/>
    <w:rsid w:val="00754F73"/>
    <w:rsid w:val="007569BB"/>
    <w:rsid w:val="0075785F"/>
    <w:rsid w:val="00757C90"/>
    <w:rsid w:val="007617D0"/>
    <w:rsid w:val="007618A1"/>
    <w:rsid w:val="007621E0"/>
    <w:rsid w:val="00762718"/>
    <w:rsid w:val="007629FD"/>
    <w:rsid w:val="00762D3C"/>
    <w:rsid w:val="00762F67"/>
    <w:rsid w:val="00763EF8"/>
    <w:rsid w:val="00764273"/>
    <w:rsid w:val="00765023"/>
    <w:rsid w:val="007652DB"/>
    <w:rsid w:val="00765A8E"/>
    <w:rsid w:val="00765F9D"/>
    <w:rsid w:val="007661EB"/>
    <w:rsid w:val="00766627"/>
    <w:rsid w:val="0076787F"/>
    <w:rsid w:val="00767DC7"/>
    <w:rsid w:val="00770D49"/>
    <w:rsid w:val="00773300"/>
    <w:rsid w:val="0077336B"/>
    <w:rsid w:val="0077384A"/>
    <w:rsid w:val="00773CFD"/>
    <w:rsid w:val="00773E72"/>
    <w:rsid w:val="007740CF"/>
    <w:rsid w:val="00775EED"/>
    <w:rsid w:val="00776A91"/>
    <w:rsid w:val="00776DAF"/>
    <w:rsid w:val="00776EF7"/>
    <w:rsid w:val="00777E7C"/>
    <w:rsid w:val="00780340"/>
    <w:rsid w:val="00783AAD"/>
    <w:rsid w:val="00783D12"/>
    <w:rsid w:val="007852F4"/>
    <w:rsid w:val="00786FA2"/>
    <w:rsid w:val="0078730B"/>
    <w:rsid w:val="007874C9"/>
    <w:rsid w:val="00787B29"/>
    <w:rsid w:val="00790F47"/>
    <w:rsid w:val="0079122E"/>
    <w:rsid w:val="007922D3"/>
    <w:rsid w:val="00792C04"/>
    <w:rsid w:val="007946D4"/>
    <w:rsid w:val="00795B22"/>
    <w:rsid w:val="00796F70"/>
    <w:rsid w:val="00797250"/>
    <w:rsid w:val="007A1130"/>
    <w:rsid w:val="007A3C4E"/>
    <w:rsid w:val="007A43C3"/>
    <w:rsid w:val="007A4E4F"/>
    <w:rsid w:val="007A4F16"/>
    <w:rsid w:val="007A5D24"/>
    <w:rsid w:val="007A7244"/>
    <w:rsid w:val="007A7DC8"/>
    <w:rsid w:val="007B079D"/>
    <w:rsid w:val="007B195E"/>
    <w:rsid w:val="007B1D26"/>
    <w:rsid w:val="007B2546"/>
    <w:rsid w:val="007B415C"/>
    <w:rsid w:val="007B4EB3"/>
    <w:rsid w:val="007B51C3"/>
    <w:rsid w:val="007B5EAE"/>
    <w:rsid w:val="007B60F7"/>
    <w:rsid w:val="007B60F9"/>
    <w:rsid w:val="007B67C2"/>
    <w:rsid w:val="007B6D5A"/>
    <w:rsid w:val="007B6F16"/>
    <w:rsid w:val="007B79F1"/>
    <w:rsid w:val="007B7C41"/>
    <w:rsid w:val="007B7E3A"/>
    <w:rsid w:val="007B7FAB"/>
    <w:rsid w:val="007C01AC"/>
    <w:rsid w:val="007C04CE"/>
    <w:rsid w:val="007C0A62"/>
    <w:rsid w:val="007C101D"/>
    <w:rsid w:val="007C1400"/>
    <w:rsid w:val="007C1ACD"/>
    <w:rsid w:val="007C3FD3"/>
    <w:rsid w:val="007C5667"/>
    <w:rsid w:val="007C5E71"/>
    <w:rsid w:val="007C6896"/>
    <w:rsid w:val="007C74FF"/>
    <w:rsid w:val="007C7659"/>
    <w:rsid w:val="007D091A"/>
    <w:rsid w:val="007D1FD9"/>
    <w:rsid w:val="007D3BF7"/>
    <w:rsid w:val="007D4983"/>
    <w:rsid w:val="007D6156"/>
    <w:rsid w:val="007D6CE5"/>
    <w:rsid w:val="007E0C61"/>
    <w:rsid w:val="007E242D"/>
    <w:rsid w:val="007E51F8"/>
    <w:rsid w:val="007E5AA4"/>
    <w:rsid w:val="007E6791"/>
    <w:rsid w:val="007E7655"/>
    <w:rsid w:val="007E7823"/>
    <w:rsid w:val="007E7A30"/>
    <w:rsid w:val="007F242B"/>
    <w:rsid w:val="007F4175"/>
    <w:rsid w:val="007F42BD"/>
    <w:rsid w:val="007F696D"/>
    <w:rsid w:val="007F6999"/>
    <w:rsid w:val="007F6B57"/>
    <w:rsid w:val="00800E76"/>
    <w:rsid w:val="00800FC6"/>
    <w:rsid w:val="00802B46"/>
    <w:rsid w:val="008041ED"/>
    <w:rsid w:val="0080483A"/>
    <w:rsid w:val="0080501B"/>
    <w:rsid w:val="0080538A"/>
    <w:rsid w:val="0080714C"/>
    <w:rsid w:val="00810BE3"/>
    <w:rsid w:val="00812F4F"/>
    <w:rsid w:val="00813DC7"/>
    <w:rsid w:val="00814071"/>
    <w:rsid w:val="0081408C"/>
    <w:rsid w:val="00815AD8"/>
    <w:rsid w:val="0081642C"/>
    <w:rsid w:val="00820188"/>
    <w:rsid w:val="00820247"/>
    <w:rsid w:val="00822B1B"/>
    <w:rsid w:val="00823CD9"/>
    <w:rsid w:val="00823D47"/>
    <w:rsid w:val="00824AFA"/>
    <w:rsid w:val="0082547E"/>
    <w:rsid w:val="00825996"/>
    <w:rsid w:val="00826F5E"/>
    <w:rsid w:val="0083337B"/>
    <w:rsid w:val="00833FD0"/>
    <w:rsid w:val="00834E0C"/>
    <w:rsid w:val="00834F2C"/>
    <w:rsid w:val="008355BA"/>
    <w:rsid w:val="00835C8B"/>
    <w:rsid w:val="00836D8F"/>
    <w:rsid w:val="00840A52"/>
    <w:rsid w:val="00841123"/>
    <w:rsid w:val="008427C2"/>
    <w:rsid w:val="00842A7A"/>
    <w:rsid w:val="0084358B"/>
    <w:rsid w:val="00843EF1"/>
    <w:rsid w:val="008442ED"/>
    <w:rsid w:val="00845529"/>
    <w:rsid w:val="008466E3"/>
    <w:rsid w:val="00846842"/>
    <w:rsid w:val="00850AC1"/>
    <w:rsid w:val="00851079"/>
    <w:rsid w:val="008535AC"/>
    <w:rsid w:val="008538E8"/>
    <w:rsid w:val="00853992"/>
    <w:rsid w:val="00854B26"/>
    <w:rsid w:val="00855D89"/>
    <w:rsid w:val="00855DFC"/>
    <w:rsid w:val="0085609B"/>
    <w:rsid w:val="008565E6"/>
    <w:rsid w:val="0085731E"/>
    <w:rsid w:val="00861AF4"/>
    <w:rsid w:val="00862D8B"/>
    <w:rsid w:val="00864B6E"/>
    <w:rsid w:val="00865168"/>
    <w:rsid w:val="008656D3"/>
    <w:rsid w:val="00866B71"/>
    <w:rsid w:val="00867577"/>
    <w:rsid w:val="00871628"/>
    <w:rsid w:val="00871AE1"/>
    <w:rsid w:val="00873409"/>
    <w:rsid w:val="00873C69"/>
    <w:rsid w:val="00874501"/>
    <w:rsid w:val="00874B70"/>
    <w:rsid w:val="008759A3"/>
    <w:rsid w:val="008759DC"/>
    <w:rsid w:val="008776E0"/>
    <w:rsid w:val="0088042E"/>
    <w:rsid w:val="008804C8"/>
    <w:rsid w:val="00880769"/>
    <w:rsid w:val="008821F7"/>
    <w:rsid w:val="008831FF"/>
    <w:rsid w:val="00885147"/>
    <w:rsid w:val="008852B2"/>
    <w:rsid w:val="008862B4"/>
    <w:rsid w:val="00886AAC"/>
    <w:rsid w:val="00890F24"/>
    <w:rsid w:val="0089106F"/>
    <w:rsid w:val="0089195C"/>
    <w:rsid w:val="008939D1"/>
    <w:rsid w:val="0089480D"/>
    <w:rsid w:val="0089594F"/>
    <w:rsid w:val="00895D37"/>
    <w:rsid w:val="00896AB4"/>
    <w:rsid w:val="008975FC"/>
    <w:rsid w:val="008A002F"/>
    <w:rsid w:val="008A09C1"/>
    <w:rsid w:val="008A0DDA"/>
    <w:rsid w:val="008A23F6"/>
    <w:rsid w:val="008A2A37"/>
    <w:rsid w:val="008A487C"/>
    <w:rsid w:val="008A6BCA"/>
    <w:rsid w:val="008A72B0"/>
    <w:rsid w:val="008A7E1A"/>
    <w:rsid w:val="008B093D"/>
    <w:rsid w:val="008B0952"/>
    <w:rsid w:val="008B4629"/>
    <w:rsid w:val="008B5683"/>
    <w:rsid w:val="008B587E"/>
    <w:rsid w:val="008B597D"/>
    <w:rsid w:val="008B59D7"/>
    <w:rsid w:val="008B78B9"/>
    <w:rsid w:val="008C0501"/>
    <w:rsid w:val="008C0C49"/>
    <w:rsid w:val="008C2990"/>
    <w:rsid w:val="008C3AE6"/>
    <w:rsid w:val="008C4449"/>
    <w:rsid w:val="008C46AC"/>
    <w:rsid w:val="008C54C2"/>
    <w:rsid w:val="008C5553"/>
    <w:rsid w:val="008C666D"/>
    <w:rsid w:val="008C6B51"/>
    <w:rsid w:val="008C6D66"/>
    <w:rsid w:val="008C7385"/>
    <w:rsid w:val="008C74BE"/>
    <w:rsid w:val="008C7AE9"/>
    <w:rsid w:val="008C7B45"/>
    <w:rsid w:val="008D0222"/>
    <w:rsid w:val="008D17D4"/>
    <w:rsid w:val="008D21DF"/>
    <w:rsid w:val="008D2318"/>
    <w:rsid w:val="008D2D6B"/>
    <w:rsid w:val="008D3A59"/>
    <w:rsid w:val="008D46FD"/>
    <w:rsid w:val="008D4FB0"/>
    <w:rsid w:val="008D5D7C"/>
    <w:rsid w:val="008D6CC6"/>
    <w:rsid w:val="008D6D50"/>
    <w:rsid w:val="008E0257"/>
    <w:rsid w:val="008E09D7"/>
    <w:rsid w:val="008E343B"/>
    <w:rsid w:val="008E34D6"/>
    <w:rsid w:val="008E3C10"/>
    <w:rsid w:val="008E4707"/>
    <w:rsid w:val="008E4A95"/>
    <w:rsid w:val="008E501F"/>
    <w:rsid w:val="008E5C15"/>
    <w:rsid w:val="008E5DBE"/>
    <w:rsid w:val="008E62CD"/>
    <w:rsid w:val="008E6665"/>
    <w:rsid w:val="008E6D14"/>
    <w:rsid w:val="008E7264"/>
    <w:rsid w:val="008F0834"/>
    <w:rsid w:val="008F0AC7"/>
    <w:rsid w:val="008F1254"/>
    <w:rsid w:val="008F162A"/>
    <w:rsid w:val="008F27C3"/>
    <w:rsid w:val="008F392D"/>
    <w:rsid w:val="008F3E0E"/>
    <w:rsid w:val="008F508F"/>
    <w:rsid w:val="008F52D5"/>
    <w:rsid w:val="008F65B7"/>
    <w:rsid w:val="008F65BC"/>
    <w:rsid w:val="00900065"/>
    <w:rsid w:val="009000EC"/>
    <w:rsid w:val="00901B6E"/>
    <w:rsid w:val="009024FE"/>
    <w:rsid w:val="009046D3"/>
    <w:rsid w:val="00904A65"/>
    <w:rsid w:val="00905068"/>
    <w:rsid w:val="0090538E"/>
    <w:rsid w:val="00906AA4"/>
    <w:rsid w:val="00906C34"/>
    <w:rsid w:val="009103E7"/>
    <w:rsid w:val="0091130D"/>
    <w:rsid w:val="00911440"/>
    <w:rsid w:val="00912CA5"/>
    <w:rsid w:val="00912E2E"/>
    <w:rsid w:val="00914255"/>
    <w:rsid w:val="00914DDA"/>
    <w:rsid w:val="00917FB2"/>
    <w:rsid w:val="009202D6"/>
    <w:rsid w:val="009204AC"/>
    <w:rsid w:val="00920768"/>
    <w:rsid w:val="00920C71"/>
    <w:rsid w:val="00920DA5"/>
    <w:rsid w:val="00921197"/>
    <w:rsid w:val="00921BE6"/>
    <w:rsid w:val="00921DDC"/>
    <w:rsid w:val="00921E39"/>
    <w:rsid w:val="00923265"/>
    <w:rsid w:val="0092488D"/>
    <w:rsid w:val="009250CC"/>
    <w:rsid w:val="0092558D"/>
    <w:rsid w:val="009261BC"/>
    <w:rsid w:val="009276A0"/>
    <w:rsid w:val="00927D25"/>
    <w:rsid w:val="00927EE6"/>
    <w:rsid w:val="009328C9"/>
    <w:rsid w:val="0093341F"/>
    <w:rsid w:val="00933E3D"/>
    <w:rsid w:val="009340C2"/>
    <w:rsid w:val="00935909"/>
    <w:rsid w:val="00936534"/>
    <w:rsid w:val="009369CA"/>
    <w:rsid w:val="00936BEA"/>
    <w:rsid w:val="00936FE8"/>
    <w:rsid w:val="00937021"/>
    <w:rsid w:val="009402CD"/>
    <w:rsid w:val="009414F0"/>
    <w:rsid w:val="00941A2B"/>
    <w:rsid w:val="00941D31"/>
    <w:rsid w:val="00942794"/>
    <w:rsid w:val="009436EF"/>
    <w:rsid w:val="009437C1"/>
    <w:rsid w:val="0094535A"/>
    <w:rsid w:val="009465C5"/>
    <w:rsid w:val="009468D9"/>
    <w:rsid w:val="0094698A"/>
    <w:rsid w:val="00947011"/>
    <w:rsid w:val="009470ED"/>
    <w:rsid w:val="009477C7"/>
    <w:rsid w:val="00950680"/>
    <w:rsid w:val="00951819"/>
    <w:rsid w:val="00952C32"/>
    <w:rsid w:val="00954F42"/>
    <w:rsid w:val="0095681F"/>
    <w:rsid w:val="00957853"/>
    <w:rsid w:val="009578E8"/>
    <w:rsid w:val="00960427"/>
    <w:rsid w:val="009608F1"/>
    <w:rsid w:val="00962EB9"/>
    <w:rsid w:val="00963382"/>
    <w:rsid w:val="009637A1"/>
    <w:rsid w:val="0097163F"/>
    <w:rsid w:val="0097284E"/>
    <w:rsid w:val="0097380A"/>
    <w:rsid w:val="0097416D"/>
    <w:rsid w:val="0097503A"/>
    <w:rsid w:val="009755A2"/>
    <w:rsid w:val="009763C1"/>
    <w:rsid w:val="00980B65"/>
    <w:rsid w:val="009836D4"/>
    <w:rsid w:val="009840F8"/>
    <w:rsid w:val="00984993"/>
    <w:rsid w:val="009856E1"/>
    <w:rsid w:val="00985F76"/>
    <w:rsid w:val="0098616A"/>
    <w:rsid w:val="00986259"/>
    <w:rsid w:val="0098635D"/>
    <w:rsid w:val="00986E75"/>
    <w:rsid w:val="00987090"/>
    <w:rsid w:val="00993800"/>
    <w:rsid w:val="00995997"/>
    <w:rsid w:val="009969A9"/>
    <w:rsid w:val="00997BF4"/>
    <w:rsid w:val="009A0AC2"/>
    <w:rsid w:val="009A2D3C"/>
    <w:rsid w:val="009A4107"/>
    <w:rsid w:val="009A451F"/>
    <w:rsid w:val="009A45EB"/>
    <w:rsid w:val="009A64BA"/>
    <w:rsid w:val="009B0271"/>
    <w:rsid w:val="009B0746"/>
    <w:rsid w:val="009B155A"/>
    <w:rsid w:val="009B21FE"/>
    <w:rsid w:val="009B22BC"/>
    <w:rsid w:val="009B33A8"/>
    <w:rsid w:val="009B39C3"/>
    <w:rsid w:val="009B46B6"/>
    <w:rsid w:val="009B5ABA"/>
    <w:rsid w:val="009B625F"/>
    <w:rsid w:val="009B7680"/>
    <w:rsid w:val="009B7684"/>
    <w:rsid w:val="009C02BF"/>
    <w:rsid w:val="009C1F4B"/>
    <w:rsid w:val="009C2AC0"/>
    <w:rsid w:val="009C2F1A"/>
    <w:rsid w:val="009C3455"/>
    <w:rsid w:val="009C3BAB"/>
    <w:rsid w:val="009C4747"/>
    <w:rsid w:val="009C7128"/>
    <w:rsid w:val="009D0AC4"/>
    <w:rsid w:val="009D2423"/>
    <w:rsid w:val="009D38A6"/>
    <w:rsid w:val="009D4152"/>
    <w:rsid w:val="009D45B0"/>
    <w:rsid w:val="009D66CE"/>
    <w:rsid w:val="009D77DB"/>
    <w:rsid w:val="009E0527"/>
    <w:rsid w:val="009E0763"/>
    <w:rsid w:val="009E15D8"/>
    <w:rsid w:val="009E1E84"/>
    <w:rsid w:val="009E32C8"/>
    <w:rsid w:val="009E36E0"/>
    <w:rsid w:val="009E39E3"/>
    <w:rsid w:val="009E6AA2"/>
    <w:rsid w:val="009E7524"/>
    <w:rsid w:val="009E7E74"/>
    <w:rsid w:val="009F0086"/>
    <w:rsid w:val="009F0338"/>
    <w:rsid w:val="009F048F"/>
    <w:rsid w:val="009F0F94"/>
    <w:rsid w:val="009F221D"/>
    <w:rsid w:val="009F281D"/>
    <w:rsid w:val="009F284A"/>
    <w:rsid w:val="009F3B01"/>
    <w:rsid w:val="009F3CD8"/>
    <w:rsid w:val="009F5012"/>
    <w:rsid w:val="009F55E9"/>
    <w:rsid w:val="009F6C3F"/>
    <w:rsid w:val="009F7EA3"/>
    <w:rsid w:val="00A0044A"/>
    <w:rsid w:val="00A00D67"/>
    <w:rsid w:val="00A01F0F"/>
    <w:rsid w:val="00A020F3"/>
    <w:rsid w:val="00A02643"/>
    <w:rsid w:val="00A05108"/>
    <w:rsid w:val="00A0595E"/>
    <w:rsid w:val="00A06582"/>
    <w:rsid w:val="00A06AC0"/>
    <w:rsid w:val="00A072EA"/>
    <w:rsid w:val="00A075E5"/>
    <w:rsid w:val="00A07CA8"/>
    <w:rsid w:val="00A10738"/>
    <w:rsid w:val="00A10B81"/>
    <w:rsid w:val="00A11458"/>
    <w:rsid w:val="00A11786"/>
    <w:rsid w:val="00A11D31"/>
    <w:rsid w:val="00A132A0"/>
    <w:rsid w:val="00A14756"/>
    <w:rsid w:val="00A14A1D"/>
    <w:rsid w:val="00A1527D"/>
    <w:rsid w:val="00A20A97"/>
    <w:rsid w:val="00A2142D"/>
    <w:rsid w:val="00A24064"/>
    <w:rsid w:val="00A263B0"/>
    <w:rsid w:val="00A2656A"/>
    <w:rsid w:val="00A2685E"/>
    <w:rsid w:val="00A268CC"/>
    <w:rsid w:val="00A30A60"/>
    <w:rsid w:val="00A30C7F"/>
    <w:rsid w:val="00A31F01"/>
    <w:rsid w:val="00A321B0"/>
    <w:rsid w:val="00A33567"/>
    <w:rsid w:val="00A36B0C"/>
    <w:rsid w:val="00A37B9C"/>
    <w:rsid w:val="00A41418"/>
    <w:rsid w:val="00A4164D"/>
    <w:rsid w:val="00A417C5"/>
    <w:rsid w:val="00A41949"/>
    <w:rsid w:val="00A41C7E"/>
    <w:rsid w:val="00A41F2E"/>
    <w:rsid w:val="00A4243A"/>
    <w:rsid w:val="00A43501"/>
    <w:rsid w:val="00A43800"/>
    <w:rsid w:val="00A455E8"/>
    <w:rsid w:val="00A474BC"/>
    <w:rsid w:val="00A50504"/>
    <w:rsid w:val="00A50BF6"/>
    <w:rsid w:val="00A51F63"/>
    <w:rsid w:val="00A52A0A"/>
    <w:rsid w:val="00A53D5E"/>
    <w:rsid w:val="00A54006"/>
    <w:rsid w:val="00A547D1"/>
    <w:rsid w:val="00A55070"/>
    <w:rsid w:val="00A56B84"/>
    <w:rsid w:val="00A57551"/>
    <w:rsid w:val="00A6080F"/>
    <w:rsid w:val="00A60FD1"/>
    <w:rsid w:val="00A6112B"/>
    <w:rsid w:val="00A6187E"/>
    <w:rsid w:val="00A61E36"/>
    <w:rsid w:val="00A63421"/>
    <w:rsid w:val="00A63802"/>
    <w:rsid w:val="00A647D0"/>
    <w:rsid w:val="00A6685D"/>
    <w:rsid w:val="00A66980"/>
    <w:rsid w:val="00A677F3"/>
    <w:rsid w:val="00A7092F"/>
    <w:rsid w:val="00A70EBC"/>
    <w:rsid w:val="00A7184E"/>
    <w:rsid w:val="00A718D8"/>
    <w:rsid w:val="00A71BAD"/>
    <w:rsid w:val="00A72FD1"/>
    <w:rsid w:val="00A76C85"/>
    <w:rsid w:val="00A77488"/>
    <w:rsid w:val="00A811BD"/>
    <w:rsid w:val="00A8185A"/>
    <w:rsid w:val="00A820FC"/>
    <w:rsid w:val="00A8297A"/>
    <w:rsid w:val="00A83FB6"/>
    <w:rsid w:val="00A86EB5"/>
    <w:rsid w:val="00A90B2C"/>
    <w:rsid w:val="00A91558"/>
    <w:rsid w:val="00A9246E"/>
    <w:rsid w:val="00A924B2"/>
    <w:rsid w:val="00A92F90"/>
    <w:rsid w:val="00A92F9C"/>
    <w:rsid w:val="00A93CA6"/>
    <w:rsid w:val="00A9525F"/>
    <w:rsid w:val="00A95ACA"/>
    <w:rsid w:val="00A96AA0"/>
    <w:rsid w:val="00A970A9"/>
    <w:rsid w:val="00AA0159"/>
    <w:rsid w:val="00AA090C"/>
    <w:rsid w:val="00AA2089"/>
    <w:rsid w:val="00AA3375"/>
    <w:rsid w:val="00AA3A47"/>
    <w:rsid w:val="00AA5231"/>
    <w:rsid w:val="00AA628E"/>
    <w:rsid w:val="00AA6297"/>
    <w:rsid w:val="00AA7C89"/>
    <w:rsid w:val="00AB0157"/>
    <w:rsid w:val="00AB0225"/>
    <w:rsid w:val="00AB0E18"/>
    <w:rsid w:val="00AB2E5E"/>
    <w:rsid w:val="00AB4066"/>
    <w:rsid w:val="00AB5110"/>
    <w:rsid w:val="00AB51FE"/>
    <w:rsid w:val="00AB54F2"/>
    <w:rsid w:val="00AB560F"/>
    <w:rsid w:val="00AB7018"/>
    <w:rsid w:val="00AB789C"/>
    <w:rsid w:val="00AB7B13"/>
    <w:rsid w:val="00AC0283"/>
    <w:rsid w:val="00AC1760"/>
    <w:rsid w:val="00AC210F"/>
    <w:rsid w:val="00AC3A80"/>
    <w:rsid w:val="00AC4682"/>
    <w:rsid w:val="00AC4AC4"/>
    <w:rsid w:val="00AC5624"/>
    <w:rsid w:val="00AC59B9"/>
    <w:rsid w:val="00AC5B7B"/>
    <w:rsid w:val="00AC5E29"/>
    <w:rsid w:val="00AC7499"/>
    <w:rsid w:val="00AD0CF6"/>
    <w:rsid w:val="00AD1D5B"/>
    <w:rsid w:val="00AD1EC6"/>
    <w:rsid w:val="00AD3FAD"/>
    <w:rsid w:val="00AD49FA"/>
    <w:rsid w:val="00AD4F0E"/>
    <w:rsid w:val="00AE012D"/>
    <w:rsid w:val="00AE10CE"/>
    <w:rsid w:val="00AE1787"/>
    <w:rsid w:val="00AE34FD"/>
    <w:rsid w:val="00AE459E"/>
    <w:rsid w:val="00AE58F2"/>
    <w:rsid w:val="00AE64BB"/>
    <w:rsid w:val="00AE651D"/>
    <w:rsid w:val="00AF00F0"/>
    <w:rsid w:val="00AF05EC"/>
    <w:rsid w:val="00AF3ACC"/>
    <w:rsid w:val="00AF4560"/>
    <w:rsid w:val="00AF4BA5"/>
    <w:rsid w:val="00AF5F04"/>
    <w:rsid w:val="00AF5FB1"/>
    <w:rsid w:val="00AF613B"/>
    <w:rsid w:val="00B04800"/>
    <w:rsid w:val="00B05F95"/>
    <w:rsid w:val="00B064C7"/>
    <w:rsid w:val="00B06800"/>
    <w:rsid w:val="00B0717A"/>
    <w:rsid w:val="00B10468"/>
    <w:rsid w:val="00B1276E"/>
    <w:rsid w:val="00B12C2C"/>
    <w:rsid w:val="00B12EE9"/>
    <w:rsid w:val="00B13151"/>
    <w:rsid w:val="00B137C7"/>
    <w:rsid w:val="00B1405B"/>
    <w:rsid w:val="00B1444C"/>
    <w:rsid w:val="00B14BF2"/>
    <w:rsid w:val="00B17371"/>
    <w:rsid w:val="00B17B29"/>
    <w:rsid w:val="00B20510"/>
    <w:rsid w:val="00B20E32"/>
    <w:rsid w:val="00B22565"/>
    <w:rsid w:val="00B2408C"/>
    <w:rsid w:val="00B2506A"/>
    <w:rsid w:val="00B25300"/>
    <w:rsid w:val="00B26E56"/>
    <w:rsid w:val="00B26F08"/>
    <w:rsid w:val="00B27AA4"/>
    <w:rsid w:val="00B30D5A"/>
    <w:rsid w:val="00B32718"/>
    <w:rsid w:val="00B33EDD"/>
    <w:rsid w:val="00B34775"/>
    <w:rsid w:val="00B364D8"/>
    <w:rsid w:val="00B36F09"/>
    <w:rsid w:val="00B37457"/>
    <w:rsid w:val="00B40C0F"/>
    <w:rsid w:val="00B41195"/>
    <w:rsid w:val="00B41AD3"/>
    <w:rsid w:val="00B4288A"/>
    <w:rsid w:val="00B42A99"/>
    <w:rsid w:val="00B42CD2"/>
    <w:rsid w:val="00B43AFF"/>
    <w:rsid w:val="00B43F85"/>
    <w:rsid w:val="00B44C0E"/>
    <w:rsid w:val="00B461B2"/>
    <w:rsid w:val="00B47AEA"/>
    <w:rsid w:val="00B47B5C"/>
    <w:rsid w:val="00B5050F"/>
    <w:rsid w:val="00B5181F"/>
    <w:rsid w:val="00B521AC"/>
    <w:rsid w:val="00B52A53"/>
    <w:rsid w:val="00B53A14"/>
    <w:rsid w:val="00B53AA3"/>
    <w:rsid w:val="00B57454"/>
    <w:rsid w:val="00B5754A"/>
    <w:rsid w:val="00B57F0A"/>
    <w:rsid w:val="00B60713"/>
    <w:rsid w:val="00B60EDC"/>
    <w:rsid w:val="00B62D58"/>
    <w:rsid w:val="00B6420C"/>
    <w:rsid w:val="00B64250"/>
    <w:rsid w:val="00B644D8"/>
    <w:rsid w:val="00B64DD5"/>
    <w:rsid w:val="00B661A6"/>
    <w:rsid w:val="00B66FF9"/>
    <w:rsid w:val="00B6710D"/>
    <w:rsid w:val="00B6729C"/>
    <w:rsid w:val="00B67757"/>
    <w:rsid w:val="00B67E99"/>
    <w:rsid w:val="00B7014D"/>
    <w:rsid w:val="00B7227B"/>
    <w:rsid w:val="00B73ADC"/>
    <w:rsid w:val="00B74D45"/>
    <w:rsid w:val="00B76ECB"/>
    <w:rsid w:val="00B77509"/>
    <w:rsid w:val="00B77AA1"/>
    <w:rsid w:val="00B81326"/>
    <w:rsid w:val="00B817C6"/>
    <w:rsid w:val="00B8180F"/>
    <w:rsid w:val="00B82960"/>
    <w:rsid w:val="00B829A3"/>
    <w:rsid w:val="00B831A3"/>
    <w:rsid w:val="00B840DB"/>
    <w:rsid w:val="00B866FF"/>
    <w:rsid w:val="00B90035"/>
    <w:rsid w:val="00B905E1"/>
    <w:rsid w:val="00B905ED"/>
    <w:rsid w:val="00B90E8E"/>
    <w:rsid w:val="00B91204"/>
    <w:rsid w:val="00B91AFC"/>
    <w:rsid w:val="00B91D56"/>
    <w:rsid w:val="00B950E5"/>
    <w:rsid w:val="00B956DF"/>
    <w:rsid w:val="00B957E6"/>
    <w:rsid w:val="00B965E6"/>
    <w:rsid w:val="00BA0787"/>
    <w:rsid w:val="00BA094E"/>
    <w:rsid w:val="00BA28E0"/>
    <w:rsid w:val="00BA298E"/>
    <w:rsid w:val="00BA3F88"/>
    <w:rsid w:val="00BA4188"/>
    <w:rsid w:val="00BA444B"/>
    <w:rsid w:val="00BA47A0"/>
    <w:rsid w:val="00BA4934"/>
    <w:rsid w:val="00BA5425"/>
    <w:rsid w:val="00BA6DB5"/>
    <w:rsid w:val="00BA7810"/>
    <w:rsid w:val="00BB17AA"/>
    <w:rsid w:val="00BB1920"/>
    <w:rsid w:val="00BB20F7"/>
    <w:rsid w:val="00BB291E"/>
    <w:rsid w:val="00BB44D9"/>
    <w:rsid w:val="00BB65D2"/>
    <w:rsid w:val="00BB7CB1"/>
    <w:rsid w:val="00BC1246"/>
    <w:rsid w:val="00BC1564"/>
    <w:rsid w:val="00BC2360"/>
    <w:rsid w:val="00BC3332"/>
    <w:rsid w:val="00BC3BC0"/>
    <w:rsid w:val="00BC4569"/>
    <w:rsid w:val="00BC55B5"/>
    <w:rsid w:val="00BD0273"/>
    <w:rsid w:val="00BD13B5"/>
    <w:rsid w:val="00BD2603"/>
    <w:rsid w:val="00BD26EA"/>
    <w:rsid w:val="00BD2FF8"/>
    <w:rsid w:val="00BD4260"/>
    <w:rsid w:val="00BD4DED"/>
    <w:rsid w:val="00BD58A3"/>
    <w:rsid w:val="00BD62C8"/>
    <w:rsid w:val="00BD7375"/>
    <w:rsid w:val="00BD79EF"/>
    <w:rsid w:val="00BE00FD"/>
    <w:rsid w:val="00BE20B7"/>
    <w:rsid w:val="00BE21B9"/>
    <w:rsid w:val="00BE46D7"/>
    <w:rsid w:val="00BE47CB"/>
    <w:rsid w:val="00BE5A9A"/>
    <w:rsid w:val="00BE72D6"/>
    <w:rsid w:val="00BE7D59"/>
    <w:rsid w:val="00BF0CFC"/>
    <w:rsid w:val="00BF11DB"/>
    <w:rsid w:val="00BF1686"/>
    <w:rsid w:val="00BF16E5"/>
    <w:rsid w:val="00BF24A5"/>
    <w:rsid w:val="00BF324F"/>
    <w:rsid w:val="00BF34E3"/>
    <w:rsid w:val="00BF38BE"/>
    <w:rsid w:val="00BF4D55"/>
    <w:rsid w:val="00BF4D9D"/>
    <w:rsid w:val="00BF4F39"/>
    <w:rsid w:val="00BF69DC"/>
    <w:rsid w:val="00BF6A60"/>
    <w:rsid w:val="00BF7077"/>
    <w:rsid w:val="00BF757D"/>
    <w:rsid w:val="00C00BFD"/>
    <w:rsid w:val="00C01214"/>
    <w:rsid w:val="00C01B84"/>
    <w:rsid w:val="00C03A6F"/>
    <w:rsid w:val="00C04136"/>
    <w:rsid w:val="00C043AF"/>
    <w:rsid w:val="00C05043"/>
    <w:rsid w:val="00C0556E"/>
    <w:rsid w:val="00C070AB"/>
    <w:rsid w:val="00C077B8"/>
    <w:rsid w:val="00C07FD7"/>
    <w:rsid w:val="00C10C94"/>
    <w:rsid w:val="00C10FBA"/>
    <w:rsid w:val="00C11BB1"/>
    <w:rsid w:val="00C1231F"/>
    <w:rsid w:val="00C13617"/>
    <w:rsid w:val="00C14AC3"/>
    <w:rsid w:val="00C15168"/>
    <w:rsid w:val="00C15D85"/>
    <w:rsid w:val="00C17AAA"/>
    <w:rsid w:val="00C21AD3"/>
    <w:rsid w:val="00C229BD"/>
    <w:rsid w:val="00C22B0A"/>
    <w:rsid w:val="00C23660"/>
    <w:rsid w:val="00C2386B"/>
    <w:rsid w:val="00C24C4C"/>
    <w:rsid w:val="00C2529E"/>
    <w:rsid w:val="00C26309"/>
    <w:rsid w:val="00C263AC"/>
    <w:rsid w:val="00C32B81"/>
    <w:rsid w:val="00C34A75"/>
    <w:rsid w:val="00C35585"/>
    <w:rsid w:val="00C36863"/>
    <w:rsid w:val="00C36F1E"/>
    <w:rsid w:val="00C40A1C"/>
    <w:rsid w:val="00C4106C"/>
    <w:rsid w:val="00C41F6B"/>
    <w:rsid w:val="00C42D26"/>
    <w:rsid w:val="00C44471"/>
    <w:rsid w:val="00C45112"/>
    <w:rsid w:val="00C46977"/>
    <w:rsid w:val="00C473E2"/>
    <w:rsid w:val="00C47D65"/>
    <w:rsid w:val="00C50FA7"/>
    <w:rsid w:val="00C51A00"/>
    <w:rsid w:val="00C52B97"/>
    <w:rsid w:val="00C55EF0"/>
    <w:rsid w:val="00C575E2"/>
    <w:rsid w:val="00C57D3F"/>
    <w:rsid w:val="00C6068E"/>
    <w:rsid w:val="00C6246D"/>
    <w:rsid w:val="00C64124"/>
    <w:rsid w:val="00C64509"/>
    <w:rsid w:val="00C65579"/>
    <w:rsid w:val="00C65C54"/>
    <w:rsid w:val="00C67DA5"/>
    <w:rsid w:val="00C7017E"/>
    <w:rsid w:val="00C70ECD"/>
    <w:rsid w:val="00C74080"/>
    <w:rsid w:val="00C742C0"/>
    <w:rsid w:val="00C75AD2"/>
    <w:rsid w:val="00C769EF"/>
    <w:rsid w:val="00C770CD"/>
    <w:rsid w:val="00C771CD"/>
    <w:rsid w:val="00C77981"/>
    <w:rsid w:val="00C77DD9"/>
    <w:rsid w:val="00C80CFD"/>
    <w:rsid w:val="00C813EC"/>
    <w:rsid w:val="00C81D31"/>
    <w:rsid w:val="00C82178"/>
    <w:rsid w:val="00C836F9"/>
    <w:rsid w:val="00C8373B"/>
    <w:rsid w:val="00C84438"/>
    <w:rsid w:val="00C852DC"/>
    <w:rsid w:val="00C85CC6"/>
    <w:rsid w:val="00C86CCF"/>
    <w:rsid w:val="00C873F8"/>
    <w:rsid w:val="00C9058A"/>
    <w:rsid w:val="00C905E1"/>
    <w:rsid w:val="00C90E17"/>
    <w:rsid w:val="00C925AC"/>
    <w:rsid w:val="00C94159"/>
    <w:rsid w:val="00C95CA4"/>
    <w:rsid w:val="00C975C7"/>
    <w:rsid w:val="00CA0BD8"/>
    <w:rsid w:val="00CA0EF9"/>
    <w:rsid w:val="00CA25E0"/>
    <w:rsid w:val="00CA414A"/>
    <w:rsid w:val="00CA604A"/>
    <w:rsid w:val="00CA6B25"/>
    <w:rsid w:val="00CA724A"/>
    <w:rsid w:val="00CA7BC7"/>
    <w:rsid w:val="00CB02D3"/>
    <w:rsid w:val="00CB0B6B"/>
    <w:rsid w:val="00CB0BAB"/>
    <w:rsid w:val="00CB0BFA"/>
    <w:rsid w:val="00CB1CD7"/>
    <w:rsid w:val="00CB3453"/>
    <w:rsid w:val="00CB3C7F"/>
    <w:rsid w:val="00CB4413"/>
    <w:rsid w:val="00CB781F"/>
    <w:rsid w:val="00CB7AF5"/>
    <w:rsid w:val="00CB7EB1"/>
    <w:rsid w:val="00CC07FE"/>
    <w:rsid w:val="00CC14D7"/>
    <w:rsid w:val="00CC1D2A"/>
    <w:rsid w:val="00CC1FB4"/>
    <w:rsid w:val="00CC2B39"/>
    <w:rsid w:val="00CC3322"/>
    <w:rsid w:val="00CC3CCA"/>
    <w:rsid w:val="00CC4CC2"/>
    <w:rsid w:val="00CC5584"/>
    <w:rsid w:val="00CC60E3"/>
    <w:rsid w:val="00CC7838"/>
    <w:rsid w:val="00CD0247"/>
    <w:rsid w:val="00CD0434"/>
    <w:rsid w:val="00CD047A"/>
    <w:rsid w:val="00CD1A6E"/>
    <w:rsid w:val="00CD1F48"/>
    <w:rsid w:val="00CD2445"/>
    <w:rsid w:val="00CD25EA"/>
    <w:rsid w:val="00CD26D9"/>
    <w:rsid w:val="00CD43D8"/>
    <w:rsid w:val="00CD4986"/>
    <w:rsid w:val="00CD5FDA"/>
    <w:rsid w:val="00CD65D7"/>
    <w:rsid w:val="00CE0772"/>
    <w:rsid w:val="00CE1414"/>
    <w:rsid w:val="00CE18A4"/>
    <w:rsid w:val="00CE33C8"/>
    <w:rsid w:val="00CE4C5B"/>
    <w:rsid w:val="00CE57C6"/>
    <w:rsid w:val="00CF2648"/>
    <w:rsid w:val="00CF420D"/>
    <w:rsid w:val="00CF47DA"/>
    <w:rsid w:val="00CF4DEC"/>
    <w:rsid w:val="00CF6C73"/>
    <w:rsid w:val="00CF70CF"/>
    <w:rsid w:val="00CF720C"/>
    <w:rsid w:val="00CF7479"/>
    <w:rsid w:val="00D019F5"/>
    <w:rsid w:val="00D0519B"/>
    <w:rsid w:val="00D07B69"/>
    <w:rsid w:val="00D10A79"/>
    <w:rsid w:val="00D10B9E"/>
    <w:rsid w:val="00D1233F"/>
    <w:rsid w:val="00D1327C"/>
    <w:rsid w:val="00D134B7"/>
    <w:rsid w:val="00D14BEA"/>
    <w:rsid w:val="00D14F0B"/>
    <w:rsid w:val="00D150B0"/>
    <w:rsid w:val="00D15A15"/>
    <w:rsid w:val="00D1708C"/>
    <w:rsid w:val="00D178F8"/>
    <w:rsid w:val="00D17AA5"/>
    <w:rsid w:val="00D2082A"/>
    <w:rsid w:val="00D21B9E"/>
    <w:rsid w:val="00D2237E"/>
    <w:rsid w:val="00D2363A"/>
    <w:rsid w:val="00D237C3"/>
    <w:rsid w:val="00D23FB2"/>
    <w:rsid w:val="00D247CC"/>
    <w:rsid w:val="00D24C5C"/>
    <w:rsid w:val="00D25112"/>
    <w:rsid w:val="00D30333"/>
    <w:rsid w:val="00D31B99"/>
    <w:rsid w:val="00D31DEB"/>
    <w:rsid w:val="00D35295"/>
    <w:rsid w:val="00D35815"/>
    <w:rsid w:val="00D37850"/>
    <w:rsid w:val="00D40387"/>
    <w:rsid w:val="00D4278C"/>
    <w:rsid w:val="00D44362"/>
    <w:rsid w:val="00D47165"/>
    <w:rsid w:val="00D50DDE"/>
    <w:rsid w:val="00D513E0"/>
    <w:rsid w:val="00D53939"/>
    <w:rsid w:val="00D53A69"/>
    <w:rsid w:val="00D53B64"/>
    <w:rsid w:val="00D53F4C"/>
    <w:rsid w:val="00D54CF3"/>
    <w:rsid w:val="00D556F1"/>
    <w:rsid w:val="00D55B5C"/>
    <w:rsid w:val="00D55B90"/>
    <w:rsid w:val="00D566D0"/>
    <w:rsid w:val="00D570AE"/>
    <w:rsid w:val="00D57A57"/>
    <w:rsid w:val="00D6051A"/>
    <w:rsid w:val="00D60F1C"/>
    <w:rsid w:val="00D61528"/>
    <w:rsid w:val="00D6167F"/>
    <w:rsid w:val="00D620B5"/>
    <w:rsid w:val="00D63CB1"/>
    <w:rsid w:val="00D6499F"/>
    <w:rsid w:val="00D673A8"/>
    <w:rsid w:val="00D678CE"/>
    <w:rsid w:val="00D703A9"/>
    <w:rsid w:val="00D70C06"/>
    <w:rsid w:val="00D7160E"/>
    <w:rsid w:val="00D71836"/>
    <w:rsid w:val="00D71A7E"/>
    <w:rsid w:val="00D71D32"/>
    <w:rsid w:val="00D71DF1"/>
    <w:rsid w:val="00D72288"/>
    <w:rsid w:val="00D7314C"/>
    <w:rsid w:val="00D735E5"/>
    <w:rsid w:val="00D73E93"/>
    <w:rsid w:val="00D74148"/>
    <w:rsid w:val="00D74F43"/>
    <w:rsid w:val="00D771AB"/>
    <w:rsid w:val="00D77922"/>
    <w:rsid w:val="00D77B3B"/>
    <w:rsid w:val="00D80AF2"/>
    <w:rsid w:val="00D83381"/>
    <w:rsid w:val="00D839F8"/>
    <w:rsid w:val="00D83C75"/>
    <w:rsid w:val="00D85841"/>
    <w:rsid w:val="00D858C0"/>
    <w:rsid w:val="00D8664B"/>
    <w:rsid w:val="00D90A46"/>
    <w:rsid w:val="00D91CE8"/>
    <w:rsid w:val="00D91FE8"/>
    <w:rsid w:val="00D92042"/>
    <w:rsid w:val="00D92B0A"/>
    <w:rsid w:val="00D92F49"/>
    <w:rsid w:val="00D93ABD"/>
    <w:rsid w:val="00D94A75"/>
    <w:rsid w:val="00D9507C"/>
    <w:rsid w:val="00D951D0"/>
    <w:rsid w:val="00D96735"/>
    <w:rsid w:val="00D976F0"/>
    <w:rsid w:val="00D9799E"/>
    <w:rsid w:val="00DA03F4"/>
    <w:rsid w:val="00DA16EB"/>
    <w:rsid w:val="00DA25F2"/>
    <w:rsid w:val="00DA2633"/>
    <w:rsid w:val="00DA27F1"/>
    <w:rsid w:val="00DA2B34"/>
    <w:rsid w:val="00DA3A22"/>
    <w:rsid w:val="00DA6A8D"/>
    <w:rsid w:val="00DA6FA0"/>
    <w:rsid w:val="00DB0329"/>
    <w:rsid w:val="00DB03CD"/>
    <w:rsid w:val="00DB0B1A"/>
    <w:rsid w:val="00DB28DC"/>
    <w:rsid w:val="00DB3733"/>
    <w:rsid w:val="00DB3FC3"/>
    <w:rsid w:val="00DB564E"/>
    <w:rsid w:val="00DB5CDD"/>
    <w:rsid w:val="00DB74AC"/>
    <w:rsid w:val="00DC282F"/>
    <w:rsid w:val="00DC294B"/>
    <w:rsid w:val="00DC2C6D"/>
    <w:rsid w:val="00DC4233"/>
    <w:rsid w:val="00DC446F"/>
    <w:rsid w:val="00DC44D2"/>
    <w:rsid w:val="00DC4A03"/>
    <w:rsid w:val="00DC4A56"/>
    <w:rsid w:val="00DC6E66"/>
    <w:rsid w:val="00DC7395"/>
    <w:rsid w:val="00DC7A90"/>
    <w:rsid w:val="00DD2623"/>
    <w:rsid w:val="00DD2B45"/>
    <w:rsid w:val="00DD3D99"/>
    <w:rsid w:val="00DD52D3"/>
    <w:rsid w:val="00DD757C"/>
    <w:rsid w:val="00DE02D5"/>
    <w:rsid w:val="00DE056E"/>
    <w:rsid w:val="00DE25C6"/>
    <w:rsid w:val="00DE40D8"/>
    <w:rsid w:val="00DE484E"/>
    <w:rsid w:val="00DE589E"/>
    <w:rsid w:val="00DE7B98"/>
    <w:rsid w:val="00DF09D8"/>
    <w:rsid w:val="00DF2264"/>
    <w:rsid w:val="00DF2FF8"/>
    <w:rsid w:val="00DF3328"/>
    <w:rsid w:val="00DF41D8"/>
    <w:rsid w:val="00DF4D6C"/>
    <w:rsid w:val="00DF5253"/>
    <w:rsid w:val="00DF55D9"/>
    <w:rsid w:val="00DF6514"/>
    <w:rsid w:val="00DF6D9E"/>
    <w:rsid w:val="00DF75BC"/>
    <w:rsid w:val="00E00DC9"/>
    <w:rsid w:val="00E01216"/>
    <w:rsid w:val="00E01E01"/>
    <w:rsid w:val="00E02218"/>
    <w:rsid w:val="00E02CCC"/>
    <w:rsid w:val="00E03A57"/>
    <w:rsid w:val="00E050FA"/>
    <w:rsid w:val="00E052F7"/>
    <w:rsid w:val="00E05CC9"/>
    <w:rsid w:val="00E0651E"/>
    <w:rsid w:val="00E06532"/>
    <w:rsid w:val="00E07023"/>
    <w:rsid w:val="00E10520"/>
    <w:rsid w:val="00E1063E"/>
    <w:rsid w:val="00E107A2"/>
    <w:rsid w:val="00E114C2"/>
    <w:rsid w:val="00E11E49"/>
    <w:rsid w:val="00E11F58"/>
    <w:rsid w:val="00E13835"/>
    <w:rsid w:val="00E13E00"/>
    <w:rsid w:val="00E173CC"/>
    <w:rsid w:val="00E2093A"/>
    <w:rsid w:val="00E2205C"/>
    <w:rsid w:val="00E22A6B"/>
    <w:rsid w:val="00E234B0"/>
    <w:rsid w:val="00E25019"/>
    <w:rsid w:val="00E27C52"/>
    <w:rsid w:val="00E30E78"/>
    <w:rsid w:val="00E30F89"/>
    <w:rsid w:val="00E3102B"/>
    <w:rsid w:val="00E315B7"/>
    <w:rsid w:val="00E31C16"/>
    <w:rsid w:val="00E32F3A"/>
    <w:rsid w:val="00E34009"/>
    <w:rsid w:val="00E3450E"/>
    <w:rsid w:val="00E3521E"/>
    <w:rsid w:val="00E3545E"/>
    <w:rsid w:val="00E35D00"/>
    <w:rsid w:val="00E362E6"/>
    <w:rsid w:val="00E3645B"/>
    <w:rsid w:val="00E37E9C"/>
    <w:rsid w:val="00E40548"/>
    <w:rsid w:val="00E40FE7"/>
    <w:rsid w:val="00E41012"/>
    <w:rsid w:val="00E423AE"/>
    <w:rsid w:val="00E4264E"/>
    <w:rsid w:val="00E42CF9"/>
    <w:rsid w:val="00E432BE"/>
    <w:rsid w:val="00E4416B"/>
    <w:rsid w:val="00E441C7"/>
    <w:rsid w:val="00E44A10"/>
    <w:rsid w:val="00E44A95"/>
    <w:rsid w:val="00E460F2"/>
    <w:rsid w:val="00E505B0"/>
    <w:rsid w:val="00E52168"/>
    <w:rsid w:val="00E52F40"/>
    <w:rsid w:val="00E53906"/>
    <w:rsid w:val="00E53F51"/>
    <w:rsid w:val="00E5448B"/>
    <w:rsid w:val="00E54F1B"/>
    <w:rsid w:val="00E55CD0"/>
    <w:rsid w:val="00E568F0"/>
    <w:rsid w:val="00E56BA3"/>
    <w:rsid w:val="00E5723F"/>
    <w:rsid w:val="00E57279"/>
    <w:rsid w:val="00E617C4"/>
    <w:rsid w:val="00E640FD"/>
    <w:rsid w:val="00E654D8"/>
    <w:rsid w:val="00E6619D"/>
    <w:rsid w:val="00E66F0C"/>
    <w:rsid w:val="00E71EA6"/>
    <w:rsid w:val="00E72CC1"/>
    <w:rsid w:val="00E73DAF"/>
    <w:rsid w:val="00E7524C"/>
    <w:rsid w:val="00E752B4"/>
    <w:rsid w:val="00E75634"/>
    <w:rsid w:val="00E76CB6"/>
    <w:rsid w:val="00E76E4A"/>
    <w:rsid w:val="00E77A96"/>
    <w:rsid w:val="00E810BF"/>
    <w:rsid w:val="00E815AD"/>
    <w:rsid w:val="00E81925"/>
    <w:rsid w:val="00E825F2"/>
    <w:rsid w:val="00E82C24"/>
    <w:rsid w:val="00E82DA6"/>
    <w:rsid w:val="00E84D96"/>
    <w:rsid w:val="00E851C1"/>
    <w:rsid w:val="00E85360"/>
    <w:rsid w:val="00E85772"/>
    <w:rsid w:val="00E872FD"/>
    <w:rsid w:val="00E87BEF"/>
    <w:rsid w:val="00E91FFF"/>
    <w:rsid w:val="00E9316E"/>
    <w:rsid w:val="00E9334A"/>
    <w:rsid w:val="00E96DB8"/>
    <w:rsid w:val="00E97262"/>
    <w:rsid w:val="00E973C9"/>
    <w:rsid w:val="00EA08F4"/>
    <w:rsid w:val="00EA0CE9"/>
    <w:rsid w:val="00EA0ECA"/>
    <w:rsid w:val="00EA15B3"/>
    <w:rsid w:val="00EA3A49"/>
    <w:rsid w:val="00EA46C3"/>
    <w:rsid w:val="00EA5D03"/>
    <w:rsid w:val="00EA64AE"/>
    <w:rsid w:val="00EA6D65"/>
    <w:rsid w:val="00EA6EEA"/>
    <w:rsid w:val="00EB05C5"/>
    <w:rsid w:val="00EB1EF9"/>
    <w:rsid w:val="00EB1F01"/>
    <w:rsid w:val="00EB1F18"/>
    <w:rsid w:val="00EB29F5"/>
    <w:rsid w:val="00EB2F2D"/>
    <w:rsid w:val="00EB3D5C"/>
    <w:rsid w:val="00EB48E0"/>
    <w:rsid w:val="00EB5581"/>
    <w:rsid w:val="00EB592D"/>
    <w:rsid w:val="00EB709F"/>
    <w:rsid w:val="00EB7290"/>
    <w:rsid w:val="00EB7517"/>
    <w:rsid w:val="00EC07E1"/>
    <w:rsid w:val="00EC149A"/>
    <w:rsid w:val="00EC3EAC"/>
    <w:rsid w:val="00EC4133"/>
    <w:rsid w:val="00EC4B6B"/>
    <w:rsid w:val="00EC4E8B"/>
    <w:rsid w:val="00EC560A"/>
    <w:rsid w:val="00EC6189"/>
    <w:rsid w:val="00EC6F0C"/>
    <w:rsid w:val="00EC7CC9"/>
    <w:rsid w:val="00ED0601"/>
    <w:rsid w:val="00ED2800"/>
    <w:rsid w:val="00ED4385"/>
    <w:rsid w:val="00EE2124"/>
    <w:rsid w:val="00EE21C8"/>
    <w:rsid w:val="00EE4260"/>
    <w:rsid w:val="00EE4CE2"/>
    <w:rsid w:val="00EE6B93"/>
    <w:rsid w:val="00EE7486"/>
    <w:rsid w:val="00EE7570"/>
    <w:rsid w:val="00EF04E8"/>
    <w:rsid w:val="00EF18CB"/>
    <w:rsid w:val="00EF19E3"/>
    <w:rsid w:val="00EF1F14"/>
    <w:rsid w:val="00EF5791"/>
    <w:rsid w:val="00EF581F"/>
    <w:rsid w:val="00EF64C7"/>
    <w:rsid w:val="00F00BB0"/>
    <w:rsid w:val="00F03DEA"/>
    <w:rsid w:val="00F0458A"/>
    <w:rsid w:val="00F045DB"/>
    <w:rsid w:val="00F04C21"/>
    <w:rsid w:val="00F052B8"/>
    <w:rsid w:val="00F0652A"/>
    <w:rsid w:val="00F066C2"/>
    <w:rsid w:val="00F06C39"/>
    <w:rsid w:val="00F1141F"/>
    <w:rsid w:val="00F114DA"/>
    <w:rsid w:val="00F13B2C"/>
    <w:rsid w:val="00F1456A"/>
    <w:rsid w:val="00F1589C"/>
    <w:rsid w:val="00F20271"/>
    <w:rsid w:val="00F21214"/>
    <w:rsid w:val="00F219C2"/>
    <w:rsid w:val="00F2237A"/>
    <w:rsid w:val="00F243E4"/>
    <w:rsid w:val="00F249A8"/>
    <w:rsid w:val="00F24EC2"/>
    <w:rsid w:val="00F252D9"/>
    <w:rsid w:val="00F2531E"/>
    <w:rsid w:val="00F25847"/>
    <w:rsid w:val="00F30850"/>
    <w:rsid w:val="00F313F9"/>
    <w:rsid w:val="00F31755"/>
    <w:rsid w:val="00F324B5"/>
    <w:rsid w:val="00F3268A"/>
    <w:rsid w:val="00F327E1"/>
    <w:rsid w:val="00F32F09"/>
    <w:rsid w:val="00F3376A"/>
    <w:rsid w:val="00F33F7C"/>
    <w:rsid w:val="00F34A78"/>
    <w:rsid w:val="00F351F7"/>
    <w:rsid w:val="00F353B5"/>
    <w:rsid w:val="00F356D2"/>
    <w:rsid w:val="00F3718A"/>
    <w:rsid w:val="00F37AB8"/>
    <w:rsid w:val="00F37E6D"/>
    <w:rsid w:val="00F4132F"/>
    <w:rsid w:val="00F41DA8"/>
    <w:rsid w:val="00F43706"/>
    <w:rsid w:val="00F4374B"/>
    <w:rsid w:val="00F43ABB"/>
    <w:rsid w:val="00F44A68"/>
    <w:rsid w:val="00F44BD0"/>
    <w:rsid w:val="00F46270"/>
    <w:rsid w:val="00F46482"/>
    <w:rsid w:val="00F4717C"/>
    <w:rsid w:val="00F47B1C"/>
    <w:rsid w:val="00F47D15"/>
    <w:rsid w:val="00F5019A"/>
    <w:rsid w:val="00F50397"/>
    <w:rsid w:val="00F50A78"/>
    <w:rsid w:val="00F51E3C"/>
    <w:rsid w:val="00F52B2B"/>
    <w:rsid w:val="00F52FDD"/>
    <w:rsid w:val="00F53434"/>
    <w:rsid w:val="00F5432D"/>
    <w:rsid w:val="00F56EAC"/>
    <w:rsid w:val="00F57E18"/>
    <w:rsid w:val="00F60196"/>
    <w:rsid w:val="00F61D4E"/>
    <w:rsid w:val="00F641DD"/>
    <w:rsid w:val="00F64931"/>
    <w:rsid w:val="00F64C96"/>
    <w:rsid w:val="00F6546F"/>
    <w:rsid w:val="00F669B1"/>
    <w:rsid w:val="00F70084"/>
    <w:rsid w:val="00F7070C"/>
    <w:rsid w:val="00F70A0E"/>
    <w:rsid w:val="00F7312B"/>
    <w:rsid w:val="00F736F5"/>
    <w:rsid w:val="00F73821"/>
    <w:rsid w:val="00F75635"/>
    <w:rsid w:val="00F75F18"/>
    <w:rsid w:val="00F76075"/>
    <w:rsid w:val="00F773B3"/>
    <w:rsid w:val="00F80D46"/>
    <w:rsid w:val="00F82A98"/>
    <w:rsid w:val="00F83746"/>
    <w:rsid w:val="00F83F4F"/>
    <w:rsid w:val="00F855A9"/>
    <w:rsid w:val="00F85888"/>
    <w:rsid w:val="00F8591A"/>
    <w:rsid w:val="00F85E03"/>
    <w:rsid w:val="00F86052"/>
    <w:rsid w:val="00F875BD"/>
    <w:rsid w:val="00F8794A"/>
    <w:rsid w:val="00F90F16"/>
    <w:rsid w:val="00F9190F"/>
    <w:rsid w:val="00F91D36"/>
    <w:rsid w:val="00F92146"/>
    <w:rsid w:val="00F942C5"/>
    <w:rsid w:val="00F94687"/>
    <w:rsid w:val="00F9557D"/>
    <w:rsid w:val="00F95690"/>
    <w:rsid w:val="00F964E8"/>
    <w:rsid w:val="00F967DA"/>
    <w:rsid w:val="00F97222"/>
    <w:rsid w:val="00F97303"/>
    <w:rsid w:val="00FA0285"/>
    <w:rsid w:val="00FA0A48"/>
    <w:rsid w:val="00FA1F6D"/>
    <w:rsid w:val="00FA2634"/>
    <w:rsid w:val="00FA27A5"/>
    <w:rsid w:val="00FA492A"/>
    <w:rsid w:val="00FA4B12"/>
    <w:rsid w:val="00FA4B1E"/>
    <w:rsid w:val="00FB0BDF"/>
    <w:rsid w:val="00FB2754"/>
    <w:rsid w:val="00FB3794"/>
    <w:rsid w:val="00FB40CF"/>
    <w:rsid w:val="00FB42D9"/>
    <w:rsid w:val="00FB4CF1"/>
    <w:rsid w:val="00FB58A5"/>
    <w:rsid w:val="00FB5A45"/>
    <w:rsid w:val="00FC1F53"/>
    <w:rsid w:val="00FC25B9"/>
    <w:rsid w:val="00FC491C"/>
    <w:rsid w:val="00FC59A5"/>
    <w:rsid w:val="00FC73E1"/>
    <w:rsid w:val="00FC7DC5"/>
    <w:rsid w:val="00FD1D25"/>
    <w:rsid w:val="00FD1DB8"/>
    <w:rsid w:val="00FD2412"/>
    <w:rsid w:val="00FD2428"/>
    <w:rsid w:val="00FD30FB"/>
    <w:rsid w:val="00FD32A8"/>
    <w:rsid w:val="00FD3528"/>
    <w:rsid w:val="00FD48CA"/>
    <w:rsid w:val="00FD5B67"/>
    <w:rsid w:val="00FD6E03"/>
    <w:rsid w:val="00FD7376"/>
    <w:rsid w:val="00FE006B"/>
    <w:rsid w:val="00FE0E0F"/>
    <w:rsid w:val="00FE1898"/>
    <w:rsid w:val="00FE2EE0"/>
    <w:rsid w:val="00FE40F3"/>
    <w:rsid w:val="00FE47EA"/>
    <w:rsid w:val="00FE4960"/>
    <w:rsid w:val="00FE4996"/>
    <w:rsid w:val="00FE5CF8"/>
    <w:rsid w:val="00FE6A02"/>
    <w:rsid w:val="00FE739A"/>
    <w:rsid w:val="00FF0DB6"/>
    <w:rsid w:val="00FF1303"/>
    <w:rsid w:val="00FF1B63"/>
    <w:rsid w:val="00FF2013"/>
    <w:rsid w:val="00FF23AC"/>
    <w:rsid w:val="00FF2AC9"/>
    <w:rsid w:val="00FF3082"/>
    <w:rsid w:val="00FF353B"/>
    <w:rsid w:val="00FF3850"/>
    <w:rsid w:val="00FF3C12"/>
    <w:rsid w:val="00FF3C3C"/>
    <w:rsid w:val="00FF3CF6"/>
    <w:rsid w:val="00FF3EB9"/>
    <w:rsid w:val="00FF4082"/>
    <w:rsid w:val="00FF4386"/>
    <w:rsid w:val="00FF53B4"/>
    <w:rsid w:val="00FF5E29"/>
    <w:rsid w:val="00FF5E60"/>
    <w:rsid w:val="00FF6E2E"/>
    <w:rsid w:val="00FF793E"/>
    <w:rsid w:val="02954528"/>
    <w:rsid w:val="029E0988"/>
    <w:rsid w:val="02CB619B"/>
    <w:rsid w:val="03836A76"/>
    <w:rsid w:val="03B629A7"/>
    <w:rsid w:val="04805896"/>
    <w:rsid w:val="05850883"/>
    <w:rsid w:val="0B0B4F80"/>
    <w:rsid w:val="0B292381"/>
    <w:rsid w:val="0BDF2AD1"/>
    <w:rsid w:val="0C261195"/>
    <w:rsid w:val="0C3923C8"/>
    <w:rsid w:val="0D3F756A"/>
    <w:rsid w:val="10822369"/>
    <w:rsid w:val="10914983"/>
    <w:rsid w:val="10AE5CEB"/>
    <w:rsid w:val="11D5049D"/>
    <w:rsid w:val="14F41DDB"/>
    <w:rsid w:val="14F73261"/>
    <w:rsid w:val="14F926F4"/>
    <w:rsid w:val="155D7127"/>
    <w:rsid w:val="15C27C85"/>
    <w:rsid w:val="16AB3EC2"/>
    <w:rsid w:val="16C136E5"/>
    <w:rsid w:val="190F6D25"/>
    <w:rsid w:val="1AA43102"/>
    <w:rsid w:val="1BBD6A6F"/>
    <w:rsid w:val="1C154B73"/>
    <w:rsid w:val="1CA8319C"/>
    <w:rsid w:val="1D0461FA"/>
    <w:rsid w:val="1DB91416"/>
    <w:rsid w:val="1E036392"/>
    <w:rsid w:val="1EAD19E5"/>
    <w:rsid w:val="1EB8717C"/>
    <w:rsid w:val="1EE75CB3"/>
    <w:rsid w:val="1F071EB1"/>
    <w:rsid w:val="222F450C"/>
    <w:rsid w:val="22ED7C8C"/>
    <w:rsid w:val="2507454D"/>
    <w:rsid w:val="25563097"/>
    <w:rsid w:val="271433BD"/>
    <w:rsid w:val="29345928"/>
    <w:rsid w:val="2CDC7A4B"/>
    <w:rsid w:val="2DC773DC"/>
    <w:rsid w:val="2EBF00B3"/>
    <w:rsid w:val="2F0D0E1E"/>
    <w:rsid w:val="2F516105"/>
    <w:rsid w:val="2F6C5798"/>
    <w:rsid w:val="2F866CB4"/>
    <w:rsid w:val="30FD4EC2"/>
    <w:rsid w:val="31175101"/>
    <w:rsid w:val="31A37B0A"/>
    <w:rsid w:val="3228291B"/>
    <w:rsid w:val="32452FC5"/>
    <w:rsid w:val="32D13B20"/>
    <w:rsid w:val="32F966F8"/>
    <w:rsid w:val="335A3D41"/>
    <w:rsid w:val="3460040C"/>
    <w:rsid w:val="365D6B2F"/>
    <w:rsid w:val="381A1F8B"/>
    <w:rsid w:val="382F62A9"/>
    <w:rsid w:val="38BE022E"/>
    <w:rsid w:val="38C452B5"/>
    <w:rsid w:val="39A4757E"/>
    <w:rsid w:val="39B76C08"/>
    <w:rsid w:val="3AFE2E55"/>
    <w:rsid w:val="3E941DDE"/>
    <w:rsid w:val="3F5D4E1C"/>
    <w:rsid w:val="419443A9"/>
    <w:rsid w:val="42977E0F"/>
    <w:rsid w:val="429E056C"/>
    <w:rsid w:val="43E97C54"/>
    <w:rsid w:val="43F403A7"/>
    <w:rsid w:val="443133A9"/>
    <w:rsid w:val="44E12938"/>
    <w:rsid w:val="45B66480"/>
    <w:rsid w:val="45EB30E5"/>
    <w:rsid w:val="45F424BE"/>
    <w:rsid w:val="46B26394"/>
    <w:rsid w:val="476D64A6"/>
    <w:rsid w:val="47C40234"/>
    <w:rsid w:val="48695F59"/>
    <w:rsid w:val="4A894D75"/>
    <w:rsid w:val="4AC8739B"/>
    <w:rsid w:val="4C250C34"/>
    <w:rsid w:val="4DA42E3E"/>
    <w:rsid w:val="4DCE1C69"/>
    <w:rsid w:val="4E4318FC"/>
    <w:rsid w:val="4E772300"/>
    <w:rsid w:val="4EB64E84"/>
    <w:rsid w:val="4F0A5A8D"/>
    <w:rsid w:val="4FA4757C"/>
    <w:rsid w:val="4FB804D9"/>
    <w:rsid w:val="4FFC4AB0"/>
    <w:rsid w:val="517F095D"/>
    <w:rsid w:val="52F25D4B"/>
    <w:rsid w:val="53824DA9"/>
    <w:rsid w:val="55CB0394"/>
    <w:rsid w:val="55E919F1"/>
    <w:rsid w:val="56E90AB0"/>
    <w:rsid w:val="574B55F8"/>
    <w:rsid w:val="575D1BF0"/>
    <w:rsid w:val="586958C1"/>
    <w:rsid w:val="592D1636"/>
    <w:rsid w:val="5AC1484F"/>
    <w:rsid w:val="5D3C6B7F"/>
    <w:rsid w:val="5E375F96"/>
    <w:rsid w:val="5EE57421"/>
    <w:rsid w:val="605F444D"/>
    <w:rsid w:val="63133F4E"/>
    <w:rsid w:val="644A6A0A"/>
    <w:rsid w:val="64864F67"/>
    <w:rsid w:val="649153E3"/>
    <w:rsid w:val="65102634"/>
    <w:rsid w:val="66B766AD"/>
    <w:rsid w:val="66CD6B09"/>
    <w:rsid w:val="670047E9"/>
    <w:rsid w:val="67EC599B"/>
    <w:rsid w:val="686C191F"/>
    <w:rsid w:val="6B5D66AE"/>
    <w:rsid w:val="6BC6205F"/>
    <w:rsid w:val="6C30758E"/>
    <w:rsid w:val="6D6A7E15"/>
    <w:rsid w:val="6DB53A23"/>
    <w:rsid w:val="6E142735"/>
    <w:rsid w:val="6E351DF3"/>
    <w:rsid w:val="6E955409"/>
    <w:rsid w:val="6F187B60"/>
    <w:rsid w:val="6F2D3F54"/>
    <w:rsid w:val="6FCA50EB"/>
    <w:rsid w:val="71384BB7"/>
    <w:rsid w:val="713F486C"/>
    <w:rsid w:val="715D5A14"/>
    <w:rsid w:val="72113D4E"/>
    <w:rsid w:val="725A4959"/>
    <w:rsid w:val="740610E5"/>
    <w:rsid w:val="74850A24"/>
    <w:rsid w:val="75153B55"/>
    <w:rsid w:val="75DC697D"/>
    <w:rsid w:val="769767EC"/>
    <w:rsid w:val="773109EF"/>
    <w:rsid w:val="789C6D54"/>
    <w:rsid w:val="79756206"/>
    <w:rsid w:val="7A0954A0"/>
    <w:rsid w:val="7BE21729"/>
    <w:rsid w:val="7CDD7A82"/>
    <w:rsid w:val="7D5042F0"/>
    <w:rsid w:val="7DD238B0"/>
    <w:rsid w:val="7E1C458C"/>
    <w:rsid w:val="7E6B2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2B350D8"/>
  <w15:docId w15:val="{7F62E175-56A6-41E6-AFA8-A3A47B22E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line="600" w:lineRule="exact"/>
      <w:contextualSpacing/>
      <w:outlineLvl w:val="0"/>
    </w:pPr>
    <w:rPr>
      <w:rFonts w:eastAsia="黑体"/>
      <w:bCs/>
      <w:kern w:val="44"/>
      <w:sz w:val="32"/>
      <w:szCs w:val="44"/>
    </w:rPr>
  </w:style>
  <w:style w:type="paragraph" w:styleId="2">
    <w:name w:val="heading 2"/>
    <w:basedOn w:val="a"/>
    <w:next w:val="a"/>
    <w:link w:val="20"/>
    <w:uiPriority w:val="9"/>
    <w:unhideWhenUsed/>
    <w:qFormat/>
    <w:pPr>
      <w:keepNext/>
      <w:keepLines/>
      <w:spacing w:line="600" w:lineRule="exact"/>
      <w:contextualSpacing/>
      <w:outlineLvl w:val="1"/>
    </w:pPr>
    <w:rPr>
      <w:rFonts w:asciiTheme="majorHAnsi" w:eastAsia="楷体"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tabs>
        <w:tab w:val="right" w:leader="dot" w:pos="8296"/>
      </w:tabs>
      <w:spacing w:line="600" w:lineRule="exact"/>
      <w:contextualSpacing/>
    </w:pPr>
  </w:style>
  <w:style w:type="paragraph" w:styleId="TOC2">
    <w:name w:val="toc 2"/>
    <w:basedOn w:val="a"/>
    <w:next w:val="a"/>
    <w:autoRedefine/>
    <w:uiPriority w:val="39"/>
    <w:unhideWhenUsed/>
    <w:qFormat/>
    <w:pPr>
      <w:tabs>
        <w:tab w:val="right" w:leader="dot" w:pos="8296"/>
      </w:tabs>
      <w:spacing w:line="600" w:lineRule="exact"/>
      <w:ind w:leftChars="200" w:left="420"/>
      <w:contextualSpacing/>
    </w:pPr>
  </w:style>
  <w:style w:type="paragraph" w:styleId="ad">
    <w:name w:val="annotation subject"/>
    <w:basedOn w:val="a3"/>
    <w:next w:val="a3"/>
    <w:link w:val="ae"/>
    <w:uiPriority w:val="99"/>
    <w:semiHidden/>
    <w:unhideWhenUsed/>
    <w:qFormat/>
    <w:rPr>
      <w:b/>
      <w:bCs/>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qFormat/>
  </w:style>
  <w:style w:type="character" w:styleId="af1">
    <w:name w:val="Hyperlink"/>
    <w:basedOn w:val="a0"/>
    <w:uiPriority w:val="99"/>
    <w:unhideWhenUsed/>
    <w:qFormat/>
    <w:rPr>
      <w:color w:val="0563C1" w:themeColor="hyperlink"/>
      <w:u w:val="single"/>
    </w:rPr>
  </w:style>
  <w:style w:type="character" w:styleId="af2">
    <w:name w:val="annotation reference"/>
    <w:basedOn w:val="a0"/>
    <w:uiPriority w:val="99"/>
    <w:semiHidden/>
    <w:unhideWhenUsed/>
    <w:qFormat/>
    <w:rPr>
      <w:sz w:val="21"/>
      <w:szCs w:val="21"/>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4">
    <w:name w:val="批注文字 字符"/>
    <w:basedOn w:val="a0"/>
    <w:link w:val="a3"/>
    <w:uiPriority w:val="99"/>
    <w:semiHidden/>
    <w:qFormat/>
  </w:style>
  <w:style w:type="character" w:customStyle="1" w:styleId="ae">
    <w:name w:val="批注主题 字符"/>
    <w:basedOn w:val="a4"/>
    <w:link w:val="ad"/>
    <w:uiPriority w:val="99"/>
    <w:semiHidden/>
    <w:qFormat/>
    <w:rPr>
      <w:b/>
      <w:bCs/>
    </w:rPr>
  </w:style>
  <w:style w:type="character" w:customStyle="1" w:styleId="a8">
    <w:name w:val="批注框文本 字符"/>
    <w:basedOn w:val="a0"/>
    <w:link w:val="a7"/>
    <w:uiPriority w:val="99"/>
    <w:semiHidden/>
    <w:qFormat/>
    <w:rPr>
      <w:sz w:val="18"/>
      <w:szCs w:val="18"/>
    </w:rPr>
  </w:style>
  <w:style w:type="character" w:customStyle="1" w:styleId="10">
    <w:name w:val="标题 1 字符"/>
    <w:basedOn w:val="a0"/>
    <w:link w:val="1"/>
    <w:uiPriority w:val="9"/>
    <w:qFormat/>
    <w:rPr>
      <w:rFonts w:eastAsia="黑体"/>
      <w:bCs/>
      <w:kern w:val="44"/>
      <w:sz w:val="32"/>
      <w:szCs w:val="44"/>
    </w:rPr>
  </w:style>
  <w:style w:type="character" w:customStyle="1" w:styleId="20">
    <w:name w:val="标题 2 字符"/>
    <w:basedOn w:val="a0"/>
    <w:link w:val="2"/>
    <w:uiPriority w:val="9"/>
    <w:qFormat/>
    <w:rPr>
      <w:rFonts w:asciiTheme="majorHAnsi" w:eastAsia="楷体" w:hAnsiTheme="majorHAnsi" w:cstheme="majorBidi"/>
      <w:b/>
      <w:bCs/>
      <w:sz w:val="32"/>
      <w:szCs w:val="32"/>
    </w:rPr>
  </w:style>
  <w:style w:type="paragraph" w:styleId="af3">
    <w:name w:val="List Paragraph"/>
    <w:basedOn w:val="a"/>
    <w:uiPriority w:val="34"/>
    <w:qFormat/>
    <w:pPr>
      <w:ind w:firstLineChars="200" w:firstLine="420"/>
    </w:pPr>
  </w:style>
  <w:style w:type="character" w:customStyle="1" w:styleId="a6">
    <w:name w:val="日期 字符"/>
    <w:basedOn w:val="a0"/>
    <w:link w:val="a5"/>
    <w:uiPriority w:val="99"/>
    <w:semiHidden/>
    <w:qFormat/>
  </w:style>
  <w:style w:type="paragraph" w:customStyle="1" w:styleId="TOC10">
    <w:name w:val="TOC 标题1"/>
    <w:basedOn w:val="1"/>
    <w:next w:val="a"/>
    <w:uiPriority w:val="39"/>
    <w:unhideWhenUsed/>
    <w:qFormat/>
    <w:pPr>
      <w:widowControl/>
      <w:spacing w:before="240" w:line="259" w:lineRule="auto"/>
      <w:contextualSpacing w:val="0"/>
      <w:jc w:val="left"/>
      <w:outlineLvl w:val="9"/>
    </w:pPr>
    <w:rPr>
      <w:rFonts w:asciiTheme="majorHAnsi" w:eastAsiaTheme="majorEastAsia" w:hAnsiTheme="majorHAnsi" w:cstheme="majorBidi"/>
      <w:bCs w:val="0"/>
      <w:color w:val="2F5496" w:themeColor="accent1" w:themeShade="BF"/>
      <w:kern w:val="0"/>
      <w:szCs w:val="32"/>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character" w:customStyle="1" w:styleId="fontstyle01">
    <w:name w:val="fontstyle01"/>
    <w:qFormat/>
    <w:rPr>
      <w:rFonts w:ascii="仿宋" w:eastAsia="仿宋" w:hAnsi="仿宋" w:hint="eastAsia"/>
      <w:color w:val="000000"/>
      <w:sz w:val="30"/>
      <w:szCs w:val="30"/>
    </w:rPr>
  </w:style>
  <w:style w:type="character" w:customStyle="1" w:styleId="font21">
    <w:name w:val="font21"/>
    <w:basedOn w:val="a0"/>
    <w:qFormat/>
    <w:rPr>
      <w:rFonts w:ascii="Times New Roman" w:hAnsi="Times New Roman" w:cs="Times New Roman"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AA8A8-28B7-498E-9391-55C65FAB7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2290</Words>
  <Characters>13057</Characters>
  <Application>Microsoft Office Word</Application>
  <DocSecurity>0</DocSecurity>
  <Lines>108</Lines>
  <Paragraphs>30</Paragraphs>
  <ScaleCrop>false</ScaleCrop>
  <Company/>
  <LinksUpToDate>false</LinksUpToDate>
  <CharactersWithSpaces>15317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Q</dc:creator>
  <cp:lastModifiedBy>星煜 宗</cp:lastModifiedBy>
  <cp:revision>135</cp:revision>
  <cp:lastPrinted>2024-06-23T06:29:00Z</cp:lastPrinted>
  <dcterms:created xsi:type="dcterms:W3CDTF">2024-04-19T07:54:00Z</dcterms:created>
  <dcterms:modified xsi:type="dcterms:W3CDTF">2024-10-09T04:29:00Z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E90CF229A1CE4CA6A501AC9E91D3B450_13</vt:lpwstr>
  </property>
</Properties>
</file>