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708B1">
      <w:pPr>
        <w:rPr>
          <w:rFonts w:ascii="黑体" w:eastAsia="黑体" w:hAnsi="华文仿宋" w:hint="eastAsia"/>
          <w:sz w:val="32"/>
          <w:szCs w:val="32"/>
        </w:rPr>
      </w:pPr>
      <w:r>
        <w:rPr>
          <w:rFonts w:eastAsia="黑体"/>
          <w:color w:val="FF0000"/>
          <w:sz w:val="32"/>
          <w:szCs w:val="32"/>
        </w:rPr>
        <w:t xml:space="preserve"> </w:t>
      </w:r>
      <w:r>
        <w:rPr>
          <w:rFonts w:ascii="黑体" w:eastAsia="黑体" w:hAnsi="华文仿宋" w:hint="eastAsia"/>
          <w:sz w:val="32"/>
          <w:szCs w:val="32"/>
        </w:rPr>
        <w:t>附件</w:t>
      </w:r>
    </w:p>
    <w:p w:rsidR="00000000" w:rsidRDefault="006708B1" w:rsidP="00616038">
      <w:pPr>
        <w:ind w:leftChars="284" w:left="1876" w:hangingChars="400" w:hanging="1280"/>
        <w:jc w:val="center"/>
        <w:rPr>
          <w:rFonts w:ascii="仿宋_GB2312" w:eastAsia="仿宋_GB2312" w:hAnsi="华文仿宋" w:hint="eastAsia"/>
          <w:sz w:val="32"/>
          <w:szCs w:val="32"/>
        </w:rPr>
      </w:pPr>
    </w:p>
    <w:p w:rsidR="00000000" w:rsidRDefault="006708B1" w:rsidP="00616038">
      <w:pPr>
        <w:spacing w:line="640" w:lineRule="exact"/>
        <w:jc w:val="center"/>
        <w:rPr>
          <w:rFonts w:ascii="方正小标宋简体" w:eastAsia="方正小标宋简体" w:hint="eastAsia"/>
          <w:sz w:val="44"/>
          <w:szCs w:val="44"/>
          <w:lang w:val="en"/>
        </w:rPr>
      </w:pPr>
      <w:r>
        <w:rPr>
          <w:rFonts w:ascii="方正小标宋简体" w:eastAsia="方正小标宋简体" w:hint="eastAsia"/>
          <w:sz w:val="44"/>
          <w:szCs w:val="44"/>
        </w:rPr>
        <w:t>氯膦酸二钠制剂说明书修订</w:t>
      </w:r>
      <w:r>
        <w:rPr>
          <w:rFonts w:ascii="方正小标宋简体" w:eastAsia="方正小标宋简体" w:hint="eastAsia"/>
          <w:sz w:val="44"/>
          <w:szCs w:val="44"/>
        </w:rPr>
        <w:t>要求</w:t>
      </w:r>
    </w:p>
    <w:p w:rsidR="00000000" w:rsidRDefault="006708B1" w:rsidP="00616038">
      <w:pPr>
        <w:spacing w:line="640" w:lineRule="exact"/>
        <w:jc w:val="center"/>
        <w:rPr>
          <w:rFonts w:ascii="方正小标宋简体" w:eastAsia="方正小标宋简体"/>
          <w:sz w:val="44"/>
          <w:szCs w:val="44"/>
        </w:rPr>
      </w:pPr>
    </w:p>
    <w:p w:rsidR="00000000" w:rsidRDefault="006708B1">
      <w:pPr>
        <w:spacing w:line="540" w:lineRule="exact"/>
        <w:ind w:firstLineChars="200" w:firstLine="640"/>
        <w:rPr>
          <w:rFonts w:ascii="黑体" w:eastAsia="黑体" w:hAnsi="黑体"/>
          <w:sz w:val="32"/>
          <w:szCs w:val="32"/>
        </w:rPr>
      </w:pPr>
      <w:r>
        <w:rPr>
          <w:rFonts w:ascii="黑体" w:eastAsia="黑体" w:hAnsi="黑体" w:hint="eastAsia"/>
          <w:sz w:val="32"/>
          <w:szCs w:val="32"/>
        </w:rPr>
        <w:t>一、氯膦酸二钠胶囊（片）</w:t>
      </w:r>
    </w:p>
    <w:p w:rsidR="00000000" w:rsidRPr="00616038" w:rsidRDefault="006708B1">
      <w:pPr>
        <w:spacing w:line="540" w:lineRule="exact"/>
        <w:ind w:firstLineChars="200" w:firstLine="640"/>
        <w:rPr>
          <w:rFonts w:ascii="楷体_GB2312" w:eastAsia="楷体_GB2312" w:hAnsi="楷体_GB2312" w:cs="楷体_GB2312" w:hint="eastAsia"/>
          <w:sz w:val="32"/>
          <w:szCs w:val="32"/>
        </w:rPr>
      </w:pPr>
      <w:r w:rsidRPr="00616038">
        <w:rPr>
          <w:rFonts w:ascii="楷体_GB2312" w:eastAsia="楷体_GB2312" w:hAnsi="楷体_GB2312" w:cs="楷体_GB2312" w:hint="eastAsia"/>
          <w:sz w:val="32"/>
          <w:szCs w:val="32"/>
        </w:rPr>
        <w:t>（一）【不良反应】项应包括以下内容</w:t>
      </w:r>
    </w:p>
    <w:p w:rsidR="00000000" w:rsidRPr="00616038" w:rsidRDefault="006708B1">
      <w:pPr>
        <w:spacing w:line="540" w:lineRule="exact"/>
        <w:ind w:firstLineChars="200" w:firstLine="640"/>
        <w:rPr>
          <w:rFonts w:eastAsia="仿宋_GB2312"/>
          <w:sz w:val="32"/>
          <w:szCs w:val="32"/>
        </w:rPr>
      </w:pPr>
      <w:bookmarkStart w:id="0" w:name="_Hlk54705938"/>
      <w:r w:rsidRPr="00616038">
        <w:rPr>
          <w:rFonts w:eastAsia="仿宋_GB2312"/>
          <w:sz w:val="32"/>
          <w:szCs w:val="32"/>
        </w:rPr>
        <w:t>上市后监测到氯膦酸二钠制剂的下列不良反应</w:t>
      </w:r>
      <w:r w:rsidRPr="00616038">
        <w:rPr>
          <w:rFonts w:eastAsia="仿宋_GB2312"/>
          <w:sz w:val="32"/>
          <w:szCs w:val="32"/>
        </w:rPr>
        <w:t>/</w:t>
      </w:r>
      <w:r w:rsidRPr="00616038">
        <w:rPr>
          <w:rFonts w:eastAsia="仿宋_GB2312"/>
          <w:sz w:val="32"/>
          <w:szCs w:val="32"/>
        </w:rPr>
        <w:t>事件：</w:t>
      </w:r>
    </w:p>
    <w:bookmarkEnd w:id="0"/>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消化系统：恶心、呕吐、腹痛、腹胀、腹泻。</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全身性反应：发热、寒战、胸部不适、疼痛、乏力。</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皮肤及皮下组织：皮疹、瘙痒。</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4.</w:t>
      </w:r>
      <w:r w:rsidRPr="00616038">
        <w:rPr>
          <w:rFonts w:eastAsia="仿宋_GB2312"/>
          <w:sz w:val="32"/>
          <w:szCs w:val="32"/>
        </w:rPr>
        <w:t>神经系统：头晕、感觉减退。</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5.</w:t>
      </w:r>
      <w:r w:rsidRPr="00616038">
        <w:rPr>
          <w:rFonts w:eastAsia="仿宋_GB2312"/>
          <w:sz w:val="32"/>
          <w:szCs w:val="32"/>
        </w:rPr>
        <w:t>呼吸系统：呼吸困难、窒息感。</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6.</w:t>
      </w:r>
      <w:r w:rsidRPr="00616038">
        <w:rPr>
          <w:rFonts w:eastAsia="仿宋_GB2312"/>
          <w:sz w:val="32"/>
          <w:szCs w:val="32"/>
        </w:rPr>
        <w:t>肌肉骨骼及结缔组织：肌痛、骨痛、背痛，长</w:t>
      </w:r>
      <w:r w:rsidRPr="00616038">
        <w:rPr>
          <w:rFonts w:eastAsia="仿宋_GB2312"/>
          <w:sz w:val="32"/>
          <w:szCs w:val="32"/>
        </w:rPr>
        <w:t>期大量使用后非常罕见颌骨坏死、非典型股骨骨折。</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7.</w:t>
      </w:r>
      <w:r w:rsidRPr="00616038">
        <w:rPr>
          <w:rFonts w:eastAsia="仿宋_GB2312"/>
          <w:sz w:val="32"/>
          <w:szCs w:val="32"/>
        </w:rPr>
        <w:t>代谢和营养：低钙血症。</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t>（二）【注意事项】应包括以下内容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氯膦酸盐治疗期间必须保持足量的液体摄入，高钙血症或肾功能受损患者使用氯膦酸盐治疗时，这一点尤其重要。</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肾功能衰竭患者应用氯膦酸盐时需谨慎，中度及重度肾功能衰竭患者建议降低氯膦酸盐的日使用剂量。</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在接受静脉或口服双膦酸盐治疗方案的癌症患者中，已有颌骨坏死报告，通常与口腔治疗操作和</w:t>
      </w:r>
      <w:r w:rsidRPr="00616038">
        <w:rPr>
          <w:rFonts w:eastAsia="仿宋_GB2312"/>
          <w:sz w:val="32"/>
          <w:szCs w:val="32"/>
        </w:rPr>
        <w:t>/</w:t>
      </w:r>
      <w:r w:rsidRPr="00616038">
        <w:rPr>
          <w:rFonts w:eastAsia="仿宋_GB2312"/>
          <w:sz w:val="32"/>
          <w:szCs w:val="32"/>
        </w:rPr>
        <w:t>或局部感染（包括骨髓炎）有关。这些患者中很多还接受化疗和皮质类固醇治疗。</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lastRenderedPageBreak/>
        <w:t>在伴有危险因素（如癌症、化疗、放疗、皮质</w:t>
      </w:r>
      <w:r w:rsidRPr="00616038">
        <w:rPr>
          <w:rFonts w:eastAsia="仿宋_GB2312"/>
          <w:sz w:val="32"/>
          <w:szCs w:val="32"/>
        </w:rPr>
        <w:t>类固醇治疗、牙齿卫生状况较差）的患者中使用双膦酸盐治疗前应进行预防性牙科检查，在这些患者中进行双膦酸盐治疗时应该避免有创性牙科操作。</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t>（三）【药物相互作用】应包括以下内容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禁止与其他双膦酸盐同时使用。</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氯膦酸盐与二价阳离子可形成难溶复合物。因此，本品不应与含有钙或其他二价阳离子的食物或药物（如抗酸剂或铁制剂）同时服用。</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氯膦酸盐与非甾体类抗炎药（</w:t>
      </w:r>
      <w:r w:rsidRPr="00616038">
        <w:rPr>
          <w:rFonts w:eastAsia="仿宋_GB2312"/>
          <w:sz w:val="32"/>
          <w:szCs w:val="32"/>
        </w:rPr>
        <w:t>NSAIDs</w:t>
      </w:r>
      <w:r w:rsidRPr="00616038">
        <w:rPr>
          <w:rFonts w:eastAsia="仿宋_GB2312"/>
          <w:sz w:val="32"/>
          <w:szCs w:val="32"/>
        </w:rPr>
        <w:t>）合用，最常见的是双氯芬酸，有引起肾功能不全的报告。</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4.</w:t>
      </w:r>
      <w:r w:rsidRPr="00616038">
        <w:rPr>
          <w:rFonts w:eastAsia="仿宋_GB2312"/>
          <w:sz w:val="32"/>
          <w:szCs w:val="32"/>
        </w:rPr>
        <w:t>由于发生低钙血症的风险增加，氯膦酸盐与氨基糖苷类同时使用时应特别谨慎。</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（注：说明</w:t>
      </w:r>
      <w:r w:rsidRPr="00616038">
        <w:rPr>
          <w:rFonts w:eastAsia="仿宋_GB2312"/>
          <w:sz w:val="32"/>
          <w:szCs w:val="32"/>
        </w:rPr>
        <w:t>书其他内容如与上述修订要求不一致的，应当一并进行修订。）</w:t>
      </w:r>
    </w:p>
    <w:p w:rsidR="00000000" w:rsidRPr="00616038" w:rsidRDefault="006708B1">
      <w:pPr>
        <w:spacing w:line="540" w:lineRule="exact"/>
        <w:ind w:firstLineChars="200" w:firstLine="640"/>
        <w:rPr>
          <w:rFonts w:eastAsia="仿宋_GB2312"/>
          <w:sz w:val="32"/>
          <w:szCs w:val="32"/>
        </w:rPr>
      </w:pPr>
    </w:p>
    <w:p w:rsidR="00000000" w:rsidRPr="00616038" w:rsidRDefault="006708B1">
      <w:pPr>
        <w:spacing w:line="540" w:lineRule="exact"/>
        <w:ind w:firstLineChars="200" w:firstLine="640"/>
        <w:rPr>
          <w:rFonts w:eastAsia="仿宋_GB2312"/>
          <w:sz w:val="32"/>
          <w:szCs w:val="32"/>
        </w:rPr>
      </w:pPr>
    </w:p>
    <w:p w:rsidR="00000000" w:rsidRPr="00616038" w:rsidRDefault="006708B1">
      <w:pPr>
        <w:spacing w:line="540" w:lineRule="exact"/>
        <w:ind w:firstLineChars="200" w:firstLine="640"/>
        <w:rPr>
          <w:rFonts w:eastAsia="仿宋_GB2312"/>
          <w:sz w:val="32"/>
          <w:szCs w:val="32"/>
        </w:rPr>
      </w:pPr>
    </w:p>
    <w:p w:rsidR="00000000" w:rsidRPr="00616038" w:rsidRDefault="006708B1">
      <w:pPr>
        <w:spacing w:line="540" w:lineRule="exact"/>
        <w:ind w:firstLineChars="200" w:firstLine="640"/>
        <w:rPr>
          <w:rFonts w:eastAsia="仿宋_GB2312"/>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sz w:val="32"/>
          <w:szCs w:val="32"/>
        </w:rPr>
      </w:pPr>
      <w:r>
        <w:rPr>
          <w:rFonts w:ascii="黑体" w:eastAsia="黑体" w:hAnsi="黑体" w:hint="eastAsia"/>
          <w:sz w:val="32"/>
          <w:szCs w:val="32"/>
        </w:rPr>
        <w:t>二、氯膦酸二钠注射液</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t>（一）【不良反应】项应包括以下内容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lastRenderedPageBreak/>
        <w:t>上市后监测到氯膦酸二钠制剂的下列不良反应</w:t>
      </w:r>
      <w:r w:rsidRPr="00616038">
        <w:rPr>
          <w:rFonts w:eastAsia="仿宋_GB2312"/>
          <w:sz w:val="32"/>
          <w:szCs w:val="32"/>
        </w:rPr>
        <w:t>/</w:t>
      </w:r>
      <w:r w:rsidRPr="00616038">
        <w:rPr>
          <w:rFonts w:eastAsia="仿宋_GB2312"/>
          <w:sz w:val="32"/>
          <w:szCs w:val="32"/>
        </w:rPr>
        <w:t>事件：</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消化系统：恶心、呕吐、腹痛、腹胀、腹泻。</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全身性反应：发热、寒战、胸部不适、疼痛、乏力。</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皮肤及皮下组织：皮疹、瘙痒。</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4.</w:t>
      </w:r>
      <w:r w:rsidRPr="00616038">
        <w:rPr>
          <w:rFonts w:eastAsia="仿宋_GB2312"/>
          <w:sz w:val="32"/>
          <w:szCs w:val="32"/>
        </w:rPr>
        <w:t>神经系统：头晕、感觉减退。</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5.</w:t>
      </w:r>
      <w:r w:rsidRPr="00616038">
        <w:rPr>
          <w:rFonts w:eastAsia="仿宋_GB2312"/>
          <w:sz w:val="32"/>
          <w:szCs w:val="32"/>
        </w:rPr>
        <w:t>呼吸系统：呼吸困难、窒息感。</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6.</w:t>
      </w:r>
      <w:r w:rsidRPr="00616038">
        <w:rPr>
          <w:rFonts w:eastAsia="仿宋_GB2312"/>
          <w:sz w:val="32"/>
          <w:szCs w:val="32"/>
        </w:rPr>
        <w:t>肌肉骨骼及结缔组织：肌痛、骨痛、背痛，长期大量使用后非常罕见颌骨坏死、非典型股骨骨折。</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7.</w:t>
      </w:r>
      <w:r w:rsidRPr="00616038">
        <w:rPr>
          <w:rFonts w:eastAsia="仿宋_GB2312"/>
          <w:sz w:val="32"/>
          <w:szCs w:val="32"/>
        </w:rPr>
        <w:t>代谢和营养：低钙血症。</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t>（二）【注意事</w:t>
      </w:r>
      <w:r w:rsidRPr="00616038">
        <w:rPr>
          <w:rFonts w:ascii="楷体_GB2312" w:eastAsia="楷体_GB2312" w:hAnsi="楷体_GB2312" w:cs="楷体_GB2312"/>
          <w:sz w:val="32"/>
          <w:szCs w:val="32"/>
        </w:rPr>
        <w:t>项】应包括以下内容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氯膦酸盐治疗期间必须保持足量的液体摄入，静脉输注氯膦酸盐及高钙血症或肾功能损伤患者使用氯膦酸盐治疗时，这一点尤其重要。</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肾功能衰竭患者应用氯膦酸盐时需谨慎，建议根据肾功能情况减少氯膦酸盐输注剂量。</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氯膦酸盐静脉给药剂量明显高于推荐剂量时可能会引起重度的肾功能损害，尤其当输注速度太快时。</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w:t>
      </w:r>
      <w:r w:rsidRPr="00616038">
        <w:rPr>
          <w:rFonts w:eastAsia="仿宋_GB2312"/>
          <w:sz w:val="32"/>
          <w:szCs w:val="32"/>
        </w:rPr>
        <w:t>在接受静脉或口服双膦酸盐治疗方案的癌症患者中，已有颌骨坏死报告，通常与口腔治疗操作和</w:t>
      </w:r>
      <w:r w:rsidRPr="00616038">
        <w:rPr>
          <w:rFonts w:eastAsia="仿宋_GB2312"/>
          <w:sz w:val="32"/>
          <w:szCs w:val="32"/>
        </w:rPr>
        <w:t>/</w:t>
      </w:r>
      <w:r w:rsidRPr="00616038">
        <w:rPr>
          <w:rFonts w:eastAsia="仿宋_GB2312"/>
          <w:sz w:val="32"/>
          <w:szCs w:val="32"/>
        </w:rPr>
        <w:t>或局部感染（包括骨髓炎）有关。这些患者中很多还接受化疗和皮质类固醇治疗。</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在伴有危险因素（如癌症、化疗、放</w:t>
      </w:r>
      <w:r w:rsidRPr="00616038">
        <w:rPr>
          <w:rFonts w:eastAsia="仿宋_GB2312"/>
          <w:sz w:val="32"/>
          <w:szCs w:val="32"/>
        </w:rPr>
        <w:t>疗、皮质类固醇治疗、牙齿卫生状况较差）的患者中使用双膦酸盐治疗前应进行预防性牙科检查，在这些患者中进行双膦酸盐治疗时应该避免有创性牙科操作。</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lastRenderedPageBreak/>
        <w:t>（三）【药物相互作用】应包括以下内容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禁止与其他双膦酸盐同时使用。</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氯膦酸盐与二价阳离子可形成难溶复合物。因此，本品不应与含有二价阳离子的溶液（如</w:t>
      </w:r>
      <w:r w:rsidRPr="00616038">
        <w:rPr>
          <w:rFonts w:eastAsia="仿宋_GB2312"/>
          <w:sz w:val="32"/>
          <w:szCs w:val="32"/>
        </w:rPr>
        <w:t>Ringer</w:t>
      </w:r>
      <w:r w:rsidRPr="00616038">
        <w:rPr>
          <w:rFonts w:eastAsia="仿宋_GB2312"/>
          <w:sz w:val="32"/>
          <w:szCs w:val="32"/>
        </w:rPr>
        <w:t>’</w:t>
      </w:r>
      <w:r w:rsidRPr="00616038">
        <w:rPr>
          <w:rFonts w:eastAsia="仿宋_GB2312"/>
          <w:sz w:val="32"/>
          <w:szCs w:val="32"/>
        </w:rPr>
        <w:t>s</w:t>
      </w:r>
      <w:r w:rsidRPr="00616038">
        <w:rPr>
          <w:rFonts w:eastAsia="仿宋_GB2312"/>
          <w:sz w:val="32"/>
          <w:szCs w:val="32"/>
        </w:rPr>
        <w:t>溶液）一起静脉使用。</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氯膦酸二钠与非甾体类抗炎药</w:t>
      </w:r>
      <w:r w:rsidRPr="00616038">
        <w:rPr>
          <w:rFonts w:eastAsia="仿宋_GB2312"/>
          <w:sz w:val="32"/>
          <w:szCs w:val="32"/>
        </w:rPr>
        <w:t>(NSAIDs)</w:t>
      </w:r>
      <w:r w:rsidRPr="00616038">
        <w:rPr>
          <w:rFonts w:eastAsia="仿宋_GB2312"/>
          <w:sz w:val="32"/>
          <w:szCs w:val="32"/>
        </w:rPr>
        <w:t>合用，最常见的是双氯芬酸，有引起肾功能不全的报告。</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4.</w:t>
      </w:r>
      <w:r w:rsidRPr="00616038">
        <w:rPr>
          <w:rFonts w:eastAsia="仿宋_GB2312"/>
          <w:sz w:val="32"/>
          <w:szCs w:val="32"/>
        </w:rPr>
        <w:t>由于发生低钙血症的风险增加，氯膦酸盐与氨基糖苷类抗生素同时使用时应特别谨慎。</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（注：说明书其他内容如与上述修订要求不一致的，应当一并进行修订。）</w:t>
      </w:r>
    </w:p>
    <w:p w:rsidR="00000000" w:rsidRPr="00616038" w:rsidRDefault="006708B1">
      <w:pPr>
        <w:spacing w:line="540" w:lineRule="exact"/>
        <w:ind w:firstLineChars="200" w:firstLine="640"/>
        <w:rPr>
          <w:rFonts w:eastAsia="仿宋_GB2312"/>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pPr>
        <w:spacing w:line="540" w:lineRule="exact"/>
        <w:ind w:firstLineChars="200" w:firstLine="640"/>
        <w:rPr>
          <w:rFonts w:ascii="黑体" w:eastAsia="黑体" w:hAnsi="黑体" w:hint="eastAsia"/>
          <w:sz w:val="32"/>
          <w:szCs w:val="32"/>
        </w:rPr>
      </w:pPr>
    </w:p>
    <w:p w:rsidR="00000000" w:rsidRDefault="006708B1" w:rsidP="00616038">
      <w:pPr>
        <w:spacing w:line="540" w:lineRule="exact"/>
        <w:rPr>
          <w:rFonts w:ascii="黑体" w:eastAsia="黑体" w:hAnsi="黑体" w:hint="eastAsia"/>
          <w:sz w:val="32"/>
          <w:szCs w:val="32"/>
        </w:rPr>
      </w:pPr>
    </w:p>
    <w:p w:rsidR="00000000" w:rsidRDefault="006708B1">
      <w:pPr>
        <w:spacing w:line="540" w:lineRule="exact"/>
        <w:ind w:firstLineChars="200" w:firstLine="640"/>
        <w:rPr>
          <w:rFonts w:ascii="黑体" w:eastAsia="黑体" w:hAnsi="黑体"/>
          <w:sz w:val="32"/>
          <w:szCs w:val="32"/>
        </w:rPr>
      </w:pPr>
      <w:r>
        <w:rPr>
          <w:rFonts w:ascii="黑体" w:eastAsia="黑体" w:hAnsi="黑体" w:hint="eastAsia"/>
          <w:sz w:val="32"/>
          <w:szCs w:val="32"/>
        </w:rPr>
        <w:t>三、注射用氯膦酸二钠</w:t>
      </w:r>
    </w:p>
    <w:p w:rsidR="00000000" w:rsidRPr="00616038" w:rsidRDefault="006708B1">
      <w:pPr>
        <w:spacing w:line="540" w:lineRule="exact"/>
        <w:ind w:firstLineChars="200" w:firstLine="640"/>
        <w:rPr>
          <w:rFonts w:ascii="楷体_GB2312" w:eastAsia="楷体_GB2312" w:hAnsi="楷体_GB2312" w:cs="楷体_GB2312" w:hint="eastAsia"/>
          <w:sz w:val="32"/>
          <w:szCs w:val="32"/>
        </w:rPr>
      </w:pPr>
      <w:r w:rsidRPr="00616038">
        <w:rPr>
          <w:rFonts w:ascii="楷体_GB2312" w:eastAsia="楷体_GB2312" w:hAnsi="楷体_GB2312" w:cs="楷体_GB2312" w:hint="eastAsia"/>
          <w:sz w:val="32"/>
          <w:szCs w:val="32"/>
        </w:rPr>
        <w:t>（一）【不良反应】项应包括以下内容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上市后监测到氯膦酸二钠制剂的下列不良反应</w:t>
      </w:r>
      <w:r w:rsidRPr="00616038">
        <w:rPr>
          <w:rFonts w:eastAsia="仿宋_GB2312"/>
          <w:sz w:val="32"/>
          <w:szCs w:val="32"/>
        </w:rPr>
        <w:t>/</w:t>
      </w:r>
      <w:r w:rsidRPr="00616038">
        <w:rPr>
          <w:rFonts w:eastAsia="仿宋_GB2312"/>
          <w:sz w:val="32"/>
          <w:szCs w:val="32"/>
        </w:rPr>
        <w:t>事件：</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消化系统：恶心、呕吐、腹痛、腹胀、腹泻。</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lastRenderedPageBreak/>
        <w:t>2.</w:t>
      </w:r>
      <w:r w:rsidRPr="00616038">
        <w:rPr>
          <w:rFonts w:eastAsia="仿宋_GB2312"/>
          <w:sz w:val="32"/>
          <w:szCs w:val="32"/>
        </w:rPr>
        <w:t>全身性反应：发热、寒战、胸部不适、疼痛、乏力。</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3.</w:t>
      </w:r>
      <w:r w:rsidRPr="00616038">
        <w:rPr>
          <w:rFonts w:eastAsia="仿宋_GB2312"/>
          <w:sz w:val="32"/>
          <w:szCs w:val="32"/>
        </w:rPr>
        <w:t>皮肤及皮下组织：皮疹、瘙痒。</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4.</w:t>
      </w:r>
      <w:r w:rsidRPr="00616038">
        <w:rPr>
          <w:rFonts w:eastAsia="仿宋_GB2312"/>
          <w:sz w:val="32"/>
          <w:szCs w:val="32"/>
        </w:rPr>
        <w:t>神经系统：头晕、感觉减退。</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5.</w:t>
      </w:r>
      <w:r w:rsidRPr="00616038">
        <w:rPr>
          <w:rFonts w:eastAsia="仿宋_GB2312"/>
          <w:sz w:val="32"/>
          <w:szCs w:val="32"/>
        </w:rPr>
        <w:t>呼吸系统：呼吸困难、窒息感。</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6.</w:t>
      </w:r>
      <w:r w:rsidRPr="00616038">
        <w:rPr>
          <w:rFonts w:eastAsia="仿宋_GB2312"/>
          <w:sz w:val="32"/>
          <w:szCs w:val="32"/>
        </w:rPr>
        <w:t>肌肉骨骼及结缔组织：肌痛、骨痛、背痛，长期大量使用后非常罕见颌骨坏死、非典型股骨骨折。</w:t>
      </w:r>
    </w:p>
    <w:p w:rsidR="00000000" w:rsidRPr="00616038" w:rsidRDefault="006708B1">
      <w:pPr>
        <w:spacing w:line="540" w:lineRule="exact"/>
        <w:ind w:firstLineChars="200" w:firstLine="640"/>
        <w:rPr>
          <w:rFonts w:ascii="楷体_GB2312" w:eastAsia="楷体_GB2312" w:hAnsi="楷体_GB2312" w:cs="楷体_GB2312"/>
          <w:sz w:val="32"/>
          <w:szCs w:val="32"/>
        </w:rPr>
      </w:pPr>
      <w:r w:rsidRPr="00616038">
        <w:rPr>
          <w:rFonts w:ascii="楷体_GB2312" w:eastAsia="楷体_GB2312" w:hAnsi="楷体_GB2312" w:cs="楷体_GB2312"/>
          <w:sz w:val="32"/>
          <w:szCs w:val="32"/>
        </w:rPr>
        <w:t>（二）【注意事项】应包括</w:t>
      </w:r>
      <w:r w:rsidRPr="00616038">
        <w:rPr>
          <w:rFonts w:ascii="楷体_GB2312" w:eastAsia="楷体_GB2312" w:hAnsi="楷体_GB2312" w:cs="楷体_GB2312"/>
          <w:sz w:val="32"/>
          <w:szCs w:val="32"/>
        </w:rPr>
        <w:t>以下内容</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1.</w:t>
      </w:r>
      <w:r w:rsidRPr="00616038">
        <w:rPr>
          <w:rFonts w:eastAsia="仿宋_GB2312"/>
          <w:sz w:val="32"/>
          <w:szCs w:val="32"/>
        </w:rPr>
        <w:t>氯膦酸盐治疗期间必须保持足量的液体摄入，静脉输注氯膦酸盐及高钙血症或肾功能损伤患者使用氯膦酸盐治疗时，这一点尤其重要。</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2.</w:t>
      </w:r>
      <w:r w:rsidRPr="00616038">
        <w:rPr>
          <w:rFonts w:eastAsia="仿宋_GB2312"/>
          <w:sz w:val="32"/>
          <w:szCs w:val="32"/>
        </w:rPr>
        <w:t>在接受静脉或口服双膦酸盐治疗方案的癌症患者中，已有颌骨坏死报告，通常与口腔治疗操作和</w:t>
      </w:r>
      <w:r w:rsidRPr="00616038">
        <w:rPr>
          <w:rFonts w:eastAsia="仿宋_GB2312"/>
          <w:sz w:val="32"/>
          <w:szCs w:val="32"/>
        </w:rPr>
        <w:t>/</w:t>
      </w:r>
      <w:r w:rsidRPr="00616038">
        <w:rPr>
          <w:rFonts w:eastAsia="仿宋_GB2312"/>
          <w:sz w:val="32"/>
          <w:szCs w:val="32"/>
        </w:rPr>
        <w:t>或局部感染（包括骨髓炎）有关。这些患者中很多还接受化疗和皮质类固醇治疗。</w:t>
      </w:r>
    </w:p>
    <w:p w:rsidR="00000000" w:rsidRPr="00616038" w:rsidRDefault="006708B1">
      <w:pPr>
        <w:spacing w:line="540" w:lineRule="exact"/>
        <w:ind w:firstLineChars="200" w:firstLine="640"/>
        <w:rPr>
          <w:rFonts w:eastAsia="仿宋_GB2312"/>
          <w:sz w:val="32"/>
          <w:szCs w:val="32"/>
        </w:rPr>
      </w:pPr>
      <w:r w:rsidRPr="00616038">
        <w:rPr>
          <w:rFonts w:eastAsia="仿宋_GB2312"/>
          <w:sz w:val="32"/>
          <w:szCs w:val="32"/>
        </w:rPr>
        <w:t>在伴有危险因素（如癌症、化疗、放疗、皮质类固醇治疗、牙齿卫生状况较差）的患者中使用双膦酸盐治疗前应进行预防性牙科检查，在这些患者中进行双膦酸盐治疗时应该避免有创性牙科操作。</w:t>
      </w:r>
    </w:p>
    <w:p w:rsidR="006708B1" w:rsidRDefault="006708B1" w:rsidP="004D65FF">
      <w:pPr>
        <w:spacing w:line="540" w:lineRule="exact"/>
        <w:ind w:firstLineChars="200" w:firstLine="640"/>
        <w:rPr>
          <w:rFonts w:ascii="仿宋_GB2312" w:eastAsia="仿宋_GB2312" w:hAnsi="仿宋" w:hint="eastAsia"/>
          <w:sz w:val="28"/>
          <w:szCs w:val="28"/>
        </w:rPr>
      </w:pPr>
      <w:r w:rsidRPr="00616038">
        <w:rPr>
          <w:rFonts w:eastAsia="仿宋_GB2312"/>
          <w:sz w:val="32"/>
          <w:szCs w:val="32"/>
        </w:rPr>
        <w:t>（注：说明书其他内容如与上述修订要求不一</w:t>
      </w:r>
      <w:r w:rsidRPr="00616038">
        <w:rPr>
          <w:rFonts w:eastAsia="仿宋_GB2312"/>
          <w:sz w:val="32"/>
          <w:szCs w:val="32"/>
        </w:rPr>
        <w:t>致的，应当一并进行修订。）</w:t>
      </w:r>
      <w:bookmarkStart w:id="1" w:name="_GoBack"/>
      <w:bookmarkEnd w:id="1"/>
    </w:p>
    <w:sectPr w:rsidR="006708B1">
      <w:footerReference w:type="even" r:id="rId6"/>
      <w:footerReference w:type="default" r:id="rId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B1" w:rsidRDefault="006708B1">
      <w:r>
        <w:separator/>
      </w:r>
    </w:p>
  </w:endnote>
  <w:endnote w:type="continuationSeparator" w:id="0">
    <w:p w:rsidR="006708B1" w:rsidRDefault="0067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65FF">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-205740</wp:posOffset>
              </wp:positionV>
              <wp:extent cx="978535" cy="230505"/>
              <wp:effectExtent l="635" t="0" r="190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616038" w:rsidRDefault="006708B1">
                          <w:pPr>
                            <w:pStyle w:val="a5"/>
                            <w:rPr>
                              <w:rFonts w:hint="eastAsia"/>
                              <w:color w:val="FFFFFF"/>
                              <w:sz w:val="28"/>
                              <w:szCs w:val="28"/>
                            </w:rPr>
                          </w:pPr>
                          <w:r w:rsidRPr="00616038">
                            <w:rPr>
                              <w:rFonts w:hint="eastAsia"/>
                              <w:color w:val="FFFFFF"/>
                              <w:sz w:val="28"/>
                              <w:szCs w:val="28"/>
                            </w:rPr>
                            <w:t>—</w:t>
                          </w:r>
                          <w:r w:rsidRPr="00616038">
                            <w:rPr>
                              <w:rFonts w:hint="eastAsia"/>
                              <w:sz w:val="28"/>
                              <w:szCs w:val="28"/>
                            </w:rPr>
                            <w:t>—</w:t>
                          </w:r>
                          <w:r w:rsidRPr="00616038">
                            <w:rPr>
                              <w:rFonts w:hint="eastAsia"/>
                              <w:sz w:val="28"/>
                              <w:szCs w:val="28"/>
                            </w:rPr>
                            <w:t xml:space="preserve"> </w:t>
                          </w:r>
                          <w:r w:rsidRPr="00616038">
                            <w:rPr>
                              <w:sz w:val="28"/>
                              <w:szCs w:val="28"/>
                            </w:rPr>
                            <w:fldChar w:fldCharType="begin"/>
                          </w:r>
                          <w:r w:rsidRPr="00616038">
                            <w:rPr>
                              <w:sz w:val="28"/>
                              <w:szCs w:val="28"/>
                            </w:rPr>
                            <w:instrText xml:space="preserve"> PAGE  \* ME</w:instrText>
                          </w:r>
                          <w:r w:rsidRPr="00616038">
                            <w:rPr>
                              <w:sz w:val="28"/>
                              <w:szCs w:val="28"/>
                            </w:rPr>
                            <w:instrText xml:space="preserve">RGEFORMAT </w:instrText>
                          </w:r>
                          <w:r w:rsidRPr="00616038">
                            <w:rPr>
                              <w:sz w:val="28"/>
                              <w:szCs w:val="28"/>
                            </w:rPr>
                            <w:fldChar w:fldCharType="separate"/>
                          </w:r>
                          <w:r w:rsidR="004D65FF">
                            <w:rPr>
                              <w:noProof/>
                              <w:sz w:val="28"/>
                              <w:szCs w:val="28"/>
                            </w:rPr>
                            <w:t>2</w:t>
                          </w:r>
                          <w:r w:rsidRPr="00616038">
                            <w:rPr>
                              <w:sz w:val="28"/>
                              <w:szCs w:val="28"/>
                            </w:rPr>
                            <w:fldChar w:fldCharType="end"/>
                          </w:r>
                          <w:r w:rsidRPr="00616038">
                            <w:rPr>
                              <w:rFonts w:hint="eastAsia"/>
                              <w:sz w:val="28"/>
                              <w:szCs w:val="28"/>
                            </w:rPr>
                            <w:t xml:space="preserve"> </w:t>
                          </w:r>
                          <w:r w:rsidRPr="00616038">
                            <w:rPr>
                              <w:rFonts w:hint="eastAsia"/>
                              <w:sz w:val="28"/>
                              <w:szCs w:val="28"/>
                            </w:rPr>
                            <w:t>—</w:t>
                          </w:r>
                          <w:r w:rsidRPr="00616038">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6.2pt;width:77.05pt;height:18.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" filled="f" stroked="f">
              <v:textbox style="mso-fit-shape-to-text:t" inset="0,0,0,0">
                <w:txbxContent>
                  <w:p w:rsidR="00000000" w:rsidRPr="00616038" w:rsidRDefault="006708B1">
                    <w:pPr>
                      <w:pStyle w:val="a5"/>
                      <w:rPr>
                        <w:rFonts w:hint="eastAsia"/>
                        <w:color w:val="FFFFFF"/>
                        <w:sz w:val="28"/>
                        <w:szCs w:val="28"/>
                      </w:rPr>
                    </w:pPr>
                    <w:r w:rsidRPr="00616038">
                      <w:rPr>
                        <w:rFonts w:hint="eastAsia"/>
                        <w:color w:val="FFFFFF"/>
                        <w:sz w:val="28"/>
                        <w:szCs w:val="28"/>
                      </w:rPr>
                      <w:t>—</w:t>
                    </w:r>
                    <w:r w:rsidRPr="00616038">
                      <w:rPr>
                        <w:rFonts w:hint="eastAsia"/>
                        <w:sz w:val="28"/>
                        <w:szCs w:val="28"/>
                      </w:rPr>
                      <w:t>—</w:t>
                    </w:r>
                    <w:r w:rsidRPr="00616038">
                      <w:rPr>
                        <w:rFonts w:hint="eastAsia"/>
                        <w:sz w:val="28"/>
                        <w:szCs w:val="28"/>
                      </w:rPr>
                      <w:t xml:space="preserve"> </w:t>
                    </w:r>
                    <w:r w:rsidRPr="00616038">
                      <w:rPr>
                        <w:sz w:val="28"/>
                        <w:szCs w:val="28"/>
                      </w:rPr>
                      <w:fldChar w:fldCharType="begin"/>
                    </w:r>
                    <w:r w:rsidRPr="00616038">
                      <w:rPr>
                        <w:sz w:val="28"/>
                        <w:szCs w:val="28"/>
                      </w:rPr>
                      <w:instrText xml:space="preserve"> PAGE  \* ME</w:instrText>
                    </w:r>
                    <w:r w:rsidRPr="00616038">
                      <w:rPr>
                        <w:sz w:val="28"/>
                        <w:szCs w:val="28"/>
                      </w:rPr>
                      <w:instrText xml:space="preserve">RGEFORMAT </w:instrText>
                    </w:r>
                    <w:r w:rsidRPr="00616038">
                      <w:rPr>
                        <w:sz w:val="28"/>
                        <w:szCs w:val="28"/>
                      </w:rPr>
                      <w:fldChar w:fldCharType="separate"/>
                    </w:r>
                    <w:r w:rsidR="004D65FF">
                      <w:rPr>
                        <w:noProof/>
                        <w:sz w:val="28"/>
                        <w:szCs w:val="28"/>
                      </w:rPr>
                      <w:t>2</w:t>
                    </w:r>
                    <w:r w:rsidRPr="00616038">
                      <w:rPr>
                        <w:sz w:val="28"/>
                        <w:szCs w:val="28"/>
                      </w:rPr>
                      <w:fldChar w:fldCharType="end"/>
                    </w:r>
                    <w:r w:rsidRPr="00616038">
                      <w:rPr>
                        <w:rFonts w:hint="eastAsia"/>
                        <w:sz w:val="28"/>
                        <w:szCs w:val="28"/>
                      </w:rPr>
                      <w:t xml:space="preserve"> </w:t>
                    </w:r>
                    <w:r w:rsidRPr="00616038">
                      <w:rPr>
                        <w:rFonts w:hint="eastAsia"/>
                        <w:sz w:val="28"/>
                        <w:szCs w:val="28"/>
                      </w:rPr>
                      <w:t>—</w:t>
                    </w:r>
                    <w:r w:rsidRPr="00616038">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65FF">
    <w:pPr>
      <w:pStyle w:val="a5"/>
    </w:pPr>
    <w:r>
      <w:rPr>
        <w:noProof/>
      </w:rPr>
      <mc:AlternateContent>
        <mc:Choice Requires="wps">
          <w:drawing>
            <wp:anchor distT="0" distB="0" distL="114300" distR="114300" simplePos="0" relativeHeight="251657216" behindDoc="0" locked="0" layoutInCell="1" allowOverlap="1">
              <wp:simplePos x="0" y="0"/>
              <wp:positionH relativeFrom="margin">
                <wp:posOffset>4606290</wp:posOffset>
              </wp:positionH>
              <wp:positionV relativeFrom="paragraph">
                <wp:posOffset>-202565</wp:posOffset>
              </wp:positionV>
              <wp:extent cx="9785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616038" w:rsidRDefault="006708B1">
                          <w:pPr>
                            <w:pStyle w:val="a5"/>
                            <w:rPr>
                              <w:rFonts w:hint="eastAsia"/>
                              <w:sz w:val="28"/>
                              <w:szCs w:val="28"/>
                            </w:rPr>
                          </w:pPr>
                          <w:r w:rsidRPr="00616038">
                            <w:rPr>
                              <w:rFonts w:hint="eastAsia"/>
                              <w:color w:val="FFFFFF"/>
                              <w:sz w:val="28"/>
                              <w:szCs w:val="28"/>
                            </w:rPr>
                            <w:t>—</w:t>
                          </w:r>
                          <w:r w:rsidRPr="00616038">
                            <w:rPr>
                              <w:rFonts w:hint="eastAsia"/>
                              <w:sz w:val="28"/>
                              <w:szCs w:val="28"/>
                            </w:rPr>
                            <w:t>—</w:t>
                          </w:r>
                          <w:r w:rsidRPr="00616038">
                            <w:rPr>
                              <w:rFonts w:hint="eastAsia"/>
                              <w:sz w:val="28"/>
                              <w:szCs w:val="28"/>
                            </w:rPr>
                            <w:t xml:space="preserve"> </w:t>
                          </w:r>
                          <w:r w:rsidRPr="00616038">
                            <w:rPr>
                              <w:sz w:val="28"/>
                              <w:szCs w:val="28"/>
                            </w:rPr>
                            <w:fldChar w:fldCharType="begin"/>
                          </w:r>
                          <w:r w:rsidRPr="00616038">
                            <w:rPr>
                              <w:sz w:val="28"/>
                              <w:szCs w:val="28"/>
                            </w:rPr>
                            <w:instrText xml:space="preserve"> PAGE  \* MERGEFORMAT </w:instrText>
                          </w:r>
                          <w:r w:rsidRPr="00616038">
                            <w:rPr>
                              <w:sz w:val="28"/>
                              <w:szCs w:val="28"/>
                            </w:rPr>
                            <w:fldChar w:fldCharType="separate"/>
                          </w:r>
                          <w:r w:rsidR="004D65FF">
                            <w:rPr>
                              <w:noProof/>
                              <w:sz w:val="28"/>
                              <w:szCs w:val="28"/>
                            </w:rPr>
                            <w:t>1</w:t>
                          </w:r>
                          <w:r w:rsidRPr="00616038">
                            <w:rPr>
                              <w:sz w:val="28"/>
                              <w:szCs w:val="28"/>
                            </w:rPr>
                            <w:fldChar w:fldCharType="end"/>
                          </w:r>
                          <w:r w:rsidRPr="00616038">
                            <w:rPr>
                              <w:rFonts w:hint="eastAsia"/>
                              <w:sz w:val="28"/>
                              <w:szCs w:val="28"/>
                            </w:rPr>
                            <w:t xml:space="preserve"> </w:t>
                          </w:r>
                          <w:r w:rsidRPr="00616038">
                            <w:rPr>
                              <w:rFonts w:hint="eastAsia"/>
                              <w:sz w:val="28"/>
                              <w:szCs w:val="28"/>
                            </w:rPr>
                            <w:t>—</w:t>
                          </w:r>
                          <w:r w:rsidRPr="00616038">
                            <w:rPr>
                              <w:rFonts w:hint="eastAsia"/>
                              <w:color w:val="FFFFFF"/>
                              <w:sz w:val="28"/>
                              <w:szCs w:val="28"/>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62.7pt;margin-top:-15.95pt;width:77.05pt;height:16.1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" filled="f" stroked="f">
              <v:textbox inset="0,0,0,0">
                <w:txbxContent>
                  <w:p w:rsidR="00000000" w:rsidRPr="00616038" w:rsidRDefault="006708B1">
                    <w:pPr>
                      <w:pStyle w:val="a5"/>
                      <w:rPr>
                        <w:rFonts w:hint="eastAsia"/>
                        <w:sz w:val="28"/>
                        <w:szCs w:val="28"/>
                      </w:rPr>
                    </w:pPr>
                    <w:r w:rsidRPr="00616038">
                      <w:rPr>
                        <w:rFonts w:hint="eastAsia"/>
                        <w:color w:val="FFFFFF"/>
                        <w:sz w:val="28"/>
                        <w:szCs w:val="28"/>
                      </w:rPr>
                      <w:t>—</w:t>
                    </w:r>
                    <w:r w:rsidRPr="00616038">
                      <w:rPr>
                        <w:rFonts w:hint="eastAsia"/>
                        <w:sz w:val="28"/>
                        <w:szCs w:val="28"/>
                      </w:rPr>
                      <w:t>—</w:t>
                    </w:r>
                    <w:r w:rsidRPr="00616038">
                      <w:rPr>
                        <w:rFonts w:hint="eastAsia"/>
                        <w:sz w:val="28"/>
                        <w:szCs w:val="28"/>
                      </w:rPr>
                      <w:t xml:space="preserve"> </w:t>
                    </w:r>
                    <w:r w:rsidRPr="00616038">
                      <w:rPr>
                        <w:sz w:val="28"/>
                        <w:szCs w:val="28"/>
                      </w:rPr>
                      <w:fldChar w:fldCharType="begin"/>
                    </w:r>
                    <w:r w:rsidRPr="00616038">
                      <w:rPr>
                        <w:sz w:val="28"/>
                        <w:szCs w:val="28"/>
                      </w:rPr>
                      <w:instrText xml:space="preserve"> PAGE  \* MERGEFORMAT </w:instrText>
                    </w:r>
                    <w:r w:rsidRPr="00616038">
                      <w:rPr>
                        <w:sz w:val="28"/>
                        <w:szCs w:val="28"/>
                      </w:rPr>
                      <w:fldChar w:fldCharType="separate"/>
                    </w:r>
                    <w:r w:rsidR="004D65FF">
                      <w:rPr>
                        <w:noProof/>
                        <w:sz w:val="28"/>
                        <w:szCs w:val="28"/>
                      </w:rPr>
                      <w:t>1</w:t>
                    </w:r>
                    <w:r w:rsidRPr="00616038">
                      <w:rPr>
                        <w:sz w:val="28"/>
                        <w:szCs w:val="28"/>
                      </w:rPr>
                      <w:fldChar w:fldCharType="end"/>
                    </w:r>
                    <w:r w:rsidRPr="00616038">
                      <w:rPr>
                        <w:rFonts w:hint="eastAsia"/>
                        <w:sz w:val="28"/>
                        <w:szCs w:val="28"/>
                      </w:rPr>
                      <w:t xml:space="preserve"> </w:t>
                    </w:r>
                    <w:r w:rsidRPr="00616038">
                      <w:rPr>
                        <w:rFonts w:hint="eastAsia"/>
                        <w:sz w:val="28"/>
                        <w:szCs w:val="28"/>
                      </w:rPr>
                      <w:t>—</w:t>
                    </w:r>
                    <w:r w:rsidRPr="00616038">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B1" w:rsidRDefault="006708B1">
      <w:r>
        <w:separator/>
      </w:r>
    </w:p>
  </w:footnote>
  <w:footnote w:type="continuationSeparator" w:id="0">
    <w:p w:rsidR="006708B1" w:rsidRDefault="00670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65FF"/>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16038"/>
    <w:rsid w:val="006428CA"/>
    <w:rsid w:val="0067038A"/>
    <w:rsid w:val="006708B1"/>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F0B87"/>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36FBAD2"/>
    <w:rsid w:val="2A8D465A"/>
    <w:rsid w:val="2A97EC5D"/>
    <w:rsid w:val="2B73D00B"/>
    <w:rsid w:val="3EFF37E8"/>
    <w:rsid w:val="3FF9F815"/>
    <w:rsid w:val="43E2636A"/>
    <w:rsid w:val="4B7FECFF"/>
    <w:rsid w:val="4C1A048F"/>
    <w:rsid w:val="4F7E620B"/>
    <w:rsid w:val="57CD8CEB"/>
    <w:rsid w:val="591D3208"/>
    <w:rsid w:val="59D7FB7C"/>
    <w:rsid w:val="5F297A5F"/>
    <w:rsid w:val="63E446CD"/>
    <w:rsid w:val="67497930"/>
    <w:rsid w:val="6CDE696C"/>
    <w:rsid w:val="6DBBB018"/>
    <w:rsid w:val="6FDF4692"/>
    <w:rsid w:val="76EF6816"/>
    <w:rsid w:val="7BEFC5D8"/>
    <w:rsid w:val="7CBB6A19"/>
    <w:rsid w:val="7CD76842"/>
    <w:rsid w:val="7CF3B776"/>
    <w:rsid w:val="7D7D8CA5"/>
    <w:rsid w:val="7E784E6A"/>
    <w:rsid w:val="7ED62E8A"/>
    <w:rsid w:val="7F1FDEEA"/>
    <w:rsid w:val="7FBD76BE"/>
    <w:rsid w:val="7FF383CA"/>
    <w:rsid w:val="8FE7F07A"/>
    <w:rsid w:val="9DE7E3B3"/>
    <w:rsid w:val="F1BE48BD"/>
    <w:rsid w:val="F8FF2B43"/>
    <w:rsid w:val="FAF9F252"/>
    <w:rsid w:val="FCFF1DBF"/>
    <w:rsid w:val="FD76A1F7"/>
    <w:rsid w:val="FDD560EE"/>
    <w:rsid w:val="FDFFC995"/>
    <w:rsid w:val="FE2F09E8"/>
    <w:rsid w:val="FF5D1CE4"/>
    <w:rsid w:val="FF5F6431"/>
    <w:rsid w:val="FFB71822"/>
    <w:rsid w:val="FFBCE0B6"/>
    <w:rsid w:val="FFDD0548"/>
    <w:rsid w:val="FFDEC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BD2B97-2956-4C86-8147-32B735D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299</Words>
  <Characters>1705</Characters>
  <Application>Microsoft Office Word</Application>
  <DocSecurity>0</DocSecurity>
  <Lines>14</Lines>
  <Paragraphs>3</Paragraphs>
  <ScaleCrop>false</ScaleCrop>
  <Company>Xtzj.Com</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2021-11-23T14:08:00Z</cp:lastPrinted>
  <dcterms:created xsi:type="dcterms:W3CDTF">2021-11-24T08:54:00Z</dcterms:created>
  <dcterms:modified xsi:type="dcterms:W3CDTF">2021-11-24T08:54:00Z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