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26DD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00000" w:rsidRDefault="00D26DD7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D26DD7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磷酸川芎嗪口服制剂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说明书修订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000000" w:rsidRDefault="00D26DD7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000000" w:rsidRDefault="00D26DD7">
      <w:pPr>
        <w:widowControl/>
        <w:spacing w:line="59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2"/>
          <w:szCs w:val="32"/>
        </w:rPr>
        <w:t>磷酸川芎嗪口服制剂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磷酸川芎嗪片、磷酸川芎嗪滴丸、磷酸川芎嗪胶囊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00000" w:rsidRDefault="00D26DD7">
      <w:pPr>
        <w:pStyle w:val="a3"/>
        <w:spacing w:line="590" w:lineRule="exact"/>
        <w:ind w:firstLineChars="200" w:firstLine="64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一</w:t>
      </w:r>
      <w:r>
        <w:rPr>
          <w:rFonts w:ascii="黑体" w:eastAsia="黑体" w:hAnsi="黑体" w:hint="eastAsia"/>
          <w:b w:val="0"/>
          <w:sz w:val="32"/>
          <w:szCs w:val="32"/>
        </w:rPr>
        <w:t>、【不良反应】项应包含以下内容</w:t>
      </w:r>
    </w:p>
    <w:p w:rsidR="00000000" w:rsidRDefault="00D26DD7">
      <w:pPr>
        <w:spacing w:line="59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上市后监测中发现磷酸川芎嗪口服制剂有以下不良反应</w:t>
      </w:r>
      <w:r>
        <w:rPr>
          <w:rFonts w:ascii="仿宋_GB2312" w:eastAsia="仿宋_GB2312" w:hAnsi="宋体"/>
          <w:sz w:val="32"/>
          <w:szCs w:val="32"/>
        </w:rPr>
        <w:t>/</w:t>
      </w:r>
      <w:r>
        <w:rPr>
          <w:rFonts w:ascii="仿宋_GB2312" w:eastAsia="仿宋_GB2312" w:hAnsi="宋体"/>
          <w:sz w:val="32"/>
          <w:szCs w:val="32"/>
        </w:rPr>
        <w:t>事件报告（发生率未知）：</w:t>
      </w:r>
    </w:p>
    <w:p w:rsidR="00000000" w:rsidRDefault="00D26DD7">
      <w:pPr>
        <w:spacing w:line="59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胃肠</w:t>
      </w:r>
      <w:r>
        <w:rPr>
          <w:rFonts w:ascii="Times New Roman" w:eastAsia="仿宋_GB2312" w:hAnsi="Times New Roman" w:hint="eastAsia"/>
          <w:b/>
          <w:sz w:val="32"/>
          <w:szCs w:val="32"/>
        </w:rPr>
        <w:t>系统</w:t>
      </w:r>
      <w:r>
        <w:rPr>
          <w:rFonts w:ascii="Times New Roman" w:eastAsia="仿宋_GB2312" w:hAnsi="Times New Roman"/>
          <w:b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口干、口苦、</w:t>
      </w:r>
      <w:r>
        <w:rPr>
          <w:rFonts w:ascii="Times New Roman" w:eastAsia="仿宋_GB2312" w:hAnsi="Times New Roman"/>
          <w:sz w:val="32"/>
          <w:szCs w:val="32"/>
        </w:rPr>
        <w:t>恶心、呕吐、腹痛、腹泻、胃部不适等。</w:t>
      </w:r>
    </w:p>
    <w:p w:rsidR="00000000" w:rsidRDefault="00D26DD7">
      <w:pPr>
        <w:spacing w:line="59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sz w:val="32"/>
          <w:szCs w:val="32"/>
        </w:rPr>
        <w:t>神经系统及精神反应：</w:t>
      </w:r>
      <w:r>
        <w:rPr>
          <w:rFonts w:ascii="Times New Roman" w:eastAsia="仿宋_GB2312" w:hAnsi="Times New Roman"/>
          <w:color w:val="000000"/>
          <w:sz w:val="32"/>
          <w:szCs w:val="32"/>
        </w:rPr>
        <w:t>头晕、眩晕、头痛、</w:t>
      </w:r>
      <w:r>
        <w:rPr>
          <w:rFonts w:ascii="Times New Roman" w:eastAsia="仿宋_GB2312" w:hAnsi="Times New Roman" w:hint="eastAsia"/>
          <w:sz w:val="32"/>
          <w:szCs w:val="32"/>
        </w:rPr>
        <w:t>嗜睡、失眠等。</w:t>
      </w:r>
    </w:p>
    <w:p w:rsidR="00000000" w:rsidRDefault="00D26DD7">
      <w:pPr>
        <w:spacing w:line="59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 w:hint="eastAsia"/>
          <w:b/>
          <w:sz w:val="32"/>
          <w:szCs w:val="32"/>
        </w:rPr>
        <w:t>皮肤及皮下组织</w:t>
      </w:r>
      <w:r>
        <w:rPr>
          <w:rFonts w:ascii="Times New Roman" w:eastAsia="仿宋_GB2312" w:hAnsi="Times New Roman"/>
          <w:b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sz w:val="32"/>
          <w:szCs w:val="32"/>
        </w:rPr>
        <w:t>瘙痒、皮疹等。</w:t>
      </w:r>
    </w:p>
    <w:p w:rsidR="00000000" w:rsidRDefault="00D26DD7">
      <w:pPr>
        <w:spacing w:line="59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Times New Roman" w:eastAsia="仿宋_GB2312" w:hAnsi="Times New Roman"/>
          <w:b/>
          <w:sz w:val="32"/>
          <w:szCs w:val="32"/>
        </w:rPr>
        <w:t>全身性损害：</w:t>
      </w:r>
      <w:r>
        <w:rPr>
          <w:rFonts w:ascii="Times New Roman" w:eastAsia="仿宋_GB2312" w:hAnsi="Times New Roman"/>
          <w:color w:val="000000"/>
          <w:sz w:val="32"/>
          <w:szCs w:val="32"/>
        </w:rPr>
        <w:t>乏力、外周水肿等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000000" w:rsidRDefault="00D26DD7">
      <w:pPr>
        <w:spacing w:line="59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5.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其他：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潮红、</w:t>
      </w:r>
      <w:r>
        <w:rPr>
          <w:rFonts w:ascii="仿宋_GB2312" w:eastAsia="仿宋_GB2312" w:hAnsi="宋体"/>
          <w:color w:val="000000"/>
          <w:sz w:val="32"/>
          <w:szCs w:val="32"/>
        </w:rPr>
        <w:t>心悸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、呼吸困难、超敏反应、低血压等。</w:t>
      </w:r>
    </w:p>
    <w:p w:rsidR="00000000" w:rsidRDefault="00D26DD7">
      <w:pPr>
        <w:pStyle w:val="a3"/>
        <w:spacing w:line="590" w:lineRule="exact"/>
        <w:ind w:firstLineChars="200" w:firstLine="640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 w:val="0"/>
          <w:bCs/>
          <w:sz w:val="32"/>
          <w:szCs w:val="32"/>
        </w:rPr>
        <w:t>、【禁忌】项应包含以下内容</w:t>
      </w:r>
    </w:p>
    <w:p w:rsidR="00000000" w:rsidRDefault="00D26DD7">
      <w:pPr>
        <w:pStyle w:val="a3"/>
        <w:spacing w:line="590" w:lineRule="exact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b w:val="0"/>
          <w:sz w:val="32"/>
          <w:szCs w:val="32"/>
        </w:rPr>
        <w:t>1.</w:t>
      </w:r>
      <w:r>
        <w:rPr>
          <w:rFonts w:ascii="Times New Roman" w:hint="eastAsia"/>
          <w:b w:val="0"/>
          <w:sz w:val="32"/>
          <w:szCs w:val="32"/>
        </w:rPr>
        <w:t>对本品及所含成份过敏者禁用</w:t>
      </w:r>
      <w:r>
        <w:rPr>
          <w:rFonts w:ascii="Times New Roman" w:hint="eastAsia"/>
          <w:sz w:val="32"/>
          <w:szCs w:val="32"/>
        </w:rPr>
        <w:t>。</w:t>
      </w:r>
    </w:p>
    <w:p w:rsidR="00000000" w:rsidRDefault="00D26DD7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脑出血或有出血倾向的患者禁用。</w:t>
      </w:r>
    </w:p>
    <w:p w:rsidR="00000000" w:rsidRDefault="00D26DD7">
      <w:pPr>
        <w:spacing w:line="59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孕妇禁用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000000" w:rsidRDefault="00D26DD7">
      <w:p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、【注意事项】项应包含以下内容</w:t>
      </w:r>
    </w:p>
    <w:p w:rsidR="00000000" w:rsidRDefault="00D26DD7">
      <w:pPr>
        <w:spacing w:line="59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不可同时使用与本品所含成分相似（川芎嗪）的品种，避免超剂量用药。</w:t>
      </w:r>
    </w:p>
    <w:p w:rsidR="00000000" w:rsidRDefault="00D26DD7">
      <w:pPr>
        <w:pStyle w:val="a3"/>
        <w:spacing w:line="590" w:lineRule="exact"/>
        <w:ind w:firstLineChars="200" w:firstLine="64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lastRenderedPageBreak/>
        <w:t>四</w:t>
      </w:r>
      <w:r>
        <w:rPr>
          <w:rFonts w:ascii="黑体" w:eastAsia="黑体" w:hAnsi="黑体" w:hint="eastAsia"/>
          <w:b w:val="0"/>
          <w:sz w:val="32"/>
          <w:szCs w:val="32"/>
        </w:rPr>
        <w:t>、【儿童用药】项应包含以下内容</w:t>
      </w:r>
    </w:p>
    <w:p w:rsidR="00000000" w:rsidRDefault="00D26DD7">
      <w:pPr>
        <w:pStyle w:val="a3"/>
        <w:spacing w:line="590" w:lineRule="exact"/>
        <w:ind w:firstLineChars="200" w:firstLine="640"/>
        <w:rPr>
          <w:rFonts w:hAnsi="宋体"/>
          <w:b w:val="0"/>
          <w:sz w:val="32"/>
          <w:szCs w:val="32"/>
        </w:rPr>
      </w:pPr>
      <w:r>
        <w:rPr>
          <w:rFonts w:hAnsi="宋体" w:hint="eastAsia"/>
          <w:b w:val="0"/>
          <w:sz w:val="32"/>
          <w:szCs w:val="32"/>
        </w:rPr>
        <w:t>未进行该项实验且无可靠参考文献，不建议儿童使用。</w:t>
      </w:r>
    </w:p>
    <w:p w:rsidR="00000000" w:rsidRDefault="00D26DD7">
      <w:pPr>
        <w:pStyle w:val="a3"/>
        <w:spacing w:line="590" w:lineRule="exact"/>
        <w:ind w:firstLineChars="200" w:firstLine="64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五</w:t>
      </w:r>
      <w:r>
        <w:rPr>
          <w:rFonts w:ascii="黑体" w:eastAsia="黑体" w:hAnsi="黑体" w:hint="eastAsia"/>
          <w:b w:val="0"/>
          <w:sz w:val="32"/>
          <w:szCs w:val="32"/>
        </w:rPr>
        <w:t>、【孕妇和哺乳期妇女】项应包含以下内容</w:t>
      </w:r>
    </w:p>
    <w:p w:rsidR="00000000" w:rsidRDefault="00D26DD7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孕妇禁用。哺乳期妇女应用本品需权衡利弊，谨慎使用。</w:t>
      </w:r>
    </w:p>
    <w:p w:rsidR="00000000" w:rsidRDefault="00D26DD7">
      <w:pPr>
        <w:widowControl/>
        <w:spacing w:line="59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D26DD7">
      <w:pPr>
        <w:tabs>
          <w:tab w:val="left" w:pos="675"/>
        </w:tabs>
        <w:spacing w:line="59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注：如原批准说明书的安全性内容较本修订要求内容更全面或更严</w:t>
      </w:r>
      <w:r>
        <w:rPr>
          <w:rFonts w:ascii="Times New Roman" w:eastAsia="仿宋_GB2312" w:hAnsi="Times New Roman" w:hint="eastAsia"/>
          <w:sz w:val="32"/>
          <w:szCs w:val="32"/>
        </w:rPr>
        <w:t>格的，应保留原批准内容。说明书其他内容如与上述修订要求不一致的，应当一并进行修订。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000000" w:rsidRDefault="00D26DD7">
      <w:pPr>
        <w:tabs>
          <w:tab w:val="left" w:pos="675"/>
        </w:tabs>
        <w:spacing w:line="560" w:lineRule="exact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000000" w:rsidRDefault="00D26DD7">
      <w:pPr>
        <w:spacing w:line="360" w:lineRule="auto"/>
        <w:rPr>
          <w:color w:val="FF0000"/>
          <w:sz w:val="30"/>
          <w:szCs w:val="30"/>
        </w:rPr>
      </w:pPr>
    </w:p>
    <w:p w:rsidR="00D26DD7" w:rsidRDefault="00D26DD7">
      <w:pPr>
        <w:spacing w:line="360" w:lineRule="auto"/>
        <w:rPr>
          <w:color w:val="FF0000"/>
          <w:sz w:val="30"/>
          <w:szCs w:val="30"/>
        </w:rPr>
      </w:pPr>
    </w:p>
    <w:sectPr w:rsidR="00D26DD7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D7" w:rsidRDefault="00D26DD7">
      <w:r>
        <w:separator/>
      </w:r>
    </w:p>
  </w:endnote>
  <w:endnote w:type="continuationSeparator" w:id="0">
    <w:p w:rsidR="00D26DD7" w:rsidRDefault="00D2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A64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444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26DD7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6D9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" filled="f" stroked="f">
              <v:textbox style="mso-fit-shape-to-text:t" inset="0,0,0,0">
                <w:txbxContent>
                  <w:p w:rsidR="00000000" w:rsidRDefault="00D26DD7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66D9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D7" w:rsidRDefault="00D26DD7">
      <w:r>
        <w:separator/>
      </w:r>
    </w:p>
  </w:footnote>
  <w:footnote w:type="continuationSeparator" w:id="0">
    <w:p w:rsidR="00D26DD7" w:rsidRDefault="00D26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7E"/>
    <w:rsid w:val="00125ADB"/>
    <w:rsid w:val="004A64A5"/>
    <w:rsid w:val="0050487E"/>
    <w:rsid w:val="00866D91"/>
    <w:rsid w:val="00D26DD7"/>
    <w:rsid w:val="3EAB0813"/>
    <w:rsid w:val="6251C34C"/>
    <w:rsid w:val="FE7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16F11-5002-415E-B6F6-247D3F69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</w:pPr>
    <w:rPr>
      <w:rFonts w:ascii="仿宋_GB2312" w:eastAsia="仿宋_GB2312" w:hAnsi="Times New Roman"/>
      <w:b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2022-12-29T08:59:00Z</dcterms:created>
  <dcterms:modified xsi:type="dcterms:W3CDTF">2022-12-29T08:59:00Z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