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i w:val="0"/>
          <w:caps w:val="0"/>
          <w:color w:val="484848"/>
          <w:spacing w:val="0"/>
          <w:sz w:val="32"/>
          <w:szCs w:val="32"/>
          <w:u w:val="none"/>
          <w:lang w:val="en-US" w:eastAsia="zh-CN"/>
        </w:rPr>
      </w:pPr>
      <w:r>
        <w:rPr>
          <w:rFonts w:hint="eastAsia" w:ascii="黑体" w:hAnsi="黑体" w:eastAsia="黑体"/>
          <w:sz w:val="32"/>
          <w:szCs w:val="24"/>
          <w:lang w:val="en-US" w:eastAsia="zh-CN" w:bidi="ar-SA"/>
        </w:rPr>
        <w:t>附件2</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i w:val="0"/>
          <w:caps w:val="0"/>
          <w:color w:val="484848"/>
          <w:spacing w:val="0"/>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方正小标宋简体" w:hAnsi="方正小标宋简体" w:eastAsia="方正小标宋简体" w:cs="方正小标宋简体"/>
          <w:b w:val="0"/>
          <w:bCs w:val="0"/>
          <w:sz w:val="44"/>
          <w:szCs w:val="24"/>
          <w:lang w:val="en-US" w:eastAsia="zh-CN" w:bidi="ar-SA"/>
        </w:rPr>
      </w:pPr>
      <w:r>
        <w:rPr>
          <w:rFonts w:hint="eastAsia" w:ascii="方正小标宋简体" w:hAnsi="方正小标宋简体" w:eastAsia="方正小标宋简体" w:cs="方正小标宋简体"/>
          <w:b w:val="0"/>
          <w:bCs w:val="0"/>
          <w:sz w:val="44"/>
          <w:szCs w:val="24"/>
          <w:lang w:val="en-US" w:eastAsia="zh-CN" w:bidi="ar-SA"/>
        </w:rPr>
        <w:t>2022年学校卫生国家随机监督抽查计划</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i w:val="0"/>
          <w:caps w:val="0"/>
          <w:color w:val="484848"/>
          <w:spacing w:val="0"/>
          <w:sz w:val="32"/>
          <w:szCs w:val="32"/>
          <w:u w:val="none"/>
          <w:lang w:eastAsia="zh-CN"/>
        </w:rPr>
      </w:pP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Times New Roman" w:hAnsi="Times New Roman" w:eastAsia="仿宋_GB2312" w:cs="Times New Roman"/>
          <w:w w:val="100"/>
          <w:sz w:val="32"/>
          <w:szCs w:val="24"/>
          <w:lang w:val="en-US" w:eastAsia="zh-CN" w:bidi="ar-SA"/>
        </w:rPr>
      </w:pPr>
      <w:r>
        <w:rPr>
          <w:rFonts w:hint="eastAsia" w:ascii="黑体" w:hAnsi="黑体" w:eastAsia="黑体" w:cs="黑体"/>
          <w:w w:val="100"/>
          <w:sz w:val="32"/>
          <w:szCs w:val="24"/>
          <w:lang w:val="en-US" w:eastAsia="zh-CN" w:bidi="ar-SA"/>
        </w:rPr>
        <w:t>一、监督抽查工作内容</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楷体" w:hAnsi="楷体" w:eastAsia="楷体" w:cs="楷体"/>
          <w:w w:val="100"/>
          <w:sz w:val="32"/>
          <w:szCs w:val="24"/>
          <w:lang w:val="en-US" w:eastAsia="zh-CN" w:bidi="ar-SA"/>
        </w:rPr>
      </w:pPr>
      <w:r>
        <w:rPr>
          <w:rFonts w:hint="eastAsia" w:ascii="楷体" w:hAnsi="楷体" w:eastAsia="楷体" w:cs="楷体"/>
          <w:w w:val="100"/>
          <w:sz w:val="32"/>
          <w:szCs w:val="24"/>
          <w:lang w:val="en-US" w:eastAsia="zh-CN" w:bidi="ar-SA"/>
        </w:rPr>
        <w:t>（一）监督检查对象</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中小学校及高校。</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楷体" w:hAnsi="楷体" w:eastAsia="楷体" w:cs="楷体"/>
          <w:w w:val="100"/>
          <w:sz w:val="32"/>
          <w:szCs w:val="24"/>
          <w:lang w:val="en-US" w:eastAsia="zh-CN" w:bidi="ar-SA"/>
        </w:rPr>
      </w:pPr>
      <w:r>
        <w:rPr>
          <w:rFonts w:hint="eastAsia" w:ascii="楷体" w:hAnsi="楷体" w:eastAsia="楷体" w:cs="楷体"/>
          <w:w w:val="100"/>
          <w:sz w:val="32"/>
          <w:szCs w:val="24"/>
          <w:lang w:val="en-US" w:eastAsia="zh-CN" w:bidi="ar-SA"/>
        </w:rPr>
        <w:t>（二）范围和数量</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监督抽查辖区学校总数的15%。按抽查任务的50%进行检测。</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eastAsia" w:ascii="楷体" w:hAnsi="楷体" w:eastAsia="楷体" w:cs="楷体"/>
          <w:w w:val="100"/>
          <w:sz w:val="32"/>
          <w:szCs w:val="24"/>
          <w:lang w:val="en-US" w:eastAsia="zh-CN" w:bidi="ar-SA"/>
        </w:rPr>
        <w:t>（三）检查内容</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1.检查学校落实教学和生活环境卫生要求情况，包括教室课桌椅配备（指每间教室至少设有2 种不同高低型号的课桌椅，且每人一席）、教室采光和照明（教室采光和照明检查项目含窗地面积比、采光方向、防眩光措施、装设人工照明、黑板局部照明灯设置、课桌面照度及均匀度、黑板照度及均匀度，按照《中小学校教室采光和照明卫生标准》（GB7793）的规定进行达标判定）、教室人均面积、教室和宿舍通风设施、教学楼厕所及洗手设施设置等情况。学校提供的学习用品达标情况（指达到《儿童青少年学习用品近视防控卫生要求》（GB40070）相关规定情况），包括教室灯具、考试试卷等情况。</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2.检查学校落实传染病和常见病防控要求情况，包括专人负责疫情报告、传染病防控“一案八制”（指《中小学校传染病预防控制工作管理规范》（GB28932）第4.8条规定的传染病预防控制应急预案和相关制度）</w:t>
      </w:r>
      <w:r>
        <w:rPr>
          <w:rFonts w:hint="eastAsia" w:eastAsia="仿宋_GB2312" w:cs="Times New Roman"/>
          <w:w w:val="100"/>
          <w:sz w:val="32"/>
          <w:szCs w:val="24"/>
          <w:lang w:val="en-US" w:eastAsia="zh-CN" w:bidi="ar-SA"/>
        </w:rPr>
        <w:t>、</w:t>
      </w:r>
      <w:r>
        <w:rPr>
          <w:rFonts w:hint="default" w:ascii="Times New Roman" w:hAnsi="Times New Roman" w:eastAsia="仿宋_GB2312" w:cs="Times New Roman"/>
          <w:w w:val="100"/>
          <w:sz w:val="32"/>
          <w:szCs w:val="24"/>
          <w:lang w:val="en-US" w:eastAsia="zh-CN" w:bidi="ar-SA"/>
        </w:rPr>
        <w:t>晨检记录和因病缺勤病因追查与登记记录、复课证明查验、新生入学接种证查验登记、每年按规定实施学生健康体检等情况。学校新冠疫情常态化防控措施落实情况（落实属地新冠疫情常态化防控措施要求即为合格）。</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3.检查学校落实饮用水卫生要求情况，包括使用自建设施集中式供水的学校落实水源卫生防护、配备使用水质消毒设施设备情况和使用二次供水的学校防止蓄水池周围污染和按规定开展蓄水池清洗消毒情况。</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4.检查学校纳入卫生监督协管服务情况。</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eastAsia" w:ascii="楷体" w:hAnsi="楷体" w:eastAsia="楷体" w:cs="楷体"/>
          <w:w w:val="100"/>
          <w:sz w:val="32"/>
          <w:szCs w:val="24"/>
          <w:lang w:val="en-US" w:eastAsia="zh-CN" w:bidi="ar-SA"/>
        </w:rPr>
        <w:t>（四）检测项目</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1.教室采光、照明及教室人均面积；学校自制考试试卷纸张D65亮度及D65荧光亮度、字体字号、行空。</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2.学校自建设施集中式供水和二次供水水质色度、浑浊度、臭和味、肉眼可见物、pH 和消毒剂余量。</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eastAsia" w:ascii="楷体" w:hAnsi="楷体" w:eastAsia="楷体" w:cs="楷体"/>
          <w:w w:val="100"/>
          <w:sz w:val="32"/>
          <w:szCs w:val="24"/>
          <w:lang w:val="en-US" w:eastAsia="zh-CN" w:bidi="ar-SA"/>
        </w:rPr>
        <w:t>（五）检查要求</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要积极推进通过手持执法终端、全过程执法记录设备等,提高行政执法效率、增强执法公正性。加大违法行为的打击力度，依法依规严肃查处违法行为</w:t>
      </w:r>
      <w:r>
        <w:rPr>
          <w:rFonts w:hint="eastAsia" w:eastAsia="仿宋_GB2312" w:cs="Times New Roman"/>
          <w:w w:val="100"/>
          <w:sz w:val="32"/>
          <w:szCs w:val="24"/>
          <w:lang w:val="en-US" w:eastAsia="zh-CN" w:bidi="ar-SA"/>
        </w:rPr>
        <w:t>，</w:t>
      </w:r>
      <w:r>
        <w:rPr>
          <w:rFonts w:hint="default" w:ascii="Times New Roman" w:hAnsi="Times New Roman" w:eastAsia="仿宋_GB2312" w:cs="Times New Roman"/>
          <w:w w:val="100"/>
          <w:sz w:val="32"/>
          <w:szCs w:val="24"/>
          <w:lang w:val="en-US" w:eastAsia="zh-CN" w:bidi="ar-SA"/>
        </w:rPr>
        <w:t>发现违法行为符合立案条件的</w:t>
      </w:r>
      <w:r>
        <w:rPr>
          <w:rFonts w:hint="eastAsia" w:eastAsia="仿宋_GB2312" w:cs="Times New Roman"/>
          <w:w w:val="100"/>
          <w:sz w:val="32"/>
          <w:szCs w:val="24"/>
          <w:lang w:val="en-US" w:eastAsia="zh-CN" w:bidi="ar-SA"/>
        </w:rPr>
        <w:t>，</w:t>
      </w:r>
      <w:r>
        <w:rPr>
          <w:rFonts w:hint="default" w:ascii="Times New Roman" w:hAnsi="Times New Roman" w:eastAsia="仿宋_GB2312" w:cs="Times New Roman"/>
          <w:w w:val="100"/>
          <w:sz w:val="32"/>
          <w:szCs w:val="24"/>
          <w:lang w:val="en-US" w:eastAsia="zh-CN" w:bidi="ar-SA"/>
        </w:rPr>
        <w:t>要坚决立案查处。</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Times New Roman" w:hAnsi="Times New Roman" w:eastAsia="仿宋_GB2312" w:cs="Times New Roman"/>
          <w:w w:val="100"/>
          <w:sz w:val="32"/>
          <w:szCs w:val="24"/>
          <w:lang w:val="en-US" w:eastAsia="zh-CN" w:bidi="ar-SA"/>
        </w:rPr>
      </w:pPr>
      <w:r>
        <w:rPr>
          <w:rFonts w:hint="eastAsia" w:ascii="黑体" w:hAnsi="黑体" w:eastAsia="黑体" w:cs="黑体"/>
          <w:w w:val="100"/>
          <w:sz w:val="32"/>
          <w:szCs w:val="24"/>
          <w:lang w:val="en-US" w:eastAsia="zh-CN" w:bidi="ar-SA"/>
        </w:rPr>
        <w:t>二、结果报送要求</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一）各地州市要切实加强对上报数据信息的审核，按照抽查工作计划及监督信息报告卡要求填报数据信息，保证数据信息项目齐全、质量可靠，通过卫生健康监督信息系统按时上报相关信息。信息应当在抽查任务完成之日起20个工作日内向社会公开,行政处罚信息自作出行政处罚决定之日起7个工作日内向社会公开。</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（二）各</w:t>
      </w:r>
      <w:r>
        <w:rPr>
          <w:rFonts w:hint="default" w:ascii="Times New Roman" w:hAnsi="Times New Roman" w:eastAsia="仿宋_GB2312" w:cs="Times New Roman"/>
          <w:color w:val="auto"/>
          <w:sz w:val="32"/>
          <w:szCs w:val="32"/>
          <w:lang w:val="en-US" w:eastAsia="zh-CN"/>
        </w:rPr>
        <w:t>地</w:t>
      </w:r>
      <w:bookmarkStart w:id="0" w:name="_GoBack"/>
      <w:bookmarkEnd w:id="0"/>
      <w:r>
        <w:rPr>
          <w:rFonts w:hint="default" w:ascii="Times New Roman" w:hAnsi="Times New Roman" w:eastAsia="仿宋_GB2312" w:cs="Times New Roman"/>
          <w:w w:val="100"/>
          <w:sz w:val="32"/>
          <w:szCs w:val="24"/>
          <w:lang w:val="en-US" w:eastAsia="zh-CN" w:bidi="ar-SA"/>
        </w:rPr>
        <w:t>要将完成本项抽查计划中的学校采光和照明抽检任务，作为贯彻落实《综合防控儿童青少年近视实施方案》的一项重要内容，会同辖区教育行政部门做好抽检、记录和公布工作。</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（三）各</w:t>
      </w:r>
      <w:r>
        <w:rPr>
          <w:rFonts w:hint="default" w:ascii="Times New Roman" w:hAnsi="Times New Roman" w:eastAsia="仿宋_GB2312" w:cs="Times New Roman"/>
          <w:color w:val="auto"/>
          <w:sz w:val="32"/>
          <w:szCs w:val="32"/>
          <w:lang w:val="en-US" w:eastAsia="zh-CN"/>
        </w:rPr>
        <w:t>地（州、市）</w:t>
      </w:r>
      <w:r>
        <w:rPr>
          <w:rFonts w:hint="default" w:ascii="Times New Roman" w:hAnsi="Times New Roman" w:eastAsia="仿宋_GB2312" w:cs="Times New Roman"/>
          <w:w w:val="100"/>
          <w:sz w:val="32"/>
          <w:szCs w:val="24"/>
          <w:lang w:val="en-US" w:eastAsia="zh-CN" w:bidi="ar-SA"/>
        </w:rPr>
        <w:t>分别于2022年10月30日前向上级卫生行政部门和自治区卫生健康综合监督执法局学校卫生监督科提交全年工作情况报告。情况报告中应包含本文监督抽查工作内容的所有项目，并写明查处案件数等行政处罚数据。</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（四）各地要强化处理措施，对监督检查中发现的突出问题，及时向当地教育行政部门、政府主管部门通报情况，促进协同监管。重大案件信息要及时向上级部门报告。</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w w:val="100"/>
          <w:sz w:val="32"/>
          <w:szCs w:val="24"/>
          <w:lang w:val="en-US" w:eastAsia="zh-CN" w:bidi="ar-SA"/>
        </w:rPr>
      </w:pPr>
      <w:r>
        <w:rPr>
          <w:rFonts w:hint="eastAsia" w:eastAsia="仿宋_GB2312" w:cs="Times New Roman"/>
          <w:w w:val="100"/>
          <w:sz w:val="32"/>
          <w:szCs w:val="24"/>
          <w:lang w:val="en-US" w:eastAsia="zh-CN" w:bidi="ar-SA"/>
        </w:rPr>
        <w:t xml:space="preserve">    </w:t>
      </w:r>
      <w:r>
        <w:rPr>
          <w:rFonts w:hint="default" w:ascii="Times New Roman" w:hAnsi="Times New Roman" w:eastAsia="仿宋_GB2312" w:cs="Times New Roman"/>
          <w:w w:val="100"/>
          <w:sz w:val="32"/>
          <w:szCs w:val="24"/>
          <w:lang w:val="en-US" w:eastAsia="zh-CN" w:bidi="ar-SA"/>
        </w:rPr>
        <w:t>附</w:t>
      </w:r>
      <w:r>
        <w:rPr>
          <w:rFonts w:hint="eastAsia" w:ascii="Times New Roman" w:hAnsi="Times New Roman" w:eastAsia="仿宋_GB2312" w:cs="Times New Roman"/>
          <w:w w:val="100"/>
          <w:sz w:val="32"/>
          <w:szCs w:val="24"/>
          <w:lang w:val="en-US" w:eastAsia="zh-CN" w:bidi="ar-SA"/>
        </w:rPr>
        <w:t>表</w:t>
      </w:r>
      <w:r>
        <w:rPr>
          <w:rFonts w:hint="default" w:ascii="Times New Roman" w:hAnsi="Times New Roman" w:eastAsia="仿宋_GB2312" w:cs="Times New Roman"/>
          <w:w w:val="100"/>
          <w:sz w:val="32"/>
          <w:szCs w:val="24"/>
          <w:lang w:val="en-US" w:eastAsia="zh-CN" w:bidi="ar-SA"/>
        </w:rPr>
        <w:t>：</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w w:val="100"/>
          <w:sz w:val="32"/>
          <w:szCs w:val="24"/>
          <w:lang w:val="en-US" w:eastAsia="zh-CN" w:bidi="ar-SA"/>
        </w:rPr>
      </w:pPr>
      <w:r>
        <w:rPr>
          <w:rFonts w:hint="default" w:ascii="Times New Roman" w:hAnsi="Times New Roman" w:eastAsia="仿宋_GB2312" w:cs="Times New Roman"/>
          <w:w w:val="100"/>
          <w:sz w:val="32"/>
          <w:szCs w:val="24"/>
          <w:lang w:val="en-US" w:eastAsia="zh-CN" w:bidi="ar-SA"/>
        </w:rPr>
        <w:t>1.2022年学校卫生</w:t>
      </w:r>
      <w:r>
        <w:rPr>
          <w:rFonts w:hint="eastAsia" w:ascii="Times New Roman" w:hAnsi="Times New Roman" w:eastAsia="仿宋_GB2312" w:cs="Times New Roman"/>
          <w:w w:val="100"/>
          <w:sz w:val="32"/>
          <w:szCs w:val="24"/>
          <w:lang w:val="en-US" w:eastAsia="zh-CN" w:bidi="ar-SA"/>
        </w:rPr>
        <w:t>国家</w:t>
      </w:r>
      <w:r>
        <w:rPr>
          <w:rFonts w:hint="default" w:ascii="Times New Roman" w:hAnsi="Times New Roman" w:eastAsia="仿宋_GB2312" w:cs="Times New Roman"/>
          <w:w w:val="100"/>
          <w:sz w:val="32"/>
          <w:szCs w:val="24"/>
          <w:lang w:val="en-US" w:eastAsia="zh-CN" w:bidi="ar-SA"/>
        </w:rPr>
        <w:t>随机监督抽查工作计划表</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default" w:ascii="Times New Roman" w:hAnsi="Times New Roman" w:eastAsia="仿宋_GB2312" w:cs="Times New Roman"/>
          <w:b w:val="0"/>
          <w:i w:val="0"/>
          <w:caps w:val="0"/>
          <w:color w:val="484848"/>
          <w:spacing w:val="-20"/>
          <w:sz w:val="32"/>
          <w:szCs w:val="32"/>
          <w:u w:val="none"/>
          <w:lang w:val="en-US" w:eastAsia="zh-CN"/>
        </w:rPr>
      </w:pPr>
      <w:r>
        <w:rPr>
          <w:rFonts w:hint="default" w:ascii="Times New Roman" w:hAnsi="Times New Roman" w:eastAsia="仿宋_GB2312" w:cs="Times New Roman"/>
          <w:w w:val="100"/>
          <w:sz w:val="32"/>
          <w:szCs w:val="24"/>
          <w:lang w:val="en-US" w:eastAsia="zh-CN" w:bidi="ar-SA"/>
        </w:rPr>
        <w:t>2.2022年学校学习用品</w:t>
      </w:r>
      <w:r>
        <w:rPr>
          <w:rFonts w:hint="eastAsia" w:ascii="Times New Roman" w:hAnsi="Times New Roman" w:eastAsia="仿宋_GB2312" w:cs="Times New Roman"/>
          <w:w w:val="100"/>
          <w:sz w:val="32"/>
          <w:szCs w:val="24"/>
          <w:lang w:val="en-US" w:eastAsia="zh-CN" w:bidi="ar-SA"/>
        </w:rPr>
        <w:t>国家</w:t>
      </w:r>
      <w:r>
        <w:rPr>
          <w:rFonts w:hint="default" w:ascii="Times New Roman" w:hAnsi="Times New Roman" w:eastAsia="仿宋_GB2312" w:cs="Times New Roman"/>
          <w:w w:val="100"/>
          <w:sz w:val="32"/>
          <w:szCs w:val="24"/>
          <w:lang w:val="en-US" w:eastAsia="zh-CN" w:bidi="ar-SA"/>
        </w:rPr>
        <w:t>随机监督抽查信息汇总表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i w:val="0"/>
          <w:caps w:val="0"/>
          <w:color w:val="484848"/>
          <w:spacing w:val="-20"/>
          <w:sz w:val="32"/>
          <w:szCs w:val="32"/>
          <w:u w:val="none"/>
          <w:lang w:val="en-US" w:eastAsia="zh-CN"/>
        </w:rPr>
        <w:sectPr>
          <w:pgSz w:w="12240" w:h="15840"/>
          <w:pgMar w:top="1440" w:right="1800" w:bottom="1440" w:left="1800" w:header="720" w:footer="720" w:gutter="0"/>
          <w:lnNumType w:countBy="0" w:distance="360"/>
          <w:cols w:space="720" w:num="1"/>
          <w:docGrid w:type="lines" w:linePitch="312" w:charSpace="0"/>
        </w:sectPr>
      </w:pPr>
      <w:r>
        <w:rPr>
          <w:rFonts w:hint="eastAsia" w:ascii="仿宋" w:hAnsi="仿宋" w:eastAsia="仿宋" w:cs="仿宋"/>
          <w:b w:val="0"/>
          <w:i w:val="0"/>
          <w:caps w:val="0"/>
          <w:color w:val="484848"/>
          <w:spacing w:val="-20"/>
          <w:sz w:val="32"/>
          <w:szCs w:val="32"/>
          <w:u w:val="none"/>
          <w:lang w:val="en-US" w:eastAsia="zh-CN"/>
        </w:rPr>
        <w:br w:type="page"/>
      </w:r>
    </w:p>
    <w:p>
      <w:pPr>
        <w:spacing w:beforeLines="0" w:afterLines="0"/>
        <w:jc w:val="both"/>
        <w:rPr>
          <w:rFonts w:hint="eastAsia" w:ascii="黑体" w:hAnsi="黑体" w:eastAsia="黑体" w:cs="黑体"/>
          <w:spacing w:val="1"/>
          <w:position w:val="3"/>
          <w:sz w:val="32"/>
          <w:szCs w:val="32"/>
          <w:lang w:val="en-US" w:eastAsia="zh-CN" w:bidi="ar-SA"/>
        </w:rPr>
      </w:pPr>
      <w:r>
        <w:rPr>
          <w:rFonts w:hint="eastAsia" w:ascii="黑体" w:hAnsi="黑体" w:eastAsia="黑体" w:cs="黑体"/>
          <w:spacing w:val="1"/>
          <w:position w:val="3"/>
          <w:sz w:val="32"/>
          <w:szCs w:val="32"/>
          <w:lang w:val="en-US" w:eastAsia="zh-CN" w:bidi="ar-SA"/>
        </w:rPr>
        <w:t>附表1</w:t>
      </w:r>
    </w:p>
    <w:p>
      <w:pPr>
        <w:jc w:val="center"/>
        <w:rPr>
          <w:rFonts w:hint="eastAsia" w:ascii="方正小标宋简体" w:hAnsi="方正小标宋简体" w:eastAsia="方正小标宋简体" w:cs="方正小标宋简体"/>
          <w:b w:val="0"/>
          <w:bCs w:val="0"/>
          <w:i w:val="0"/>
          <w:caps w:val="0"/>
          <w:color w:val="484848"/>
          <w:spacing w:val="0"/>
          <w:sz w:val="44"/>
          <w:szCs w:val="44"/>
          <w:u w:val="none"/>
        </w:rPr>
      </w:pPr>
      <w:r>
        <w:rPr>
          <w:rFonts w:hint="eastAsia" w:ascii="方正小标宋简体" w:hAnsi="方正小标宋简体" w:eastAsia="方正小标宋简体" w:cs="方正小标宋简体"/>
          <w:spacing w:val="1"/>
          <w:sz w:val="44"/>
          <w:szCs w:val="44"/>
          <w:lang w:val="en-US" w:eastAsia="zh-CN" w:bidi="ar-SA"/>
        </w:rPr>
        <w:t>2022年自治区学校卫生随机监督抽查工作计划表</w:t>
      </w:r>
    </w:p>
    <w:tbl>
      <w:tblPr>
        <w:tblStyle w:val="3"/>
        <w:tblW w:w="13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1976"/>
        <w:gridCol w:w="6770"/>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i w:val="0"/>
                <w:caps w:val="0"/>
                <w:color w:val="484848"/>
                <w:spacing w:val="0"/>
                <w:sz w:val="24"/>
                <w:szCs w:val="24"/>
                <w:u w:val="none"/>
                <w:lang w:val="en-US" w:eastAsia="zh-CN"/>
              </w:rPr>
            </w:pPr>
            <w:r>
              <w:rPr>
                <w:rFonts w:hint="default" w:ascii="Times New Roman" w:hAnsi="Times New Roman" w:eastAsia="仿宋_GB2312" w:cs="Times New Roman"/>
                <w:sz w:val="24"/>
                <w:szCs w:val="24"/>
                <w:lang w:val="en-US" w:eastAsia="zh-CN"/>
              </w:rPr>
              <w:t>监督检查对象</w:t>
            </w:r>
          </w:p>
        </w:tc>
        <w:tc>
          <w:tcPr>
            <w:tcW w:w="197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范围和数量</w:t>
            </w:r>
          </w:p>
        </w:tc>
        <w:tc>
          <w:tcPr>
            <w:tcW w:w="677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检查内容</w:t>
            </w:r>
          </w:p>
        </w:tc>
        <w:tc>
          <w:tcPr>
            <w:tcW w:w="22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i w:val="0"/>
                <w:caps w:val="0"/>
                <w:color w:val="484848"/>
                <w:spacing w:val="0"/>
                <w:sz w:val="24"/>
                <w:szCs w:val="24"/>
                <w:u w:val="none"/>
                <w:lang w:val="en-US" w:eastAsia="zh-CN"/>
              </w:rPr>
            </w:pPr>
            <w:r>
              <w:rPr>
                <w:rFonts w:hint="default" w:ascii="Times New Roman" w:hAnsi="Times New Roman" w:eastAsia="仿宋_GB2312" w:cs="Times New Roman"/>
                <w:sz w:val="24"/>
                <w:szCs w:val="24"/>
              </w:rPr>
              <w:t>中小学校及高校</w:t>
            </w:r>
          </w:p>
        </w:tc>
        <w:tc>
          <w:tcPr>
            <w:tcW w:w="197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i w:val="0"/>
                <w:caps w:val="0"/>
                <w:color w:val="484848"/>
                <w:spacing w:val="0"/>
                <w:sz w:val="24"/>
                <w:szCs w:val="24"/>
                <w:u w:val="none"/>
                <w:lang w:val="en-US" w:eastAsia="zh-CN"/>
              </w:rPr>
            </w:pPr>
            <w:r>
              <w:rPr>
                <w:rFonts w:hint="default" w:ascii="Times New Roman" w:hAnsi="Times New Roman" w:eastAsia="仿宋_GB2312" w:cs="Times New Roman"/>
                <w:sz w:val="24"/>
                <w:szCs w:val="24"/>
              </w:rPr>
              <w:t>辖区学校总数的</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5%</w:t>
            </w:r>
            <w:r>
              <w:rPr>
                <w:rFonts w:hint="default" w:ascii="Times New Roman" w:hAnsi="Times New Roman" w:eastAsia="仿宋_GB2312" w:cs="Times New Roman"/>
                <w:sz w:val="24"/>
                <w:szCs w:val="24"/>
                <w:vertAlign w:val="superscript"/>
              </w:rPr>
              <w:t>(a)</w:t>
            </w:r>
          </w:p>
        </w:tc>
        <w:tc>
          <w:tcPr>
            <w:tcW w:w="677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1.学校落实教学和生活环境卫生要求情况，包括教室课桌椅配备</w:t>
            </w:r>
            <w:r>
              <w:rPr>
                <w:rFonts w:hint="default" w:ascii="Times New Roman" w:hAnsi="Times New Roman" w:eastAsia="仿宋_GB2312" w:cs="Times New Roman"/>
                <w:sz w:val="24"/>
                <w:szCs w:val="24"/>
                <w:vertAlign w:val="superscript"/>
              </w:rPr>
              <w:t>(b)</w:t>
            </w:r>
            <w:r>
              <w:rPr>
                <w:rFonts w:hint="default" w:ascii="Times New Roman" w:hAnsi="Times New Roman" w:eastAsia="仿宋_GB2312" w:cs="Times New Roman"/>
                <w:sz w:val="24"/>
                <w:szCs w:val="24"/>
              </w:rPr>
              <w:t>、教室采光和照明</w:t>
            </w:r>
            <w:r>
              <w:rPr>
                <w:rFonts w:hint="default" w:ascii="Times New Roman" w:hAnsi="Times New Roman" w:eastAsia="仿宋_GB2312" w:cs="Times New Roman"/>
                <w:sz w:val="24"/>
                <w:szCs w:val="24"/>
                <w:vertAlign w:val="superscript"/>
              </w:rPr>
              <w:t>(c)</w:t>
            </w:r>
            <w:r>
              <w:rPr>
                <w:rFonts w:hint="default" w:ascii="Times New Roman" w:hAnsi="Times New Roman" w:eastAsia="仿宋_GB2312" w:cs="Times New Roman"/>
                <w:sz w:val="24"/>
                <w:szCs w:val="24"/>
              </w:rPr>
              <w:t>、教室人均面积、教室和宿舍通风设施、教学楼厕所及洗手设施设置等情况。</w:t>
            </w:r>
            <w:r>
              <w:rPr>
                <w:rFonts w:hint="default" w:ascii="Times New Roman" w:hAnsi="Times New Roman" w:eastAsia="仿宋_GB2312" w:cs="Times New Roman"/>
                <w:sz w:val="24"/>
                <w:szCs w:val="24"/>
                <w:lang w:val="en-US" w:eastAsia="zh-CN"/>
              </w:rPr>
              <w:t>学校提供的学习用品达标情况</w:t>
            </w:r>
            <w:r>
              <w:rPr>
                <w:rFonts w:hint="default" w:ascii="Times New Roman" w:hAnsi="Times New Roman" w:eastAsia="仿宋_GB2312" w:cs="Times New Roman"/>
                <w:sz w:val="24"/>
                <w:szCs w:val="24"/>
                <w:vertAlign w:val="superscript"/>
              </w:rPr>
              <w:t>(</w:t>
            </w:r>
            <w:r>
              <w:rPr>
                <w:rFonts w:hint="default" w:ascii="Times New Roman" w:hAnsi="Times New Roman" w:eastAsia="仿宋_GB2312" w:cs="Times New Roman"/>
                <w:sz w:val="24"/>
                <w:szCs w:val="24"/>
                <w:vertAlign w:val="superscript"/>
                <w:lang w:val="en-US" w:eastAsia="zh-CN"/>
              </w:rPr>
              <w:t>d</w:t>
            </w:r>
            <w:r>
              <w:rPr>
                <w:rFonts w:hint="default" w:ascii="Times New Roman" w:hAnsi="Times New Roman" w:eastAsia="仿宋_GB2312" w:cs="Times New Roman"/>
                <w:sz w:val="24"/>
                <w:szCs w:val="24"/>
                <w:vertAlign w:val="superscript"/>
              </w:rPr>
              <w:t>)</w:t>
            </w:r>
            <w:r>
              <w:rPr>
                <w:rFonts w:hint="default" w:ascii="Times New Roman" w:hAnsi="Times New Roman" w:eastAsia="仿宋_GB2312" w:cs="Times New Roman"/>
                <w:sz w:val="24"/>
                <w:szCs w:val="24"/>
                <w:lang w:val="en-US" w:eastAsia="zh-CN"/>
              </w:rPr>
              <w:t>，包括教室灯具、考试试卷等情况</w:t>
            </w:r>
            <w:r>
              <w:rPr>
                <w:rFonts w:hint="eastAsia" w:eastAsia="仿宋_GB2312"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2.学校落实传染病和常见病防控要求情况，包括专人负责疫情报告、传染病防控</w:t>
            </w:r>
            <w:r>
              <w:rPr>
                <w:rFonts w:hint="eastAsia" w:ascii="仿宋_GB2312" w:hAnsi="仿宋_GB2312" w:eastAsia="仿宋_GB2312" w:cs="仿宋_GB2312"/>
                <w:sz w:val="24"/>
                <w:szCs w:val="24"/>
              </w:rPr>
              <w:t>“一案八制”</w:t>
            </w:r>
            <w:r>
              <w:rPr>
                <w:rFonts w:hint="default" w:ascii="Times New Roman" w:hAnsi="Times New Roman" w:eastAsia="仿宋_GB2312" w:cs="Times New Roman"/>
                <w:sz w:val="24"/>
                <w:szCs w:val="24"/>
                <w:vertAlign w:val="superscript"/>
              </w:rPr>
              <w:t>(</w:t>
            </w:r>
            <w:r>
              <w:rPr>
                <w:rFonts w:hint="default" w:ascii="Times New Roman" w:hAnsi="Times New Roman" w:eastAsia="仿宋_GB2312" w:cs="Times New Roman"/>
                <w:sz w:val="24"/>
                <w:szCs w:val="24"/>
                <w:vertAlign w:val="superscript"/>
                <w:lang w:val="en-US" w:eastAsia="zh-CN"/>
              </w:rPr>
              <w:t>e</w:t>
            </w:r>
            <w:r>
              <w:rPr>
                <w:rFonts w:hint="default" w:ascii="Times New Roman" w:hAnsi="Times New Roman" w:eastAsia="仿宋_GB2312" w:cs="Times New Roman"/>
                <w:sz w:val="24"/>
                <w:szCs w:val="24"/>
                <w:vertAlign w:val="superscript"/>
              </w:rPr>
              <w:t>)</w:t>
            </w:r>
            <w:r>
              <w:rPr>
                <w:rFonts w:hint="default" w:ascii="Times New Roman" w:hAnsi="Times New Roman" w:eastAsia="仿宋_GB2312" w:cs="Times New Roman"/>
                <w:sz w:val="24"/>
                <w:szCs w:val="24"/>
              </w:rPr>
              <w:t>、晨检记录和因病缺勤病因追查与登记记录、复课证明查验、新生入学接种证查验登记、每年按规定实施学生健康体检等情况。学校新冠疫情常态化防控措施落实情况</w:t>
            </w:r>
            <w:r>
              <w:rPr>
                <w:rFonts w:hint="default" w:ascii="Times New Roman" w:hAnsi="Times New Roman" w:eastAsia="仿宋_GB2312" w:cs="Times New Roman"/>
                <w:sz w:val="24"/>
                <w:szCs w:val="24"/>
                <w:vertAlign w:val="superscript"/>
              </w:rPr>
              <w:t>(f)</w:t>
            </w:r>
            <w:r>
              <w:rPr>
                <w:rFonts w:hint="eastAsia"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3.学校落实饮用水卫生要求情况，包括使用自建设施集中式供水的学校落实水源卫生防护、配备使用水质消毒设施设备情况和使用二次供水的学校防止蓄水池周围污染和按规定开展蓄水池清洗消毒情况</w:t>
            </w:r>
            <w:r>
              <w:rPr>
                <w:rFonts w:hint="eastAsia"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i w:val="0"/>
                <w:caps w:val="0"/>
                <w:color w:val="484848"/>
                <w:spacing w:val="0"/>
                <w:sz w:val="24"/>
                <w:szCs w:val="24"/>
                <w:u w:val="none"/>
                <w:lang w:val="en-US" w:eastAsia="zh-CN"/>
              </w:rPr>
            </w:pPr>
            <w:r>
              <w:rPr>
                <w:rFonts w:hint="default" w:ascii="Times New Roman" w:hAnsi="Times New Roman" w:eastAsia="仿宋_GB2312" w:cs="Times New Roman"/>
                <w:sz w:val="24"/>
                <w:szCs w:val="24"/>
              </w:rPr>
              <w:t>4.学校纳入卫生监督协管服务情况。</w:t>
            </w:r>
          </w:p>
        </w:tc>
        <w:tc>
          <w:tcPr>
            <w:tcW w:w="22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1.教室采光、照明及教室人均面积</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学校自制考试试卷纸张D</w:t>
            </w:r>
            <w:r>
              <w:rPr>
                <w:rFonts w:hint="default" w:ascii="Times New Roman" w:hAnsi="Times New Roman" w:eastAsia="仿宋_GB2312" w:cs="Times New Roman"/>
                <w:sz w:val="24"/>
                <w:szCs w:val="24"/>
                <w:vertAlign w:val="subscript"/>
                <w:lang w:val="en-US" w:eastAsia="zh-CN"/>
              </w:rPr>
              <w:t>65</w:t>
            </w:r>
            <w:r>
              <w:rPr>
                <w:rFonts w:hint="default" w:ascii="Times New Roman" w:hAnsi="Times New Roman" w:eastAsia="仿宋_GB2312" w:cs="Times New Roman"/>
                <w:sz w:val="24"/>
                <w:szCs w:val="24"/>
                <w:lang w:val="en-US" w:eastAsia="zh-CN"/>
              </w:rPr>
              <w:t>亮度及D</w:t>
            </w:r>
            <w:r>
              <w:rPr>
                <w:rFonts w:hint="default" w:ascii="Times New Roman" w:hAnsi="Times New Roman" w:eastAsia="仿宋_GB2312" w:cs="Times New Roman"/>
                <w:sz w:val="24"/>
                <w:szCs w:val="24"/>
                <w:vertAlign w:val="subscript"/>
                <w:lang w:val="en-US" w:eastAsia="zh-CN"/>
              </w:rPr>
              <w:t>65</w:t>
            </w:r>
            <w:r>
              <w:rPr>
                <w:rFonts w:hint="default" w:ascii="Times New Roman" w:hAnsi="Times New Roman" w:eastAsia="仿宋_GB2312" w:cs="Times New Roman"/>
                <w:sz w:val="24"/>
                <w:szCs w:val="24"/>
                <w:lang w:val="en-US" w:eastAsia="zh-CN"/>
              </w:rPr>
              <w:t>荧光亮度、字体字号、行空</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i w:val="0"/>
                <w:caps w:val="0"/>
                <w:color w:val="484848"/>
                <w:spacing w:val="0"/>
                <w:sz w:val="24"/>
                <w:szCs w:val="24"/>
                <w:u w:val="none"/>
                <w:lang w:val="en-US" w:eastAsia="zh-CN"/>
              </w:rPr>
            </w:pPr>
            <w:r>
              <w:rPr>
                <w:rFonts w:hint="default" w:ascii="Times New Roman" w:hAnsi="Times New Roman" w:eastAsia="仿宋_GB2312" w:cs="Times New Roman"/>
                <w:sz w:val="24"/>
                <w:szCs w:val="24"/>
              </w:rPr>
              <w:t>2.学校自建设施集中式供水和二次供水水质色度、浑浊度、臭和味、肉眼可见物、pH 和消毒剂余量。</w:t>
            </w:r>
          </w:p>
        </w:tc>
      </w:tr>
    </w:tbl>
    <w:p>
      <w:pPr>
        <w:keepNext w:val="0"/>
        <w:keepLines w:val="0"/>
        <w:pageBreakBefore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a.按抽查任务的</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0%进行检测。</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b.指每间教室至少设有2 种不同高低型号的课桌椅，且每人一席。</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c.教室采光和照明检查项目含窗地面积比、采光方向、防眩光措施、装设人工照明、黑板局部照明灯设置、课桌面照度及均匀度、黑板照度及均匀度，按照《中小学校教室采光和照明卫生标准》（GB7793）的规定进行达标判定。</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szCs w:val="24"/>
        </w:rPr>
        <w:t>d.</w:t>
      </w:r>
      <w:r>
        <w:rPr>
          <w:rFonts w:hint="default" w:ascii="Times New Roman" w:hAnsi="Times New Roman" w:eastAsia="仿宋_GB2312" w:cs="Times New Roman"/>
          <w:sz w:val="24"/>
          <w:szCs w:val="24"/>
          <w:lang w:val="en-US" w:eastAsia="zh-CN"/>
        </w:rPr>
        <w:t>指达到《儿童青少年学习用品近视防控卫生要求》（GB40070）相关规定情况.</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e.</w:t>
      </w:r>
      <w:r>
        <w:rPr>
          <w:rFonts w:hint="default" w:ascii="Times New Roman" w:hAnsi="Times New Roman" w:eastAsia="仿宋_GB2312" w:cs="Times New Roman"/>
          <w:sz w:val="24"/>
          <w:szCs w:val="24"/>
        </w:rPr>
        <w:t>指《中小学校传染病预防控制工作管理规范》（GB28932）第4.8条规定的传染病预防控制应急预案和相关制度。</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rPr>
      </w:pPr>
      <w:r>
        <w:rPr>
          <w:rFonts w:hint="default" w:ascii="Times New Roman" w:hAnsi="Times New Roman" w:eastAsia="仿宋_GB2312" w:cs="Times New Roman"/>
          <w:sz w:val="24"/>
          <w:szCs w:val="24"/>
        </w:rPr>
        <w:t>f.落实属地新冠疫情常态化防控措施要求即为合格。</w:t>
      </w:r>
    </w:p>
    <w:p>
      <w:pPr>
        <w:rPr>
          <w:rFonts w:hint="eastAsia" w:ascii="仿宋" w:hAnsi="仿宋" w:eastAsia="仿宋" w:cs="仿宋"/>
          <w:sz w:val="24"/>
          <w:szCs w:val="24"/>
        </w:rPr>
      </w:pPr>
    </w:p>
    <w:p>
      <w:pPr>
        <w:spacing w:beforeLines="0" w:afterLines="0"/>
        <w:jc w:val="center"/>
        <w:rPr>
          <w:rFonts w:hint="eastAsia" w:ascii="黑体" w:hAnsi="宋体" w:eastAsia="黑体" w:cs="黑体"/>
          <w:b/>
          <w:bCs/>
          <w:i w:val="0"/>
          <w:caps w:val="0"/>
          <w:color w:val="484848"/>
          <w:spacing w:val="0"/>
          <w:sz w:val="32"/>
          <w:szCs w:val="32"/>
          <w:u w:val="none"/>
          <w:lang w:val="en-US" w:eastAsia="zh-CN"/>
        </w:rPr>
      </w:pPr>
    </w:p>
    <w:p>
      <w:pPr>
        <w:spacing w:beforeLines="0" w:afterLines="0"/>
        <w:jc w:val="both"/>
        <w:rPr>
          <w:rFonts w:hint="eastAsia" w:ascii="黑体" w:hAnsi="宋体" w:eastAsia="黑体" w:cs="黑体"/>
          <w:b w:val="0"/>
          <w:bCs w:val="0"/>
          <w:i w:val="0"/>
          <w:caps w:val="0"/>
          <w:color w:val="484848"/>
          <w:spacing w:val="0"/>
          <w:sz w:val="32"/>
          <w:szCs w:val="32"/>
          <w:u w:val="none"/>
          <w:lang w:val="en-US" w:eastAsia="zh-CN"/>
        </w:rPr>
      </w:pPr>
      <w:r>
        <w:rPr>
          <w:rFonts w:hint="eastAsia" w:ascii="黑体" w:hAnsi="黑体" w:eastAsia="黑体" w:cs="黑体"/>
          <w:spacing w:val="1"/>
          <w:position w:val="3"/>
          <w:sz w:val="32"/>
          <w:szCs w:val="32"/>
          <w:lang w:val="en-US" w:eastAsia="zh-CN" w:bidi="ar-SA"/>
        </w:rPr>
        <w:t>附表2</w:t>
      </w:r>
    </w:p>
    <w:p>
      <w:pPr>
        <w:spacing w:beforeLines="0" w:afterLines="0"/>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spacing w:val="1"/>
          <w:sz w:val="44"/>
          <w:szCs w:val="44"/>
          <w:lang w:val="en-US" w:eastAsia="zh-CN" w:bidi="ar-SA"/>
        </w:rPr>
        <w:t>2022年自治区学校学习用品国家随机监督抽查信息汇总表</w:t>
      </w:r>
    </w:p>
    <w:p>
      <w:pPr>
        <w:spacing w:beforeLines="0" w:afterLines="0"/>
        <w:jc w:val="left"/>
        <w:rPr>
          <w:rFonts w:hint="default" w:ascii="仿宋" w:hAnsi="仿宋" w:eastAsia="仿宋" w:cs="仿宋"/>
          <w:sz w:val="24"/>
          <w:szCs w:val="24"/>
          <w:lang w:val="en-US" w:eastAsia="zh-CN"/>
        </w:rPr>
      </w:pPr>
    </w:p>
    <w:tbl>
      <w:tblPr>
        <w:tblStyle w:val="6"/>
        <w:tblW w:w="13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8"/>
        <w:gridCol w:w="2006"/>
        <w:gridCol w:w="578"/>
        <w:gridCol w:w="1135"/>
        <w:gridCol w:w="756"/>
        <w:gridCol w:w="1373"/>
        <w:gridCol w:w="3554"/>
        <w:gridCol w:w="1513"/>
        <w:gridCol w:w="1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5883" w:type="dxa"/>
            <w:gridSpan w:val="5"/>
            <w:tcBorders>
              <w:top w:val="single" w:color="000000" w:sz="2" w:space="0"/>
              <w:bottom w:val="single" w:color="000000" w:sz="2" w:space="0"/>
            </w:tcBorders>
            <w:vAlign w:val="center"/>
          </w:tcPr>
          <w:p>
            <w:pPr>
              <w:spacing w:before="158" w:line="219" w:lineRule="auto"/>
              <w:ind w:firstLine="1666" w:firstLineChars="70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
                <w:sz w:val="24"/>
                <w:szCs w:val="24"/>
              </w:rPr>
              <w:t>普通教室照明灯具</w:t>
            </w:r>
          </w:p>
        </w:tc>
        <w:tc>
          <w:tcPr>
            <w:tcW w:w="7477" w:type="dxa"/>
            <w:gridSpan w:val="4"/>
            <w:tcBorders>
              <w:top w:val="single" w:color="000000" w:sz="2" w:space="0"/>
              <w:bottom w:val="single" w:color="000000" w:sz="2" w:space="0"/>
            </w:tcBorders>
            <w:vAlign w:val="center"/>
          </w:tcPr>
          <w:p>
            <w:pPr>
              <w:spacing w:before="158" w:line="219" w:lineRule="auto"/>
              <w:ind w:firstLine="2928" w:firstLineChars="121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
                <w:sz w:val="24"/>
                <w:szCs w:val="24"/>
              </w:rPr>
              <w:t>学校自制考试试卷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408" w:type="dxa"/>
            <w:vMerge w:val="restart"/>
            <w:tcBorders>
              <w:top w:val="single" w:color="000000" w:sz="2" w:space="0"/>
              <w:bottom w:val="nil"/>
            </w:tcBorders>
            <w:vAlign w:val="center"/>
          </w:tcPr>
          <w:p>
            <w:pPr>
              <w:spacing w:before="65" w:line="219" w:lineRule="auto"/>
              <w:ind w:firstLine="105"/>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检查学校数</w:t>
            </w:r>
          </w:p>
        </w:tc>
        <w:tc>
          <w:tcPr>
            <w:tcW w:w="4475" w:type="dxa"/>
            <w:gridSpan w:val="4"/>
            <w:tcBorders>
              <w:top w:val="single" w:color="000000" w:sz="2" w:space="0"/>
              <w:bottom w:val="single" w:color="000000" w:sz="2" w:space="0"/>
            </w:tcBorders>
            <w:vAlign w:val="center"/>
          </w:tcPr>
          <w:p>
            <w:pPr>
              <w:spacing w:before="234" w:line="219" w:lineRule="auto"/>
              <w:ind w:firstLine="1220" w:firstLineChars="50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2"/>
                <w:sz w:val="24"/>
                <w:szCs w:val="24"/>
              </w:rPr>
              <w:t>抽查合格学校数</w:t>
            </w:r>
            <w:r>
              <w:rPr>
                <w:rFonts w:hint="default" w:ascii="Times New Roman" w:hAnsi="Times New Roman" w:eastAsia="仿宋_GB2312" w:cs="Times New Roman"/>
                <w:spacing w:val="2"/>
                <w:sz w:val="24"/>
                <w:szCs w:val="24"/>
                <w:vertAlign w:val="superscript"/>
                <w:lang w:eastAsia="zh-CN"/>
              </w:rPr>
              <w:t>（</w:t>
            </w:r>
            <w:r>
              <w:rPr>
                <w:rFonts w:hint="default" w:ascii="Times New Roman" w:hAnsi="Times New Roman" w:eastAsia="仿宋_GB2312" w:cs="Times New Roman"/>
                <w:spacing w:val="2"/>
                <w:sz w:val="24"/>
                <w:szCs w:val="24"/>
                <w:vertAlign w:val="superscript"/>
                <w:lang w:val="en-US" w:eastAsia="zh-CN"/>
              </w:rPr>
              <w:t>a)</w:t>
            </w:r>
          </w:p>
        </w:tc>
        <w:tc>
          <w:tcPr>
            <w:tcW w:w="1373" w:type="dxa"/>
            <w:vMerge w:val="restart"/>
            <w:tcBorders>
              <w:top w:val="single" w:color="000000" w:sz="2" w:space="0"/>
              <w:bottom w:val="nil"/>
            </w:tcBorders>
            <w:vAlign w:val="center"/>
          </w:tcPr>
          <w:p>
            <w:pPr>
              <w:spacing w:before="65" w:line="219" w:lineRule="auto"/>
              <w:ind w:firstLine="1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检查学校数</w:t>
            </w:r>
          </w:p>
        </w:tc>
        <w:tc>
          <w:tcPr>
            <w:tcW w:w="6104" w:type="dxa"/>
            <w:gridSpan w:val="3"/>
            <w:tcBorders>
              <w:top w:val="single" w:color="000000" w:sz="2" w:space="0"/>
              <w:bottom w:val="single" w:color="000000" w:sz="2" w:space="0"/>
            </w:tcBorders>
            <w:vAlign w:val="center"/>
          </w:tcPr>
          <w:p>
            <w:pPr>
              <w:spacing w:before="234" w:line="219" w:lineRule="auto"/>
              <w:ind w:firstLine="1596"/>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
                <w:sz w:val="24"/>
                <w:szCs w:val="24"/>
              </w:rPr>
              <w:t>检测合格学校数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 w:hRule="atLeast"/>
        </w:trPr>
        <w:tc>
          <w:tcPr>
            <w:tcW w:w="1408" w:type="dxa"/>
            <w:vMerge w:val="continue"/>
            <w:tcBorders>
              <w:top w:val="nil"/>
              <w:bottom w:val="single" w:color="000000" w:sz="2" w:space="0"/>
            </w:tcBorders>
            <w:vAlign w:val="center"/>
          </w:tcPr>
          <w:p>
            <w:pPr>
              <w:jc w:val="center"/>
              <w:rPr>
                <w:rFonts w:hint="default" w:ascii="Times New Roman" w:hAnsi="Times New Roman" w:eastAsia="仿宋_GB2312" w:cs="Times New Roman"/>
                <w:sz w:val="24"/>
                <w:szCs w:val="24"/>
              </w:rPr>
            </w:pPr>
          </w:p>
        </w:tc>
        <w:tc>
          <w:tcPr>
            <w:tcW w:w="2006" w:type="dxa"/>
            <w:tcBorders>
              <w:top w:val="single" w:color="000000" w:sz="2" w:space="0"/>
              <w:bottom w:val="single" w:color="000000" w:sz="2" w:space="0"/>
            </w:tcBorders>
            <w:vAlign w:val="center"/>
          </w:tcPr>
          <w:p>
            <w:pPr>
              <w:spacing w:before="65" w:line="219" w:lineRule="auto"/>
              <w:ind w:firstLine="131"/>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
                <w:sz w:val="24"/>
                <w:szCs w:val="24"/>
              </w:rPr>
              <w:t>强制性产品认证</w:t>
            </w:r>
          </w:p>
        </w:tc>
        <w:tc>
          <w:tcPr>
            <w:tcW w:w="578" w:type="dxa"/>
            <w:tcBorders>
              <w:top w:val="single" w:color="000000" w:sz="2" w:space="0"/>
              <w:bottom w:val="single" w:color="000000" w:sz="2" w:space="0"/>
            </w:tcBorders>
            <w:vAlign w:val="center"/>
          </w:tcPr>
          <w:p>
            <w:pPr>
              <w:spacing w:before="65" w:line="227"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色温</w:t>
            </w:r>
          </w:p>
        </w:tc>
        <w:tc>
          <w:tcPr>
            <w:tcW w:w="1135" w:type="dxa"/>
            <w:tcBorders>
              <w:top w:val="single" w:color="000000" w:sz="2" w:space="0"/>
              <w:bottom w:val="single" w:color="000000" w:sz="2" w:space="0"/>
            </w:tcBorders>
            <w:vAlign w:val="center"/>
          </w:tcPr>
          <w:p>
            <w:pPr>
              <w:spacing w:before="65" w:line="219"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显色指数</w:t>
            </w:r>
          </w:p>
        </w:tc>
        <w:tc>
          <w:tcPr>
            <w:tcW w:w="756" w:type="dxa"/>
            <w:tcBorders>
              <w:top w:val="single" w:color="000000" w:sz="2" w:space="0"/>
              <w:bottom w:val="single" w:color="000000" w:sz="2" w:space="0"/>
            </w:tcBorders>
            <w:vAlign w:val="center"/>
          </w:tcPr>
          <w:p>
            <w:pPr>
              <w:spacing w:before="65" w:line="219"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3"/>
                <w:sz w:val="24"/>
                <w:szCs w:val="24"/>
              </w:rPr>
              <w:t>蓝光</w:t>
            </w:r>
            <w:r>
              <w:rPr>
                <w:rFonts w:hint="default" w:ascii="Times New Roman" w:hAnsi="Times New Roman" w:eastAsia="仿宋_GB2312" w:cs="Times New Roman"/>
                <w:spacing w:val="-3"/>
                <w:sz w:val="24"/>
                <w:szCs w:val="24"/>
                <w:vertAlign w:val="superscript"/>
                <w:lang w:val="en-US" w:eastAsia="zh-CN"/>
              </w:rPr>
              <w:t>(b)</w:t>
            </w:r>
          </w:p>
        </w:tc>
        <w:tc>
          <w:tcPr>
            <w:tcW w:w="1373" w:type="dxa"/>
            <w:vMerge w:val="continue"/>
            <w:tcBorders>
              <w:top w:val="nil"/>
              <w:bottom w:val="single" w:color="000000" w:sz="2" w:space="0"/>
            </w:tcBorders>
            <w:vAlign w:val="center"/>
          </w:tcPr>
          <w:p>
            <w:pPr>
              <w:jc w:val="center"/>
              <w:rPr>
                <w:rFonts w:hint="default" w:ascii="Times New Roman" w:hAnsi="Times New Roman" w:eastAsia="仿宋_GB2312" w:cs="Times New Roman"/>
                <w:sz w:val="24"/>
                <w:szCs w:val="24"/>
              </w:rPr>
            </w:pPr>
          </w:p>
        </w:tc>
        <w:tc>
          <w:tcPr>
            <w:tcW w:w="3554" w:type="dxa"/>
            <w:tcBorders>
              <w:top w:val="single" w:color="000000" w:sz="2" w:space="0"/>
              <w:bottom w:val="single" w:color="000000" w:sz="2" w:space="0"/>
            </w:tcBorders>
            <w:vAlign w:val="center"/>
          </w:tcPr>
          <w:p>
            <w:pPr>
              <w:spacing w:before="245" w:line="307" w:lineRule="auto"/>
              <w:ind w:right="15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纸张 D65亮度及 D65荧光亮度</w:t>
            </w:r>
            <w:r>
              <w:rPr>
                <w:rFonts w:hint="default" w:ascii="Times New Roman" w:hAnsi="Times New Roman" w:eastAsia="仿宋_GB2312" w:cs="Times New Roman"/>
                <w:sz w:val="21"/>
                <w:szCs w:val="21"/>
                <w:vertAlign w:val="superscript"/>
              </w:rPr>
              <w:t xml:space="preserve">(c) </w:t>
            </w:r>
          </w:p>
        </w:tc>
        <w:tc>
          <w:tcPr>
            <w:tcW w:w="1513" w:type="dxa"/>
            <w:tcBorders>
              <w:top w:val="single" w:color="000000" w:sz="2" w:space="0"/>
              <w:bottom w:val="single" w:color="000000" w:sz="2" w:space="0"/>
            </w:tcBorders>
            <w:vAlign w:val="center"/>
          </w:tcPr>
          <w:p>
            <w:pPr>
              <w:spacing w:before="65" w:line="219" w:lineRule="auto"/>
              <w:ind w:firstLine="237"/>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字体和字号</w:t>
            </w:r>
          </w:p>
        </w:tc>
        <w:tc>
          <w:tcPr>
            <w:tcW w:w="1037" w:type="dxa"/>
            <w:tcBorders>
              <w:top w:val="single" w:color="000000" w:sz="2" w:space="0"/>
              <w:bottom w:val="single" w:color="000000" w:sz="2" w:space="0"/>
            </w:tcBorders>
            <w:vAlign w:val="center"/>
          </w:tcPr>
          <w:p>
            <w:pPr>
              <w:spacing w:before="65" w:line="22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行空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408"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2006"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578"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1135"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756"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1373"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3554"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1513"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c>
          <w:tcPr>
            <w:tcW w:w="1037" w:type="dxa"/>
            <w:tcBorders>
              <w:top w:val="single" w:color="000000" w:sz="2" w:space="0"/>
              <w:bottom w:val="single" w:color="000000" w:sz="2" w:space="0"/>
            </w:tcBorders>
            <w:vAlign w:val="center"/>
          </w:tcPr>
          <w:p>
            <w:pPr>
              <w:jc w:val="center"/>
              <w:rPr>
                <w:rFonts w:hint="default" w:ascii="Times New Roman" w:hAnsi="Times New Roman" w:eastAsia="仿宋_GB2312" w:cs="Times New Roman"/>
                <w:sz w:val="24"/>
                <w:szCs w:val="24"/>
              </w:rPr>
            </w:pPr>
          </w:p>
        </w:tc>
      </w:tr>
    </w:tbl>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a.灯具检查可通过现场查看灯具标志标识及索证资料来完成。</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eastAsia="仿宋_GB2312" w:cs="Times New Roman"/>
          <w:sz w:val="24"/>
          <w:szCs w:val="24"/>
          <w:lang w:val="en-US" w:eastAsia="zh-CN"/>
        </w:rPr>
      </w:pPr>
      <w:r>
        <w:rPr>
          <w:rFonts w:hint="default" w:ascii="Times New Roman" w:hAnsi="Times New Roman" w:eastAsia="仿宋_GB2312" w:cs="Times New Roman"/>
          <w:sz w:val="24"/>
          <w:szCs w:val="24"/>
        </w:rPr>
        <w:t>b.对于GB7001中不免除视网膜蓝光危害评估的灯具,根据IEC/TR 62778进行蓝光危害评估,黑板局部照明灯或教室一般照</w:t>
      </w:r>
      <w:r>
        <w:rPr>
          <w:rFonts w:hint="eastAsia" w:eastAsia="仿宋_GB2312" w:cs="Times New Roman"/>
          <w:sz w:val="24"/>
          <w:szCs w:val="24"/>
          <w:lang w:val="en-US" w:eastAsia="zh-CN"/>
        </w:rPr>
        <w:t>明</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灯中有一种不合格即判定为该 项不合格;其他免除视网膜蓝光危害评估的灯具默认蓝光合格。</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c.可通过实验室检测或现场查看索证资料来完成。</w:t>
      </w:r>
    </w:p>
    <w:p>
      <w:pPr>
        <w:spacing w:beforeLines="0" w:afterLines="0"/>
        <w:jc w:val="left"/>
        <w:rPr>
          <w:rFonts w:hint="eastAsia" w:ascii="仿宋" w:hAnsi="仿宋" w:eastAsia="仿宋" w:cs="仿宋"/>
          <w:sz w:val="24"/>
          <w:szCs w:val="24"/>
        </w:rPr>
      </w:pPr>
    </w:p>
    <w:sectPr>
      <w:pgSz w:w="15840" w:h="12240" w:orient="landscape"/>
      <w:pgMar w:top="1800" w:right="1440" w:bottom="1800" w:left="144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ViYjE1NDM5ZDc5YjAwNDAwZDRkYmEyODEyZTIifQ=="/>
  </w:docVars>
  <w:rsids>
    <w:rsidRoot w:val="00172A27"/>
    <w:rsid w:val="0B755BCF"/>
    <w:rsid w:val="1D260057"/>
    <w:rsid w:val="2F893B4E"/>
    <w:rsid w:val="2FD315A0"/>
    <w:rsid w:val="34061B9D"/>
    <w:rsid w:val="39D931DC"/>
    <w:rsid w:val="3AF563B1"/>
    <w:rsid w:val="3C740C67"/>
    <w:rsid w:val="43661E24"/>
    <w:rsid w:val="5D7F874B"/>
    <w:rsid w:val="5F9C05EB"/>
    <w:rsid w:val="711C4A32"/>
    <w:rsid w:val="7F3341F8"/>
    <w:rsid w:val="AE151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unhideWhenUsed/>
    <w:qFormat/>
    <w:uiPriority w:val="99"/>
    <w:pPr>
      <w:ind w:firstLine="420" w:firstLineChars="200"/>
    </w:p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2336</Words>
  <Characters>2486</Characters>
  <Lines>0</Lines>
  <Paragraphs>0</Paragraphs>
  <TotalTime>5</TotalTime>
  <ScaleCrop>false</ScaleCrop>
  <LinksUpToDate>false</LinksUpToDate>
  <CharactersWithSpaces>2494</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2021-04-14T10:17:00Z</dcterms:created>
  <dc:creator>LY</dc:creator>
  <cp:lastModifiedBy>wjw</cp:lastModifiedBy>
  <dcterms:modified xsi:type="dcterms:W3CDTF">2022-06-23T17:05:22Z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0802119648654024A2A519946104C636</vt:lpwstr>
  </property>
</Properties>
</file>