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8B" w:rsidRPr="008F5D20" w:rsidRDefault="00545B8B" w:rsidP="00545B8B">
      <w:pPr>
        <w:spacing w:line="500" w:lineRule="exact"/>
        <w:jc w:val="left"/>
        <w:rPr>
          <w:rFonts w:eastAsia="黑体"/>
          <w:szCs w:val="32"/>
        </w:rPr>
      </w:pPr>
      <w:r w:rsidRPr="008F5D20">
        <w:rPr>
          <w:rFonts w:eastAsia="黑体"/>
          <w:szCs w:val="32"/>
        </w:rPr>
        <w:t>附件</w:t>
      </w:r>
    </w:p>
    <w:p w:rsidR="00545B8B" w:rsidRPr="008F5D20" w:rsidRDefault="00545B8B" w:rsidP="00545B8B">
      <w:pPr>
        <w:spacing w:line="500" w:lineRule="exact"/>
        <w:jc w:val="center"/>
        <w:rPr>
          <w:rFonts w:eastAsia="方正小标宋简体"/>
          <w:sz w:val="44"/>
          <w:szCs w:val="44"/>
        </w:rPr>
      </w:pPr>
    </w:p>
    <w:p w:rsidR="005B570A" w:rsidRDefault="005B570A" w:rsidP="005B570A">
      <w:pPr>
        <w:spacing w:line="560" w:lineRule="exact"/>
        <w:jc w:val="center"/>
        <w:rPr>
          <w:rFonts w:eastAsia="方正小标宋_GBK"/>
          <w:sz w:val="44"/>
          <w:szCs w:val="44"/>
        </w:rPr>
      </w:pPr>
      <w:r>
        <w:rPr>
          <w:rFonts w:eastAsia="方正小标宋_GBK" w:hint="eastAsia"/>
          <w:sz w:val="44"/>
          <w:szCs w:val="44"/>
        </w:rPr>
        <w:t>口咽部新型冠状病毒核酸采样设备</w:t>
      </w:r>
    </w:p>
    <w:p w:rsidR="00545B8B" w:rsidRPr="008F5D20" w:rsidRDefault="005B570A" w:rsidP="005B570A">
      <w:pPr>
        <w:spacing w:line="500" w:lineRule="exact"/>
        <w:jc w:val="center"/>
        <w:rPr>
          <w:rFonts w:eastAsia="方正小标宋_GBK"/>
          <w:spacing w:val="-8"/>
          <w:sz w:val="44"/>
          <w:szCs w:val="44"/>
        </w:rPr>
      </w:pPr>
      <w:r>
        <w:rPr>
          <w:rFonts w:eastAsia="方正小标宋_GBK" w:hint="eastAsia"/>
          <w:sz w:val="44"/>
          <w:szCs w:val="44"/>
        </w:rPr>
        <w:t>技术</w:t>
      </w:r>
      <w:r>
        <w:rPr>
          <w:rFonts w:eastAsia="方正小标宋_GBK"/>
          <w:sz w:val="44"/>
          <w:szCs w:val="44"/>
        </w:rPr>
        <w:t>审评要点</w:t>
      </w:r>
      <w:r>
        <w:rPr>
          <w:rFonts w:eastAsia="方正小标宋_GBK" w:hint="eastAsia"/>
          <w:sz w:val="44"/>
          <w:szCs w:val="44"/>
        </w:rPr>
        <w:t>（试行）</w:t>
      </w:r>
    </w:p>
    <w:p w:rsidR="00545B8B" w:rsidRPr="008F5D20" w:rsidRDefault="00545B8B" w:rsidP="00545B8B">
      <w:pPr>
        <w:snapToGrid w:val="0"/>
        <w:spacing w:line="520" w:lineRule="exact"/>
        <w:ind w:firstLineChars="200" w:firstLine="640"/>
        <w:jc w:val="left"/>
        <w:rPr>
          <w:rFonts w:eastAsia="仿宋_GB2312"/>
          <w:color w:val="000000"/>
          <w:szCs w:val="32"/>
        </w:rPr>
      </w:pPr>
    </w:p>
    <w:p w:rsidR="005B570A" w:rsidRDefault="005B570A" w:rsidP="005B570A">
      <w:pPr>
        <w:spacing w:line="560" w:lineRule="exact"/>
        <w:ind w:firstLineChars="200" w:firstLine="640"/>
        <w:rPr>
          <w:rFonts w:eastAsia="黑体"/>
          <w:szCs w:val="32"/>
        </w:rPr>
      </w:pPr>
      <w:r>
        <w:rPr>
          <w:rFonts w:eastAsia="黑体"/>
          <w:szCs w:val="32"/>
        </w:rPr>
        <w:t>一、适用范围</w:t>
      </w:r>
    </w:p>
    <w:p w:rsidR="005B570A" w:rsidRDefault="005B570A" w:rsidP="005B570A">
      <w:pPr>
        <w:spacing w:line="560" w:lineRule="exact"/>
        <w:ind w:firstLineChars="200" w:firstLine="640"/>
        <w:rPr>
          <w:rFonts w:eastAsia="仿宋"/>
          <w:szCs w:val="32"/>
        </w:rPr>
      </w:pPr>
      <w:r>
        <w:rPr>
          <w:rFonts w:eastAsia="仿宋"/>
          <w:szCs w:val="32"/>
        </w:rPr>
        <w:t>本审评要点适用于</w:t>
      </w:r>
      <w:r>
        <w:rPr>
          <w:rFonts w:eastAsia="仿宋" w:hint="eastAsia"/>
          <w:szCs w:val="32"/>
        </w:rPr>
        <w:t>口咽部新型冠状病毒核酸采样设备</w:t>
      </w:r>
      <w:r>
        <w:rPr>
          <w:rFonts w:eastAsia="仿宋"/>
          <w:szCs w:val="32"/>
        </w:rPr>
        <w:t>的产品注册</w:t>
      </w:r>
      <w:r>
        <w:rPr>
          <w:rFonts w:eastAsia="仿宋" w:hint="eastAsia"/>
          <w:szCs w:val="32"/>
        </w:rPr>
        <w:t>，旨在指导注册申请人开展产品设计开发工作及准备产品注册申报资料</w:t>
      </w:r>
      <w:r>
        <w:rPr>
          <w:rFonts w:eastAsia="仿宋"/>
          <w:szCs w:val="32"/>
        </w:rPr>
        <w:t>。</w:t>
      </w:r>
    </w:p>
    <w:p w:rsidR="005B570A" w:rsidRDefault="005B570A" w:rsidP="005B570A">
      <w:pPr>
        <w:spacing w:line="560" w:lineRule="exact"/>
        <w:ind w:firstLineChars="200" w:firstLine="640"/>
        <w:rPr>
          <w:rFonts w:eastAsia="仿宋"/>
          <w:szCs w:val="32"/>
        </w:rPr>
      </w:pPr>
      <w:r>
        <w:rPr>
          <w:rFonts w:eastAsia="仿宋"/>
          <w:szCs w:val="32"/>
        </w:rPr>
        <w:t>该类</w:t>
      </w:r>
      <w:r>
        <w:rPr>
          <w:rFonts w:eastAsia="仿宋" w:hint="eastAsia"/>
          <w:szCs w:val="32"/>
        </w:rPr>
        <w:t>产品主要采用机器人、传感器等技术，通过自动采样或采样人员遥控采样等方式，在公共场所、医疗机构等场所用于适用人群口咽部新型冠状病毒肺炎核酸采样（含混采、单采）。</w:t>
      </w:r>
    </w:p>
    <w:p w:rsidR="005B570A" w:rsidRDefault="005B570A" w:rsidP="005B570A">
      <w:pPr>
        <w:spacing w:line="560" w:lineRule="exact"/>
        <w:ind w:firstLineChars="200" w:firstLine="640"/>
        <w:rPr>
          <w:rFonts w:eastAsia="仿宋"/>
          <w:szCs w:val="32"/>
        </w:rPr>
      </w:pPr>
      <w:r>
        <w:rPr>
          <w:rFonts w:eastAsia="仿宋" w:hint="eastAsia"/>
          <w:szCs w:val="32"/>
        </w:rPr>
        <w:t>该类产品经医疗器械分类界定，明确按照第三类医疗器械管理，分类编码按现行《医疗器械分类目录》为</w:t>
      </w:r>
      <w:r>
        <w:rPr>
          <w:rFonts w:eastAsia="仿宋" w:hint="eastAsia"/>
          <w:szCs w:val="32"/>
        </w:rPr>
        <w:t>22-11</w:t>
      </w:r>
      <w:r>
        <w:rPr>
          <w:rFonts w:eastAsia="仿宋"/>
          <w:szCs w:val="32"/>
        </w:rPr>
        <w:t>-</w:t>
      </w:r>
      <w:r>
        <w:rPr>
          <w:rFonts w:eastAsia="仿宋" w:hint="eastAsia"/>
          <w:szCs w:val="32"/>
        </w:rPr>
        <w:t>00</w:t>
      </w:r>
      <w:r>
        <w:rPr>
          <w:rFonts w:eastAsia="仿宋" w:hint="eastAsia"/>
          <w:szCs w:val="32"/>
        </w:rPr>
        <w:t>；其所在的采样设施（如采样亭、采样间）或交通工具（如采样车）不作为医疗器械管理。</w:t>
      </w:r>
    </w:p>
    <w:p w:rsidR="005B570A" w:rsidRDefault="005B570A" w:rsidP="005B570A">
      <w:pPr>
        <w:spacing w:line="560" w:lineRule="exact"/>
        <w:ind w:firstLineChars="200" w:firstLine="640"/>
        <w:rPr>
          <w:rFonts w:eastAsia="黑体"/>
          <w:szCs w:val="32"/>
        </w:rPr>
      </w:pPr>
      <w:r>
        <w:rPr>
          <w:rFonts w:eastAsia="黑体" w:hint="eastAsia"/>
          <w:szCs w:val="32"/>
        </w:rPr>
        <w:t>二、</w:t>
      </w:r>
      <w:r>
        <w:rPr>
          <w:rFonts w:eastAsia="黑体"/>
          <w:szCs w:val="32"/>
        </w:rPr>
        <w:t>基本要求</w:t>
      </w:r>
    </w:p>
    <w:p w:rsidR="005B570A" w:rsidRDefault="005B570A" w:rsidP="005B570A">
      <w:pPr>
        <w:spacing w:line="560" w:lineRule="exact"/>
        <w:ind w:firstLineChars="200" w:firstLine="640"/>
        <w:rPr>
          <w:rFonts w:eastAsia="仿宋"/>
          <w:szCs w:val="32"/>
        </w:rPr>
      </w:pPr>
      <w:r>
        <w:rPr>
          <w:rFonts w:eastAsia="仿宋" w:hint="eastAsia"/>
          <w:szCs w:val="32"/>
        </w:rPr>
        <w:t>注册申请人应依据《医疗器械生产质量管理规范》及其独立软件附录的要求建立质量管理体系，并将风险管理纳入其中。按照质量管理体系要求开展产品的设计开发、生产管理、质量控制等工作。可参考</w:t>
      </w:r>
      <w:r>
        <w:rPr>
          <w:rFonts w:eastAsia="仿宋" w:hint="eastAsia"/>
          <w:szCs w:val="32"/>
        </w:rPr>
        <w:t>YY/T 0316</w:t>
      </w:r>
      <w:r>
        <w:rPr>
          <w:rFonts w:eastAsia="仿宋" w:hint="eastAsia"/>
          <w:szCs w:val="32"/>
        </w:rPr>
        <w:t>、</w:t>
      </w:r>
      <w:r>
        <w:rPr>
          <w:rFonts w:eastAsia="仿宋" w:hint="eastAsia"/>
          <w:szCs w:val="32"/>
        </w:rPr>
        <w:t>YY/T 0287</w:t>
      </w:r>
      <w:r>
        <w:rPr>
          <w:rFonts w:eastAsia="仿宋" w:hint="eastAsia"/>
          <w:szCs w:val="32"/>
        </w:rPr>
        <w:t>、</w:t>
      </w:r>
      <w:r>
        <w:rPr>
          <w:rFonts w:eastAsia="仿宋" w:hint="eastAsia"/>
          <w:szCs w:val="32"/>
        </w:rPr>
        <w:t>YY/T 0664</w:t>
      </w:r>
      <w:r>
        <w:rPr>
          <w:rFonts w:eastAsia="仿宋" w:hint="eastAsia"/>
          <w:szCs w:val="32"/>
        </w:rPr>
        <w:t>、</w:t>
      </w:r>
      <w:r>
        <w:rPr>
          <w:rFonts w:eastAsia="仿宋" w:hint="eastAsia"/>
          <w:szCs w:val="32"/>
        </w:rPr>
        <w:t>YY/T 1833</w:t>
      </w:r>
      <w:r>
        <w:rPr>
          <w:rFonts w:eastAsia="仿宋" w:hint="eastAsia"/>
          <w:szCs w:val="32"/>
        </w:rPr>
        <w:t>系列标准（若适用）等标准完善质量管理体系。</w:t>
      </w:r>
    </w:p>
    <w:p w:rsidR="005B570A" w:rsidRDefault="005B570A" w:rsidP="005B570A">
      <w:pPr>
        <w:spacing w:line="560" w:lineRule="exact"/>
        <w:ind w:firstLineChars="200" w:firstLine="640"/>
        <w:rPr>
          <w:rFonts w:eastAsia="仿宋"/>
          <w:szCs w:val="32"/>
        </w:rPr>
      </w:pPr>
      <w:r>
        <w:rPr>
          <w:rFonts w:eastAsia="仿宋" w:hint="eastAsia"/>
          <w:szCs w:val="32"/>
        </w:rPr>
        <w:t>注册申请人需基于产品的预期用途、使用场景、结构组成、技术特征等因素，按照《</w:t>
      </w:r>
      <w:r>
        <w:rPr>
          <w:rFonts w:eastAsia="仿宋"/>
          <w:szCs w:val="32"/>
        </w:rPr>
        <w:t>医疗器械安全和性能基本原则</w:t>
      </w:r>
      <w:r>
        <w:rPr>
          <w:rFonts w:eastAsia="仿宋" w:hint="eastAsia"/>
          <w:szCs w:val="32"/>
        </w:rPr>
        <w:t>》及其</w:t>
      </w:r>
      <w:r>
        <w:rPr>
          <w:rFonts w:eastAsia="仿宋"/>
          <w:szCs w:val="32"/>
        </w:rPr>
        <w:t>符合性技术指南</w:t>
      </w:r>
      <w:r>
        <w:rPr>
          <w:rFonts w:eastAsia="仿宋" w:hint="eastAsia"/>
          <w:szCs w:val="32"/>
        </w:rPr>
        <w:t>要求，确定产品安全、有效的基本要求，并结合相关指导原则和标准开展产品设计开发工作。参考《医疗</w:t>
      </w:r>
      <w:bookmarkStart w:id="0" w:name="_GoBack"/>
      <w:bookmarkEnd w:id="0"/>
      <w:r>
        <w:rPr>
          <w:rFonts w:eastAsia="仿宋" w:hint="eastAsia"/>
          <w:szCs w:val="32"/>
        </w:rPr>
        <w:t>器械产品受益</w:t>
      </w:r>
      <w:r>
        <w:rPr>
          <w:rFonts w:eastAsia="仿宋" w:hint="eastAsia"/>
          <w:szCs w:val="32"/>
        </w:rPr>
        <w:t>-</w:t>
      </w:r>
      <w:r>
        <w:rPr>
          <w:rFonts w:eastAsia="仿宋" w:hint="eastAsia"/>
          <w:szCs w:val="32"/>
        </w:rPr>
        <w:t>风险评估注册技术审查指导原则》开展产品受益</w:t>
      </w:r>
      <w:r>
        <w:rPr>
          <w:rFonts w:eastAsia="仿宋" w:hint="eastAsia"/>
          <w:szCs w:val="32"/>
        </w:rPr>
        <w:t>-</w:t>
      </w:r>
      <w:r>
        <w:rPr>
          <w:rFonts w:eastAsia="仿宋" w:hint="eastAsia"/>
          <w:szCs w:val="32"/>
        </w:rPr>
        <w:t>风险评估工作，确保产品受益大于风险。</w:t>
      </w:r>
    </w:p>
    <w:p w:rsidR="005B570A" w:rsidRDefault="005B570A" w:rsidP="005B570A">
      <w:pPr>
        <w:spacing w:line="560" w:lineRule="exact"/>
        <w:ind w:firstLineChars="200" w:firstLine="640"/>
        <w:rPr>
          <w:rFonts w:eastAsia="仿宋"/>
          <w:szCs w:val="32"/>
        </w:rPr>
      </w:pPr>
      <w:r>
        <w:rPr>
          <w:rFonts w:eastAsia="仿宋" w:hint="eastAsia"/>
          <w:szCs w:val="32"/>
        </w:rPr>
        <w:t>注册申请人需按照《关于公布医疗器械注册申报资料要求和批准证明文件格式的公告》要求，结合本审评要点和相关指导原则要求，准备产品注册申报资料。基于产品特性判断本审评要点和相关指导原则具体内容的适用性，不适用内容详述理由。</w:t>
      </w:r>
    </w:p>
    <w:p w:rsidR="005B570A" w:rsidRDefault="005B570A" w:rsidP="005B570A">
      <w:pPr>
        <w:spacing w:line="560" w:lineRule="exact"/>
        <w:ind w:firstLineChars="200" w:firstLine="640"/>
        <w:rPr>
          <w:rFonts w:eastAsia="仿宋"/>
          <w:szCs w:val="32"/>
        </w:rPr>
      </w:pPr>
      <w:r>
        <w:rPr>
          <w:rFonts w:eastAsia="仿宋" w:hint="eastAsia"/>
          <w:szCs w:val="32"/>
        </w:rPr>
        <w:t>产品注册申报资料及注册体系核查结果若能证明申报产品安全、有效且质量可控，方可获批上市。</w:t>
      </w:r>
    </w:p>
    <w:p w:rsidR="005B570A" w:rsidRDefault="005B570A" w:rsidP="005B570A">
      <w:pPr>
        <w:spacing w:line="560" w:lineRule="exact"/>
        <w:ind w:firstLineChars="200" w:firstLine="640"/>
        <w:rPr>
          <w:rFonts w:eastAsia="仿宋"/>
          <w:szCs w:val="32"/>
        </w:rPr>
      </w:pPr>
      <w:r>
        <w:rPr>
          <w:rFonts w:eastAsia="仿宋" w:hint="eastAsia"/>
          <w:szCs w:val="32"/>
        </w:rPr>
        <w:t>指导原则适用情况、标准适用情况、质量管理体系规范性文件和标准适用情况、医疗器械安全和性能基本原则清单详见附录</w:t>
      </w:r>
      <w:r>
        <w:rPr>
          <w:rFonts w:eastAsia="仿宋" w:hint="eastAsia"/>
          <w:szCs w:val="32"/>
        </w:rPr>
        <w:t>1</w:t>
      </w:r>
      <w:r>
        <w:rPr>
          <w:rFonts w:eastAsia="仿宋" w:hint="eastAsia"/>
          <w:szCs w:val="32"/>
        </w:rPr>
        <w:t>至附录</w:t>
      </w:r>
      <w:r>
        <w:rPr>
          <w:rFonts w:eastAsia="仿宋" w:hint="eastAsia"/>
          <w:szCs w:val="32"/>
        </w:rPr>
        <w:t>4</w:t>
      </w:r>
      <w:r>
        <w:rPr>
          <w:rFonts w:eastAsia="仿宋" w:hint="eastAsia"/>
          <w:szCs w:val="32"/>
        </w:rPr>
        <w:t>。</w:t>
      </w:r>
    </w:p>
    <w:p w:rsidR="005B570A" w:rsidRDefault="005B570A" w:rsidP="005B570A">
      <w:pPr>
        <w:spacing w:line="560" w:lineRule="exact"/>
        <w:ind w:firstLineChars="200" w:firstLine="640"/>
        <w:rPr>
          <w:rFonts w:eastAsia="黑体"/>
          <w:szCs w:val="32"/>
        </w:rPr>
      </w:pPr>
      <w:r>
        <w:rPr>
          <w:rFonts w:eastAsia="黑体" w:hint="eastAsia"/>
          <w:szCs w:val="32"/>
        </w:rPr>
        <w:t>三</w:t>
      </w:r>
      <w:r>
        <w:rPr>
          <w:rFonts w:eastAsia="黑体"/>
          <w:szCs w:val="32"/>
        </w:rPr>
        <w:t>、</w:t>
      </w:r>
      <w:r>
        <w:rPr>
          <w:rFonts w:eastAsia="黑体" w:hint="eastAsia"/>
          <w:szCs w:val="32"/>
        </w:rPr>
        <w:t>产品受益</w:t>
      </w:r>
      <w:r>
        <w:rPr>
          <w:rFonts w:eastAsia="黑体" w:hint="eastAsia"/>
          <w:szCs w:val="32"/>
        </w:rPr>
        <w:t>-</w:t>
      </w:r>
      <w:r>
        <w:rPr>
          <w:rFonts w:eastAsia="黑体" w:hint="eastAsia"/>
          <w:szCs w:val="32"/>
        </w:rPr>
        <w:t>风险</w:t>
      </w:r>
      <w:proofErr w:type="gramStart"/>
      <w:r>
        <w:rPr>
          <w:rFonts w:eastAsia="黑体" w:hint="eastAsia"/>
          <w:szCs w:val="32"/>
        </w:rPr>
        <w:t>考量</w:t>
      </w:r>
      <w:proofErr w:type="gramEnd"/>
      <w:r>
        <w:rPr>
          <w:rFonts w:eastAsia="黑体" w:hint="eastAsia"/>
          <w:szCs w:val="32"/>
        </w:rPr>
        <w:t xml:space="preserve"> </w:t>
      </w:r>
    </w:p>
    <w:p w:rsidR="005B570A" w:rsidRDefault="005B570A" w:rsidP="005B570A">
      <w:pPr>
        <w:spacing w:line="560" w:lineRule="exact"/>
        <w:ind w:firstLineChars="200" w:firstLine="640"/>
        <w:rPr>
          <w:rFonts w:eastAsia="仿宋"/>
          <w:szCs w:val="32"/>
        </w:rPr>
      </w:pPr>
      <w:r>
        <w:rPr>
          <w:rFonts w:eastAsia="仿宋" w:hint="eastAsia"/>
          <w:szCs w:val="32"/>
        </w:rPr>
        <w:t>注册申请人需基于产品的预期用途、使用场景、结构组成、技术特征等因素确定产品特性，明确产品投入使用的受益，并按风险管理程序要求开展产品风险的识别、分析、评价、控制等工作，确保产品综合剩余风险均可接受，受益大于风险。</w:t>
      </w:r>
    </w:p>
    <w:p w:rsidR="005B570A" w:rsidRDefault="005B570A" w:rsidP="005B570A">
      <w:pPr>
        <w:spacing w:line="560" w:lineRule="exact"/>
        <w:ind w:firstLineChars="200" w:firstLine="640"/>
        <w:rPr>
          <w:rFonts w:eastAsia="仿宋"/>
          <w:szCs w:val="32"/>
        </w:rPr>
      </w:pPr>
      <w:r>
        <w:rPr>
          <w:rFonts w:eastAsia="仿宋" w:hint="eastAsia"/>
          <w:szCs w:val="32"/>
        </w:rPr>
        <w:t>虽然该类产品预期会有减少采样人员调配使用的受益，但注册申请人仍需明确产品具体的受益和风险，深入开展产品受益</w:t>
      </w:r>
      <w:r>
        <w:rPr>
          <w:rFonts w:eastAsia="仿宋" w:hint="eastAsia"/>
          <w:szCs w:val="32"/>
        </w:rPr>
        <w:t>-</w:t>
      </w:r>
      <w:r>
        <w:rPr>
          <w:rFonts w:eastAsia="仿宋" w:hint="eastAsia"/>
          <w:szCs w:val="32"/>
        </w:rPr>
        <w:t>风险评估工作。</w:t>
      </w:r>
    </w:p>
    <w:p w:rsidR="005B570A" w:rsidRDefault="005B570A" w:rsidP="005B570A">
      <w:pPr>
        <w:spacing w:line="560" w:lineRule="exact"/>
        <w:ind w:firstLineChars="200" w:firstLine="640"/>
        <w:rPr>
          <w:rFonts w:eastAsia="仿宋"/>
          <w:b/>
          <w:bCs/>
          <w:szCs w:val="32"/>
        </w:rPr>
      </w:pPr>
      <w:r>
        <w:rPr>
          <w:rFonts w:eastAsia="仿宋" w:hint="eastAsia"/>
          <w:szCs w:val="32"/>
        </w:rPr>
        <w:t>考虑到采用机器人、人工智能、传感器等技术在公共场所进行自动采样的产品是此类产品当中风险较高的代表产品，故以该代表产品为例探讨其主要风险及控制措施，其余产品可参考执行。具体内容包括但不限于：</w:t>
      </w:r>
    </w:p>
    <w:p w:rsidR="005B570A" w:rsidRDefault="005B570A" w:rsidP="005B570A">
      <w:pPr>
        <w:spacing w:line="560" w:lineRule="exact"/>
        <w:ind w:firstLineChars="200" w:firstLine="640"/>
        <w:outlineLvl w:val="1"/>
        <w:rPr>
          <w:rFonts w:eastAsia="楷体"/>
          <w:szCs w:val="32"/>
        </w:rPr>
      </w:pPr>
      <w:r>
        <w:rPr>
          <w:rFonts w:eastAsia="楷体" w:hint="eastAsia"/>
          <w:szCs w:val="32"/>
        </w:rPr>
        <w:t>（一）采样失败风险及控制措施</w:t>
      </w:r>
    </w:p>
    <w:p w:rsidR="005B570A" w:rsidRDefault="005B570A" w:rsidP="005B570A">
      <w:pPr>
        <w:spacing w:line="560" w:lineRule="exact"/>
        <w:ind w:firstLineChars="200" w:firstLine="640"/>
        <w:rPr>
          <w:rFonts w:eastAsia="仿宋"/>
          <w:szCs w:val="32"/>
        </w:rPr>
      </w:pPr>
      <w:r>
        <w:rPr>
          <w:rFonts w:eastAsia="仿宋" w:hint="eastAsia"/>
          <w:szCs w:val="32"/>
        </w:rPr>
        <w:t>采样失败是指产品无法实现采样，即产品有效性不符合要求，如采样部位未能识别，咽拭子、采样管未能拾取或拾取不当无法进行后续操作，咽拭</w:t>
      </w:r>
      <w:proofErr w:type="gramStart"/>
      <w:r>
        <w:rPr>
          <w:rFonts w:eastAsia="仿宋" w:hint="eastAsia"/>
          <w:szCs w:val="32"/>
        </w:rPr>
        <w:t>子未能</w:t>
      </w:r>
      <w:proofErr w:type="gramEnd"/>
      <w:r>
        <w:rPr>
          <w:rFonts w:eastAsia="仿宋" w:hint="eastAsia"/>
          <w:szCs w:val="32"/>
        </w:rPr>
        <w:t>到达采样部位，采样管封盖未能</w:t>
      </w:r>
      <w:r>
        <w:rPr>
          <w:rFonts w:eastAsia="仿宋_GB2312" w:hint="eastAsia"/>
          <w:bCs/>
          <w:szCs w:val="32"/>
        </w:rPr>
        <w:t>打开、打开后脱落或无法闭合，</w:t>
      </w:r>
      <w:r>
        <w:rPr>
          <w:rFonts w:eastAsia="仿宋" w:hint="eastAsia"/>
          <w:szCs w:val="32"/>
        </w:rPr>
        <w:t>咽拭</w:t>
      </w:r>
      <w:proofErr w:type="gramStart"/>
      <w:r>
        <w:rPr>
          <w:rFonts w:eastAsia="仿宋" w:hint="eastAsia"/>
          <w:szCs w:val="32"/>
        </w:rPr>
        <w:t>子未能</w:t>
      </w:r>
      <w:proofErr w:type="gramEnd"/>
      <w:r>
        <w:rPr>
          <w:rFonts w:eastAsia="仿宋" w:hint="eastAsia"/>
          <w:szCs w:val="32"/>
        </w:rPr>
        <w:t>进入采样管或进入采样管后未能剪断，采样后的采样管放置错误或放置不当无法进行保存等。</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光学成像装置、图像识别算法、机械臂（含末端执行器）、测距装置的要求及性能指标，以及咽拭子与采样管的兼容性要求；同时还需关注相应衍生风险，如电气安全、光学安全、机械安全、软件安全等方面风险。</w:t>
      </w:r>
    </w:p>
    <w:p w:rsidR="005B570A" w:rsidRDefault="005B570A" w:rsidP="005B570A">
      <w:pPr>
        <w:spacing w:line="560" w:lineRule="exact"/>
        <w:ind w:firstLineChars="200" w:firstLine="640"/>
        <w:rPr>
          <w:rFonts w:eastAsia="仿宋"/>
          <w:szCs w:val="32"/>
        </w:rPr>
      </w:pPr>
      <w:r>
        <w:rPr>
          <w:rFonts w:eastAsia="仿宋" w:hint="eastAsia"/>
          <w:szCs w:val="32"/>
        </w:rPr>
        <w:t>光学成像装置性能指标可参考《</w:t>
      </w:r>
      <w:r>
        <w:rPr>
          <w:rFonts w:eastAsia="仿宋"/>
          <w:szCs w:val="32"/>
        </w:rPr>
        <w:t>手术无影灯注册技术审查指导原则</w:t>
      </w:r>
      <w:r>
        <w:rPr>
          <w:rFonts w:eastAsia="仿宋" w:hint="eastAsia"/>
          <w:szCs w:val="32"/>
        </w:rPr>
        <w:t>》及</w:t>
      </w:r>
      <w:r>
        <w:rPr>
          <w:rFonts w:eastAsia="仿宋" w:hint="eastAsia"/>
          <w:szCs w:val="32"/>
        </w:rPr>
        <w:t>YY 0627</w:t>
      </w:r>
      <w:r>
        <w:rPr>
          <w:rFonts w:eastAsia="仿宋" w:hint="eastAsia"/>
          <w:szCs w:val="32"/>
        </w:rPr>
        <w:t>或</w:t>
      </w:r>
      <w:r>
        <w:rPr>
          <w:rFonts w:eastAsia="仿宋" w:hint="eastAsia"/>
          <w:szCs w:val="32"/>
        </w:rPr>
        <w:t>YY 9706.241</w:t>
      </w:r>
      <w:r>
        <w:rPr>
          <w:rFonts w:eastAsia="仿宋" w:hint="eastAsia"/>
          <w:szCs w:val="32"/>
        </w:rPr>
        <w:t>标准要求。机械臂性能指标可参考</w:t>
      </w:r>
      <w:r>
        <w:rPr>
          <w:rFonts w:eastAsia="仿宋" w:hint="eastAsia"/>
          <w:szCs w:val="32"/>
        </w:rPr>
        <w:t>YY/T 1712</w:t>
      </w:r>
      <w:r>
        <w:rPr>
          <w:rFonts w:eastAsia="仿宋" w:hint="eastAsia"/>
          <w:szCs w:val="32"/>
        </w:rPr>
        <w:t>、</w:t>
      </w:r>
      <w:r>
        <w:rPr>
          <w:rFonts w:eastAsia="仿宋" w:hint="eastAsia"/>
          <w:szCs w:val="32"/>
        </w:rPr>
        <w:t>YY 9706.277</w:t>
      </w:r>
      <w:r>
        <w:rPr>
          <w:rFonts w:eastAsia="仿宋" w:hint="eastAsia"/>
          <w:szCs w:val="32"/>
        </w:rPr>
        <w:t>标准要求。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（二）采样失效风险及控制措施</w:t>
      </w:r>
    </w:p>
    <w:p w:rsidR="005B570A" w:rsidRDefault="005B570A" w:rsidP="005B570A">
      <w:pPr>
        <w:spacing w:line="560" w:lineRule="exact"/>
        <w:ind w:firstLineChars="200" w:firstLine="640"/>
        <w:rPr>
          <w:rFonts w:eastAsia="仿宋"/>
          <w:szCs w:val="32"/>
        </w:rPr>
      </w:pPr>
      <w:r>
        <w:rPr>
          <w:rFonts w:eastAsia="仿宋" w:hint="eastAsia"/>
          <w:szCs w:val="32"/>
        </w:rPr>
        <w:t>采样失效是指产品虽可在形式上完成采样但未能保证采样有效性，如采样部位识别错误或不准，咽拭子、采样管拾取不当影响后续操作的有效性，采样部位和采样次数不满足《新冠病毒标本采集和检测技术指南》要求，采样力度不够未能采集到核酸样本，采样后的采样管保存不当导致样本失效等。</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注册申请人需明确采样、光学成像装置、图像识别算法、力学反馈装置的要求及性能指标，以及低温保存箱的兼容性要求；亦需关注相应衍生风险，如电气安全、光学安全、机械安全、软件安全等方面风险。</w:t>
      </w:r>
    </w:p>
    <w:p w:rsidR="005B570A" w:rsidRDefault="005B570A" w:rsidP="005B570A">
      <w:pPr>
        <w:spacing w:line="560" w:lineRule="exact"/>
        <w:ind w:firstLineChars="200" w:firstLine="640"/>
        <w:rPr>
          <w:rFonts w:eastAsia="仿宋"/>
          <w:szCs w:val="32"/>
        </w:rPr>
      </w:pPr>
      <w:r>
        <w:rPr>
          <w:rFonts w:eastAsia="仿宋" w:hint="eastAsia"/>
          <w:szCs w:val="32"/>
        </w:rPr>
        <w:t>由于采样失效可能导致核酸检测结果假阴性（漏诊），存在疫情扩散风险，因此需要重点关注。</w:t>
      </w:r>
    </w:p>
    <w:p w:rsidR="005B570A" w:rsidRDefault="005B570A" w:rsidP="005B570A">
      <w:pPr>
        <w:spacing w:line="560" w:lineRule="exact"/>
        <w:ind w:firstLineChars="200" w:firstLine="640"/>
        <w:outlineLvl w:val="1"/>
        <w:rPr>
          <w:rFonts w:eastAsia="楷体"/>
          <w:szCs w:val="32"/>
        </w:rPr>
      </w:pPr>
      <w:r>
        <w:rPr>
          <w:rFonts w:eastAsia="楷体" w:hint="eastAsia"/>
          <w:szCs w:val="32"/>
        </w:rPr>
        <w:t>（三）样本污染与交叉感染风险及控制措施</w:t>
      </w:r>
    </w:p>
    <w:p w:rsidR="005B570A" w:rsidRDefault="005B570A" w:rsidP="005B570A">
      <w:pPr>
        <w:spacing w:line="560" w:lineRule="exact"/>
        <w:ind w:firstLineChars="200" w:firstLine="640"/>
        <w:outlineLvl w:val="1"/>
        <w:rPr>
          <w:rFonts w:eastAsia="仿宋"/>
          <w:szCs w:val="32"/>
        </w:rPr>
      </w:pPr>
      <w:r>
        <w:rPr>
          <w:rFonts w:eastAsia="仿宋" w:hint="eastAsia"/>
          <w:szCs w:val="32"/>
        </w:rPr>
        <w:t>新型冠状病毒阳性受试者可能会污染产品内部环境，一方面会发生后续样本污染问题，导致后续受试者核酸检测结果假阳性（误诊），另一方面会发生交叉感染问题，导致后续受试者感染新型冠状病毒，存在疫情扩散风险。另外，其他呼吸道病原体阳性受试者也存在交叉感染风险，受试者咳嗽或呕吐所致污染、废弃物所致环境污染亦需考虑。</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注册申请人需明确产品</w:t>
      </w:r>
      <w:proofErr w:type="gramStart"/>
      <w:r>
        <w:rPr>
          <w:rFonts w:eastAsia="仿宋" w:hint="eastAsia"/>
          <w:szCs w:val="32"/>
        </w:rPr>
        <w:t>内部消</w:t>
      </w:r>
      <w:proofErr w:type="gramEnd"/>
      <w:r>
        <w:rPr>
          <w:rFonts w:eastAsia="仿宋" w:hint="eastAsia"/>
          <w:szCs w:val="32"/>
        </w:rPr>
        <w:t>杀、负压环境控制、内部擦拭清洁等要求及性能指标。其中，产品</w:t>
      </w:r>
      <w:proofErr w:type="gramStart"/>
      <w:r>
        <w:rPr>
          <w:rFonts w:eastAsia="仿宋" w:hint="eastAsia"/>
          <w:szCs w:val="32"/>
        </w:rPr>
        <w:t>内部消杀考虑消</w:t>
      </w:r>
      <w:proofErr w:type="gramEnd"/>
      <w:r>
        <w:rPr>
          <w:rFonts w:eastAsia="仿宋" w:hint="eastAsia"/>
          <w:szCs w:val="32"/>
        </w:rPr>
        <w:t>杀的方式（如医用酒精、过氧化氢、紫外线，或多种方式相结合）、作用参数、持续时间、间隔等要求，</w:t>
      </w:r>
      <w:r>
        <w:rPr>
          <w:rFonts w:eastAsia="仿宋_GB2312" w:hint="eastAsia"/>
          <w:bCs/>
          <w:szCs w:val="32"/>
        </w:rPr>
        <w:t>采用紫外线消杀可参照</w:t>
      </w:r>
      <w:r>
        <w:rPr>
          <w:rFonts w:eastAsia="仿宋_GB2312" w:hint="eastAsia"/>
          <w:bCs/>
          <w:szCs w:val="32"/>
        </w:rPr>
        <w:t>GB 28235</w:t>
      </w:r>
      <w:r>
        <w:rPr>
          <w:rFonts w:eastAsia="仿宋_GB2312" w:hint="eastAsia"/>
          <w:bCs/>
          <w:szCs w:val="32"/>
        </w:rPr>
        <w:t>标准要求</w:t>
      </w:r>
      <w:r>
        <w:rPr>
          <w:rFonts w:eastAsia="仿宋" w:hint="eastAsia"/>
          <w:szCs w:val="32"/>
        </w:rPr>
        <w:t>。负压环境控制可</w:t>
      </w:r>
      <w:r>
        <w:rPr>
          <w:rFonts w:eastAsia="仿宋_GB2312" w:hint="eastAsia"/>
          <w:bCs/>
          <w:szCs w:val="32"/>
        </w:rPr>
        <w:t>参考《生物安全柜注册审查指导原则》及</w:t>
      </w:r>
      <w:r>
        <w:rPr>
          <w:rFonts w:eastAsia="仿宋_GB2312" w:hint="eastAsia"/>
          <w:bCs/>
          <w:szCs w:val="32"/>
        </w:rPr>
        <w:t>YY 0569</w:t>
      </w:r>
      <w:r>
        <w:rPr>
          <w:rFonts w:eastAsia="仿宋_GB2312" w:hint="eastAsia"/>
          <w:bCs/>
          <w:szCs w:val="32"/>
        </w:rPr>
        <w:t>标准要求，明确气流模式、流入与下降气流流速、防泄漏、高效过滤器等要求。</w:t>
      </w:r>
      <w:r>
        <w:rPr>
          <w:rFonts w:eastAsia="仿宋" w:hint="eastAsia"/>
          <w:szCs w:val="32"/>
        </w:rPr>
        <w:t>内部擦拭清洁考虑清洁的方式、持续时间、间隔等要求</w:t>
      </w:r>
      <w:r>
        <w:rPr>
          <w:rFonts w:eastAsia="仿宋_GB2312" w:hint="eastAsia"/>
          <w:bCs/>
          <w:szCs w:val="32"/>
        </w:rPr>
        <w:t>。</w:t>
      </w:r>
      <w:r>
        <w:rPr>
          <w:rFonts w:eastAsia="仿宋" w:hint="eastAsia"/>
          <w:szCs w:val="32"/>
        </w:rPr>
        <w:t>同时，关注</w:t>
      </w:r>
      <w:proofErr w:type="gramStart"/>
      <w:r>
        <w:rPr>
          <w:rFonts w:eastAsia="仿宋" w:hint="eastAsia"/>
          <w:szCs w:val="32"/>
        </w:rPr>
        <w:t>内部消</w:t>
      </w:r>
      <w:proofErr w:type="gramEnd"/>
      <w:r>
        <w:rPr>
          <w:rFonts w:eastAsia="仿宋" w:hint="eastAsia"/>
          <w:szCs w:val="32"/>
        </w:rPr>
        <w:t>杀不力、负压环境控制不良、内部擦拭清洁不力的衍生风险。</w:t>
      </w:r>
    </w:p>
    <w:p w:rsidR="005B570A" w:rsidRDefault="005B570A" w:rsidP="005B570A">
      <w:pPr>
        <w:spacing w:line="560" w:lineRule="exact"/>
        <w:ind w:firstLineChars="200" w:firstLine="640"/>
        <w:rPr>
          <w:rFonts w:eastAsia="仿宋"/>
          <w:szCs w:val="32"/>
        </w:rPr>
      </w:pPr>
      <w:r>
        <w:rPr>
          <w:rFonts w:eastAsia="仿宋" w:hint="eastAsia"/>
          <w:szCs w:val="32"/>
        </w:rPr>
        <w:t>由于样本污染存在误诊风险、交叉感染存在疫情扩散风险，因此需要重点关注。</w:t>
      </w:r>
    </w:p>
    <w:p w:rsidR="005B570A" w:rsidRDefault="005B570A" w:rsidP="005B570A">
      <w:pPr>
        <w:spacing w:line="560" w:lineRule="exact"/>
        <w:ind w:firstLineChars="200" w:firstLine="640"/>
        <w:outlineLvl w:val="1"/>
        <w:rPr>
          <w:rFonts w:eastAsia="楷体"/>
          <w:szCs w:val="32"/>
        </w:rPr>
      </w:pPr>
      <w:r>
        <w:rPr>
          <w:rFonts w:eastAsia="楷体" w:hint="eastAsia"/>
          <w:szCs w:val="32"/>
        </w:rPr>
        <w:t>（四）使用风险及控制措施</w:t>
      </w:r>
    </w:p>
    <w:p w:rsidR="005B570A" w:rsidRDefault="005B570A" w:rsidP="005B570A">
      <w:pPr>
        <w:spacing w:line="560" w:lineRule="exact"/>
        <w:ind w:firstLineChars="200" w:firstLine="640"/>
        <w:rPr>
          <w:rFonts w:eastAsia="仿宋"/>
          <w:szCs w:val="32"/>
        </w:rPr>
      </w:pPr>
      <w:r>
        <w:rPr>
          <w:rFonts w:eastAsia="仿宋" w:hint="eastAsia"/>
          <w:szCs w:val="32"/>
        </w:rPr>
        <w:t>此类产品属于全新的高风险产品，需要关注使用风险，如产品提示不明导致受试者（特别是老人、儿童）无法操作或操作错误，受试者在采样过程中运动导致无法采样，受试者较为敏感在采样过程中发生呕吐导致产品内部污染，产品故障和突发事件（如断电）应对不当导致受试者受到伤害或产品内部污染等。</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注册申请人需明确适用人群、使用提示功能、受试者运动控制、故障应对、</w:t>
      </w:r>
      <w:r>
        <w:rPr>
          <w:rFonts w:eastAsia="仿宋_GB2312" w:hint="eastAsia"/>
          <w:bCs/>
          <w:szCs w:val="32"/>
        </w:rPr>
        <w:t>断电保护</w:t>
      </w:r>
      <w:r>
        <w:rPr>
          <w:rFonts w:eastAsia="仿宋" w:hint="eastAsia"/>
          <w:szCs w:val="32"/>
        </w:rPr>
        <w:t>、值守等要求。其中，适用人群考虑是否包含儿童、老人，将易呕人群等人群和呼吸道传染病、</w:t>
      </w:r>
      <w:r>
        <w:rPr>
          <w:rFonts w:eastAsia="仿宋_GB2312" w:hint="eastAsia"/>
          <w:bCs/>
          <w:szCs w:val="32"/>
        </w:rPr>
        <w:t>哮喘病、凝血病、</w:t>
      </w:r>
      <w:r>
        <w:rPr>
          <w:rFonts w:eastAsia="仿宋" w:hint="eastAsia"/>
          <w:szCs w:val="32"/>
        </w:rPr>
        <w:t>严重心脏病等疾病予以排除。使用提示功能包括语音、视觉等方式，或多种方式相结合。受试者运动控制综合采用咬口器固定、语音提示、机械</w:t>
      </w:r>
      <w:proofErr w:type="gramStart"/>
      <w:r>
        <w:rPr>
          <w:rFonts w:eastAsia="仿宋" w:hint="eastAsia"/>
          <w:szCs w:val="32"/>
        </w:rPr>
        <w:t>臂停止</w:t>
      </w:r>
      <w:proofErr w:type="gramEnd"/>
      <w:r>
        <w:rPr>
          <w:rFonts w:eastAsia="仿宋" w:hint="eastAsia"/>
          <w:szCs w:val="32"/>
        </w:rPr>
        <w:t>运动等措施。故障应对考虑机械臂急停、故障提示、受试者脱困、产品重启（</w:t>
      </w:r>
      <w:proofErr w:type="gramStart"/>
      <w:r>
        <w:rPr>
          <w:rFonts w:eastAsia="仿宋" w:hint="eastAsia"/>
          <w:szCs w:val="32"/>
        </w:rPr>
        <w:t>含再次消</w:t>
      </w:r>
      <w:proofErr w:type="gramEnd"/>
      <w:r>
        <w:rPr>
          <w:rFonts w:eastAsia="仿宋" w:hint="eastAsia"/>
          <w:szCs w:val="32"/>
        </w:rPr>
        <w:t>杀）等要求。</w:t>
      </w:r>
      <w:r>
        <w:rPr>
          <w:rFonts w:eastAsia="仿宋_GB2312" w:hint="eastAsia"/>
          <w:bCs/>
          <w:szCs w:val="32"/>
        </w:rPr>
        <w:t>断电保护明确不间断电源（</w:t>
      </w:r>
      <w:r>
        <w:rPr>
          <w:rFonts w:eastAsia="仿宋_GB2312" w:hint="eastAsia"/>
          <w:bCs/>
          <w:szCs w:val="32"/>
        </w:rPr>
        <w:t>UPS</w:t>
      </w:r>
      <w:r>
        <w:rPr>
          <w:rFonts w:eastAsia="仿宋_GB2312" w:hint="eastAsia"/>
          <w:bCs/>
          <w:szCs w:val="32"/>
        </w:rPr>
        <w:t>）等保护措施及其持续供电时长</w:t>
      </w:r>
      <w:r>
        <w:rPr>
          <w:rFonts w:eastAsia="仿宋" w:hint="eastAsia"/>
          <w:szCs w:val="32"/>
        </w:rPr>
        <w:t>等要求。值守考虑值守方式（现场、现场与监控相结合）、值守人员（配备、培训、个人防护）等要求，</w:t>
      </w:r>
      <w:r>
        <w:rPr>
          <w:rFonts w:eastAsia="仿宋" w:hint="eastAsia"/>
          <w:b/>
          <w:bCs/>
          <w:szCs w:val="32"/>
        </w:rPr>
        <w:t>考虑到此类产品的特殊性不得无人值守</w:t>
      </w:r>
      <w:r>
        <w:rPr>
          <w:rFonts w:eastAsia="仿宋" w:hint="eastAsia"/>
          <w:szCs w:val="32"/>
        </w:rPr>
        <w:t>。</w:t>
      </w:r>
    </w:p>
    <w:p w:rsidR="005B570A" w:rsidRDefault="005B570A" w:rsidP="005B570A">
      <w:pPr>
        <w:spacing w:line="560" w:lineRule="exact"/>
        <w:ind w:firstLineChars="200" w:firstLine="640"/>
        <w:rPr>
          <w:rFonts w:eastAsia="仿宋"/>
          <w:szCs w:val="32"/>
        </w:rPr>
      </w:pPr>
      <w:r>
        <w:rPr>
          <w:rFonts w:eastAsia="仿宋" w:hint="eastAsia"/>
          <w:szCs w:val="32"/>
        </w:rPr>
        <w:t>应在设计上有效控制受试者运动风险，如产品结构组成包含咬口器，亦需关注其衍生风险。咬口器为一次性使用耗材，原则上为无菌或明确微生物限度要求，需考虑清洁、消毒、灭菌要求，</w:t>
      </w:r>
      <w:r>
        <w:rPr>
          <w:rFonts w:eastAsia="仿宋_GB2312"/>
          <w:bCs/>
          <w:szCs w:val="32"/>
        </w:rPr>
        <w:t>若消毒或灭菌可能产生残留物质</w:t>
      </w:r>
      <w:r>
        <w:rPr>
          <w:rFonts w:eastAsia="仿宋_GB2312" w:hint="eastAsia"/>
          <w:bCs/>
          <w:szCs w:val="32"/>
        </w:rPr>
        <w:t>需开展</w:t>
      </w:r>
      <w:r>
        <w:rPr>
          <w:rFonts w:eastAsia="仿宋_GB2312"/>
          <w:bCs/>
          <w:szCs w:val="32"/>
        </w:rPr>
        <w:t>残留毒性研究</w:t>
      </w:r>
      <w:r>
        <w:rPr>
          <w:rFonts w:eastAsia="仿宋_GB2312" w:hint="eastAsia"/>
          <w:bCs/>
          <w:szCs w:val="32"/>
        </w:rPr>
        <w:t>。</w:t>
      </w:r>
      <w:r>
        <w:rPr>
          <w:rFonts w:eastAsia="仿宋" w:hint="eastAsia"/>
          <w:szCs w:val="32"/>
        </w:rPr>
        <w:t>咬口器与口腔粘膜接触，需考虑生物相容性风险，按</w:t>
      </w:r>
      <w:r>
        <w:rPr>
          <w:rFonts w:eastAsia="仿宋" w:hint="eastAsia"/>
          <w:szCs w:val="32"/>
        </w:rPr>
        <w:t>GB/T 16886</w:t>
      </w:r>
      <w:r>
        <w:rPr>
          <w:rFonts w:eastAsia="仿宋" w:hint="eastAsia"/>
          <w:szCs w:val="32"/>
        </w:rPr>
        <w:t>系列标准开展生物相容性评价工作。咬口器的尺寸、刚度、</w:t>
      </w:r>
      <w:r>
        <w:rPr>
          <w:rFonts w:eastAsia="仿宋_GB2312" w:hint="eastAsia"/>
          <w:bCs/>
          <w:szCs w:val="32"/>
        </w:rPr>
        <w:t>连接</w:t>
      </w:r>
      <w:r>
        <w:rPr>
          <w:rFonts w:eastAsia="仿宋" w:hint="eastAsia"/>
          <w:szCs w:val="32"/>
        </w:rPr>
        <w:t>等性能指标若达不到使用要求，亦会产生使用风险；同时，建议含有压舌板设计，以便控制舌头运动和光学成像。咬口器使用后若未妥善废弃可能导致产品或环境污染，需考虑污染和感染风险，明确废弃处置要求。</w:t>
      </w:r>
    </w:p>
    <w:p w:rsidR="005B570A" w:rsidRDefault="005B570A" w:rsidP="005B570A">
      <w:pPr>
        <w:spacing w:line="560" w:lineRule="exact"/>
        <w:ind w:firstLineChars="200" w:firstLine="640"/>
        <w:rPr>
          <w:rFonts w:eastAsia="仿宋"/>
          <w:szCs w:val="32"/>
        </w:rPr>
      </w:pPr>
      <w:r>
        <w:rPr>
          <w:rFonts w:eastAsia="仿宋" w:hint="eastAsia"/>
          <w:szCs w:val="32"/>
        </w:rPr>
        <w:t>注册申请人可参考医疗器械人因设计技术审查指导原则（征求意见稿）的基本思路开展产品人因与可用性设计工作，确保产品使用风险均可接受。</w:t>
      </w:r>
    </w:p>
    <w:p w:rsidR="005B570A" w:rsidRDefault="005B570A" w:rsidP="005B570A">
      <w:pPr>
        <w:spacing w:line="560" w:lineRule="exact"/>
        <w:ind w:firstLineChars="200" w:firstLine="640"/>
        <w:outlineLvl w:val="1"/>
        <w:rPr>
          <w:rFonts w:eastAsia="楷体"/>
          <w:szCs w:val="32"/>
        </w:rPr>
      </w:pPr>
      <w:r>
        <w:rPr>
          <w:rFonts w:eastAsia="楷体" w:hint="eastAsia"/>
          <w:szCs w:val="32"/>
        </w:rPr>
        <w:t>（五）机械风险及控制措施</w:t>
      </w:r>
    </w:p>
    <w:p w:rsidR="005B570A" w:rsidRDefault="005B570A" w:rsidP="005B570A">
      <w:pPr>
        <w:spacing w:line="560" w:lineRule="exact"/>
        <w:ind w:firstLineChars="200" w:firstLine="640"/>
        <w:outlineLvl w:val="1"/>
        <w:rPr>
          <w:rFonts w:eastAsia="仿宋"/>
          <w:szCs w:val="32"/>
        </w:rPr>
      </w:pPr>
      <w:r>
        <w:rPr>
          <w:rFonts w:eastAsia="仿宋" w:hint="eastAsia"/>
          <w:szCs w:val="32"/>
        </w:rPr>
        <w:t>机械臂等机械部件非预期运动可能导致受试者受到伤害或产品发生故障，如机械臂撞击受试者口部、面部、胸部，采样力度过大导致受试者口腔黏膜损伤，机械臂急停后无法安全释放受试者，双机械臂或多机械</w:t>
      </w:r>
      <w:proofErr w:type="gramStart"/>
      <w:r>
        <w:rPr>
          <w:rFonts w:eastAsia="仿宋" w:hint="eastAsia"/>
          <w:szCs w:val="32"/>
        </w:rPr>
        <w:t>臂相互</w:t>
      </w:r>
      <w:proofErr w:type="gramEnd"/>
      <w:r>
        <w:rPr>
          <w:rFonts w:eastAsia="仿宋" w:hint="eastAsia"/>
          <w:szCs w:val="32"/>
        </w:rPr>
        <w:t>干涉导致产品无法运行等。</w:t>
      </w:r>
    </w:p>
    <w:p w:rsidR="005B570A" w:rsidRDefault="005B570A" w:rsidP="005B570A">
      <w:pPr>
        <w:spacing w:line="560" w:lineRule="exact"/>
        <w:ind w:firstLineChars="200" w:firstLine="640"/>
        <w:outlineLvl w:val="1"/>
        <w:rPr>
          <w:rFonts w:eastAsia="仿宋"/>
          <w:szCs w:val="32"/>
        </w:rPr>
      </w:pPr>
      <w:r>
        <w:rPr>
          <w:rFonts w:eastAsia="仿宋" w:hint="eastAsia"/>
          <w:szCs w:val="32"/>
        </w:rPr>
        <w:t>注册申请人需明确机械臂工作空间、空间限位或隔离、急停、运动速度、双机械臂或多机械臂干涉控制等性能指标要求，以及测距装置和力学反馈装置的性能指标要求。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（六）可靠性风险及控制措施</w:t>
      </w:r>
    </w:p>
    <w:p w:rsidR="005B570A" w:rsidRDefault="005B570A" w:rsidP="005B570A">
      <w:pPr>
        <w:spacing w:line="560" w:lineRule="exact"/>
        <w:ind w:firstLineChars="200" w:firstLine="640"/>
        <w:rPr>
          <w:rFonts w:eastAsia="仿宋"/>
          <w:szCs w:val="32"/>
        </w:rPr>
      </w:pPr>
      <w:r>
        <w:rPr>
          <w:rFonts w:eastAsia="仿宋" w:hint="eastAsia"/>
          <w:szCs w:val="32"/>
        </w:rPr>
        <w:t>因长期持续工作、环境条件（如温度、湿度、</w:t>
      </w:r>
      <w:r>
        <w:rPr>
          <w:rFonts w:eastAsia="仿宋_GB2312" w:hint="eastAsia"/>
          <w:bCs/>
          <w:szCs w:val="32"/>
        </w:rPr>
        <w:t>气压或海拔等</w:t>
      </w:r>
      <w:r>
        <w:rPr>
          <w:rFonts w:eastAsia="仿宋" w:hint="eastAsia"/>
          <w:szCs w:val="32"/>
        </w:rPr>
        <w:t>）超出预期设定等问题导致产品发生故障不能正常运行或非预期运行。</w:t>
      </w:r>
    </w:p>
    <w:p w:rsidR="005B570A" w:rsidRDefault="005B570A" w:rsidP="005B570A">
      <w:pPr>
        <w:spacing w:line="560" w:lineRule="exact"/>
        <w:ind w:firstLineChars="200" w:firstLine="640"/>
        <w:rPr>
          <w:rFonts w:eastAsia="仿宋_GB2312"/>
          <w:szCs w:val="32"/>
        </w:rPr>
      </w:pPr>
      <w:r>
        <w:rPr>
          <w:rFonts w:eastAsia="仿宋" w:hint="eastAsia"/>
          <w:szCs w:val="32"/>
        </w:rPr>
        <w:t>注册申请人需明确产品持续工作时间、环境条件、开机自检、故障提示、运行日志等要求，参考</w:t>
      </w:r>
      <w:r>
        <w:rPr>
          <w:rFonts w:eastAsia="仿宋_GB2312"/>
          <w:bCs/>
          <w:szCs w:val="32"/>
        </w:rPr>
        <w:t>《</w:t>
      </w:r>
      <w:r>
        <w:rPr>
          <w:rFonts w:eastAsia="仿宋_GB2312" w:hint="eastAsia"/>
          <w:bCs/>
          <w:szCs w:val="32"/>
        </w:rPr>
        <w:t>有源医疗器械使用期限注册技术审查指导原则</w:t>
      </w:r>
      <w:r>
        <w:rPr>
          <w:rFonts w:eastAsia="仿宋_GB2312"/>
          <w:bCs/>
          <w:szCs w:val="32"/>
        </w:rPr>
        <w:t>》</w:t>
      </w:r>
      <w:r>
        <w:rPr>
          <w:rFonts w:eastAsia="仿宋_GB2312" w:hint="eastAsia"/>
          <w:bCs/>
          <w:szCs w:val="32"/>
        </w:rPr>
        <w:t>要求</w:t>
      </w:r>
      <w:r>
        <w:rPr>
          <w:rFonts w:eastAsia="仿宋" w:hint="eastAsia"/>
          <w:szCs w:val="32"/>
        </w:rPr>
        <w:t>开展产品可靠性研究工作。产品持续工作时间需开展耐久性研究（建议不少于</w:t>
      </w:r>
      <w:r>
        <w:rPr>
          <w:rFonts w:eastAsia="仿宋" w:hint="eastAsia"/>
          <w:szCs w:val="32"/>
        </w:rPr>
        <w:t>1</w:t>
      </w:r>
      <w:r>
        <w:rPr>
          <w:rFonts w:eastAsia="仿宋" w:hint="eastAsia"/>
          <w:szCs w:val="32"/>
        </w:rPr>
        <w:t>周），明确开机率、故障情况及其应对措施等。环境试验满足</w:t>
      </w:r>
      <w:r>
        <w:rPr>
          <w:rFonts w:eastAsia="仿宋_GB2312" w:hint="eastAsia"/>
          <w:bCs/>
          <w:szCs w:val="32"/>
        </w:rPr>
        <w:t>GB/T 14710</w:t>
      </w:r>
      <w:r>
        <w:rPr>
          <w:rFonts w:eastAsia="仿宋_GB2312" w:hint="eastAsia"/>
          <w:bCs/>
          <w:szCs w:val="32"/>
        </w:rPr>
        <w:t>标准要求。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（七）软件风险及控制措施</w:t>
      </w:r>
    </w:p>
    <w:p w:rsidR="005B570A" w:rsidRDefault="005B570A" w:rsidP="005B570A">
      <w:pPr>
        <w:spacing w:line="560" w:lineRule="exact"/>
        <w:ind w:firstLineChars="200" w:firstLine="640"/>
        <w:rPr>
          <w:rFonts w:eastAsia="仿宋"/>
          <w:szCs w:val="32"/>
        </w:rPr>
      </w:pPr>
      <w:r>
        <w:rPr>
          <w:rFonts w:eastAsia="仿宋" w:hint="eastAsia"/>
          <w:szCs w:val="32"/>
        </w:rPr>
        <w:t>产品软件风险需考虑软件算法性能不佳、软件缺陷等问题，如采样部位无法识别或识别错误、机械臂非预期运动、双机械臂或多机械</w:t>
      </w:r>
      <w:proofErr w:type="gramStart"/>
      <w:r>
        <w:rPr>
          <w:rFonts w:eastAsia="仿宋" w:hint="eastAsia"/>
          <w:szCs w:val="32"/>
        </w:rPr>
        <w:t>臂相互</w:t>
      </w:r>
      <w:proofErr w:type="gramEnd"/>
      <w:r>
        <w:rPr>
          <w:rFonts w:eastAsia="仿宋" w:hint="eastAsia"/>
          <w:szCs w:val="32"/>
        </w:rPr>
        <w:t>干涉、使用提示出错、故障提示失效、死机等。</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注册申请人需明确软件功能，至少包括开机自检、机械臂控制、使用提示、故障提示、运行日志等功能。该类产品软件安全性级别为严重级别，注册申请人需结合</w:t>
      </w:r>
      <w:r>
        <w:rPr>
          <w:rFonts w:eastAsia="仿宋" w:hint="eastAsia"/>
          <w:szCs w:val="32"/>
        </w:rPr>
        <w:t>GB/T 25000.51</w:t>
      </w:r>
      <w:r>
        <w:rPr>
          <w:rFonts w:eastAsia="仿宋" w:hint="eastAsia"/>
          <w:szCs w:val="32"/>
        </w:rPr>
        <w:t>标准要求，按照严重级别要求开展产品软件设计开发工作。</w:t>
      </w:r>
    </w:p>
    <w:p w:rsidR="005B570A" w:rsidRDefault="005B570A" w:rsidP="005B570A">
      <w:pPr>
        <w:spacing w:line="560" w:lineRule="exact"/>
        <w:ind w:firstLineChars="200" w:firstLine="640"/>
        <w:rPr>
          <w:rFonts w:eastAsia="仿宋"/>
          <w:szCs w:val="32"/>
        </w:rPr>
      </w:pPr>
      <w:r>
        <w:rPr>
          <w:rFonts w:eastAsia="仿宋" w:hint="eastAsia"/>
          <w:szCs w:val="32"/>
        </w:rPr>
        <w:t>根据《医疗器械软件注册审查指导原则（</w:t>
      </w:r>
      <w:r>
        <w:rPr>
          <w:rFonts w:eastAsia="仿宋" w:hint="eastAsia"/>
          <w:szCs w:val="32"/>
        </w:rPr>
        <w:t>2022</w:t>
      </w:r>
      <w:r>
        <w:rPr>
          <w:rFonts w:eastAsia="仿宋" w:hint="eastAsia"/>
          <w:szCs w:val="32"/>
        </w:rPr>
        <w:t>年修订版）》要求准备相应级别的软件（含现成软件）研究资料、互操作性研究资料以及</w:t>
      </w:r>
      <w:r>
        <w:rPr>
          <w:rFonts w:eastAsia="仿宋" w:hint="eastAsia"/>
          <w:szCs w:val="32"/>
        </w:rPr>
        <w:t>GB/T 25000.51</w:t>
      </w:r>
      <w:r>
        <w:rPr>
          <w:rFonts w:eastAsia="仿宋" w:hint="eastAsia"/>
          <w:szCs w:val="32"/>
        </w:rPr>
        <w:t>检测报告，其中软件研究资料建议重点关注验证与确认、可追溯性分析、缺陷管理、核心功能等。根据《人工智能医疗器械注册审查指导原则》要求准备算法研究资料，建议重点关注数据质控、算法训练、验证与确认、可追溯性分析等。</w:t>
      </w:r>
    </w:p>
    <w:p w:rsidR="005B570A" w:rsidRDefault="005B570A" w:rsidP="005B570A">
      <w:pPr>
        <w:spacing w:line="560" w:lineRule="exact"/>
        <w:ind w:firstLineChars="200" w:firstLine="640"/>
        <w:outlineLvl w:val="1"/>
        <w:rPr>
          <w:rFonts w:eastAsia="楷体"/>
          <w:szCs w:val="32"/>
        </w:rPr>
      </w:pPr>
      <w:r>
        <w:rPr>
          <w:rFonts w:eastAsia="楷体" w:hint="eastAsia"/>
          <w:szCs w:val="32"/>
        </w:rPr>
        <w:t>（八）网络安全风险及控制措施</w:t>
      </w:r>
    </w:p>
    <w:p w:rsidR="005B570A" w:rsidRDefault="005B570A" w:rsidP="005B570A">
      <w:pPr>
        <w:spacing w:line="560" w:lineRule="exact"/>
        <w:ind w:firstLineChars="200" w:firstLine="640"/>
        <w:rPr>
          <w:rFonts w:eastAsia="仿宋"/>
          <w:szCs w:val="32"/>
        </w:rPr>
      </w:pPr>
      <w:r>
        <w:rPr>
          <w:rFonts w:eastAsia="仿宋" w:hint="eastAsia"/>
          <w:szCs w:val="32"/>
        </w:rPr>
        <w:t>产品网络安全风险需要综合考虑信息安全、数据安全相关风险，如受试者身份鉴别困难、</w:t>
      </w:r>
      <w:r>
        <w:rPr>
          <w:rFonts w:eastAsia="仿宋_GB2312" w:hint="eastAsia"/>
          <w:bCs/>
          <w:szCs w:val="32"/>
        </w:rPr>
        <w:t>采样管</w:t>
      </w:r>
      <w:r>
        <w:rPr>
          <w:rFonts w:eastAsia="仿宋" w:hint="eastAsia"/>
          <w:szCs w:val="32"/>
        </w:rPr>
        <w:t>未能识别、受试者与样本关联错误、受试者个人信息泄露等。</w:t>
      </w:r>
    </w:p>
    <w:p w:rsidR="005B570A" w:rsidRDefault="005B570A" w:rsidP="005B570A">
      <w:pPr>
        <w:spacing w:line="560" w:lineRule="exact"/>
        <w:ind w:firstLineChars="200" w:firstLine="640"/>
        <w:rPr>
          <w:rFonts w:eastAsia="仿宋"/>
          <w:szCs w:val="32"/>
        </w:rPr>
      </w:pPr>
      <w:r>
        <w:rPr>
          <w:rFonts w:eastAsia="仿宋" w:hint="eastAsia"/>
          <w:szCs w:val="32"/>
        </w:rPr>
        <w:t>注册申请人需明确</w:t>
      </w:r>
      <w:r>
        <w:rPr>
          <w:rFonts w:eastAsia="仿宋_GB2312" w:hint="eastAsia"/>
          <w:bCs/>
          <w:szCs w:val="32"/>
        </w:rPr>
        <w:t>数据接口、用户访问控制等要求，结合网络安全能力建设要求，按照严重级别要求</w:t>
      </w:r>
      <w:r>
        <w:rPr>
          <w:rFonts w:eastAsia="仿宋" w:hint="eastAsia"/>
          <w:szCs w:val="32"/>
        </w:rPr>
        <w:t>开展产品网络安全设计开发工作。</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根据</w:t>
      </w:r>
      <w:r>
        <w:rPr>
          <w:rFonts w:eastAsia="仿宋" w:hint="eastAsia"/>
          <w:szCs w:val="32"/>
        </w:rPr>
        <w:t>《医疗器械网络安全注册审查指导原则（</w:t>
      </w:r>
      <w:r>
        <w:rPr>
          <w:rFonts w:eastAsia="仿宋" w:hint="eastAsia"/>
          <w:szCs w:val="32"/>
        </w:rPr>
        <w:t>2022</w:t>
      </w:r>
      <w:r>
        <w:rPr>
          <w:rFonts w:eastAsia="仿宋" w:hint="eastAsia"/>
          <w:szCs w:val="32"/>
        </w:rPr>
        <w:t>年修订版）》</w:t>
      </w:r>
      <w:r>
        <w:rPr>
          <w:rFonts w:eastAsia="仿宋_GB2312" w:hint="eastAsia"/>
          <w:bCs/>
          <w:szCs w:val="32"/>
        </w:rPr>
        <w:t>要求准备网络安全研究资料，建议</w:t>
      </w:r>
      <w:r>
        <w:rPr>
          <w:rFonts w:eastAsia="仿宋" w:hint="eastAsia"/>
          <w:szCs w:val="32"/>
        </w:rPr>
        <w:t>重点关注验证与确认、网络安全能力、可追溯性分析、漏洞评估等。</w:t>
      </w:r>
    </w:p>
    <w:p w:rsidR="005B570A" w:rsidRDefault="005B570A" w:rsidP="005B570A">
      <w:pPr>
        <w:spacing w:line="560" w:lineRule="exact"/>
        <w:ind w:firstLineChars="200" w:firstLine="640"/>
        <w:rPr>
          <w:rFonts w:eastAsia="仿宋_GB2312"/>
          <w:bCs/>
          <w:szCs w:val="32"/>
        </w:rPr>
      </w:pPr>
      <w:r>
        <w:rPr>
          <w:rFonts w:eastAsia="仿宋" w:hint="eastAsia"/>
          <w:szCs w:val="32"/>
        </w:rPr>
        <w:t>网络安全风险亦存在漏诊情况，可能导致疫情扩散，需要重点关注。</w:t>
      </w:r>
    </w:p>
    <w:p w:rsidR="005B570A" w:rsidRDefault="005B570A" w:rsidP="005B570A">
      <w:pPr>
        <w:spacing w:line="560" w:lineRule="exact"/>
        <w:ind w:firstLineChars="200" w:firstLine="640"/>
        <w:outlineLvl w:val="1"/>
        <w:rPr>
          <w:rFonts w:eastAsia="楷体"/>
          <w:szCs w:val="32"/>
        </w:rPr>
      </w:pPr>
      <w:r>
        <w:rPr>
          <w:rFonts w:eastAsia="楷体" w:hint="eastAsia"/>
          <w:szCs w:val="32"/>
        </w:rPr>
        <w:t>（九）电气安全风险及控制措施</w:t>
      </w:r>
    </w:p>
    <w:p w:rsidR="005B570A" w:rsidRDefault="005B570A" w:rsidP="005B570A">
      <w:pPr>
        <w:spacing w:line="560" w:lineRule="exact"/>
        <w:ind w:firstLineChars="200" w:firstLine="640"/>
        <w:rPr>
          <w:rFonts w:eastAsia="仿宋"/>
          <w:szCs w:val="32"/>
        </w:rPr>
      </w:pPr>
      <w:r>
        <w:rPr>
          <w:rFonts w:eastAsia="仿宋" w:hint="eastAsia"/>
          <w:szCs w:val="32"/>
        </w:rPr>
        <w:t>产品因电气安全（含电磁兼容）设计不当、防护措施不力、安全提示不明等问题，可能直接或间接导致受试者等相关人员面临电气安全风险。</w:t>
      </w:r>
    </w:p>
    <w:p w:rsidR="005B570A" w:rsidRDefault="005B570A" w:rsidP="005B570A">
      <w:pPr>
        <w:spacing w:line="560" w:lineRule="exact"/>
        <w:ind w:firstLineChars="200" w:firstLine="640"/>
        <w:rPr>
          <w:rFonts w:eastAsia="仿宋"/>
          <w:szCs w:val="32"/>
        </w:rPr>
      </w:pPr>
      <w:r>
        <w:rPr>
          <w:rFonts w:eastAsia="仿宋" w:hint="eastAsia"/>
          <w:szCs w:val="32"/>
        </w:rPr>
        <w:t>注册申请人需根据</w:t>
      </w:r>
      <w:r>
        <w:rPr>
          <w:rFonts w:eastAsia="仿宋" w:hint="eastAsia"/>
          <w:szCs w:val="32"/>
        </w:rPr>
        <w:t>GB 9706</w:t>
      </w:r>
      <w:r>
        <w:rPr>
          <w:rFonts w:eastAsia="仿宋" w:hint="eastAsia"/>
          <w:szCs w:val="32"/>
        </w:rPr>
        <w:t>电气安全系列标准开展产品设计开发工作，并准备相应标准的检测报告。</w:t>
      </w:r>
    </w:p>
    <w:p w:rsidR="005B570A" w:rsidRDefault="005B570A" w:rsidP="005B570A">
      <w:pPr>
        <w:spacing w:line="560" w:lineRule="exact"/>
        <w:ind w:firstLineChars="200" w:firstLine="640"/>
        <w:outlineLvl w:val="1"/>
        <w:rPr>
          <w:rFonts w:eastAsia="楷体"/>
          <w:szCs w:val="32"/>
        </w:rPr>
      </w:pPr>
      <w:r>
        <w:rPr>
          <w:rFonts w:eastAsia="楷体" w:hint="eastAsia"/>
          <w:szCs w:val="32"/>
        </w:rPr>
        <w:t>（十）光学安全风险及控制措施</w:t>
      </w:r>
    </w:p>
    <w:p w:rsidR="005B570A" w:rsidRDefault="005B570A" w:rsidP="005B570A">
      <w:pPr>
        <w:spacing w:line="560" w:lineRule="exact"/>
        <w:ind w:firstLineChars="200" w:firstLine="640"/>
        <w:rPr>
          <w:rFonts w:eastAsia="仿宋"/>
          <w:szCs w:val="32"/>
        </w:rPr>
      </w:pPr>
      <w:r>
        <w:rPr>
          <w:rFonts w:eastAsia="仿宋" w:hint="eastAsia"/>
          <w:szCs w:val="32"/>
        </w:rPr>
        <w:t>产品所含光学成像、激光测距等光学装置存在光学安全风险。</w:t>
      </w:r>
    </w:p>
    <w:p w:rsidR="005B570A" w:rsidRDefault="005B570A" w:rsidP="005B570A">
      <w:pPr>
        <w:spacing w:line="560" w:lineRule="exact"/>
        <w:ind w:firstLineChars="200" w:firstLine="640"/>
        <w:rPr>
          <w:rFonts w:eastAsia="仿宋"/>
          <w:szCs w:val="32"/>
        </w:rPr>
      </w:pPr>
      <w:r>
        <w:rPr>
          <w:rFonts w:eastAsia="仿宋" w:hint="eastAsia"/>
          <w:szCs w:val="32"/>
        </w:rPr>
        <w:t>注册申请人需基于产品特性，根据</w:t>
      </w:r>
      <w:r>
        <w:rPr>
          <w:rFonts w:eastAsia="仿宋_GB2312" w:hint="eastAsia"/>
          <w:bCs/>
          <w:szCs w:val="32"/>
        </w:rPr>
        <w:t>GB 7247.1</w:t>
      </w:r>
      <w:r>
        <w:rPr>
          <w:rFonts w:eastAsia="仿宋_GB2312" w:hint="eastAsia"/>
          <w:bCs/>
          <w:szCs w:val="32"/>
        </w:rPr>
        <w:t>（激光）、</w:t>
      </w:r>
      <w:r>
        <w:rPr>
          <w:rFonts w:eastAsia="仿宋_GB2312"/>
          <w:bCs/>
          <w:szCs w:val="32"/>
        </w:rPr>
        <w:t>YY</w:t>
      </w:r>
      <w:r>
        <w:rPr>
          <w:rFonts w:eastAsia="仿宋_GB2312" w:hint="eastAsia"/>
          <w:bCs/>
          <w:szCs w:val="32"/>
        </w:rPr>
        <w:t>/</w:t>
      </w:r>
      <w:r>
        <w:rPr>
          <w:rFonts w:eastAsia="仿宋_GB2312"/>
          <w:bCs/>
          <w:szCs w:val="32"/>
        </w:rPr>
        <w:t>T</w:t>
      </w:r>
      <w:r>
        <w:rPr>
          <w:rFonts w:eastAsia="仿宋_GB2312" w:hint="eastAsia"/>
          <w:bCs/>
          <w:szCs w:val="32"/>
        </w:rPr>
        <w:t xml:space="preserve"> </w:t>
      </w:r>
      <w:r>
        <w:rPr>
          <w:rFonts w:eastAsia="仿宋_GB2312"/>
          <w:bCs/>
          <w:szCs w:val="32"/>
        </w:rPr>
        <w:t>1534</w:t>
      </w:r>
      <w:r>
        <w:rPr>
          <w:rFonts w:eastAsia="仿宋_GB2312" w:hint="eastAsia"/>
          <w:bCs/>
          <w:szCs w:val="32"/>
        </w:rPr>
        <w:t>（</w:t>
      </w:r>
      <w:r>
        <w:rPr>
          <w:rFonts w:eastAsia="仿宋_GB2312" w:hint="eastAsia"/>
          <w:bCs/>
          <w:szCs w:val="32"/>
        </w:rPr>
        <w:t>LED</w:t>
      </w:r>
      <w:r>
        <w:rPr>
          <w:rFonts w:eastAsia="仿宋_GB2312" w:hint="eastAsia"/>
          <w:bCs/>
          <w:szCs w:val="32"/>
        </w:rPr>
        <w:t>光源）、</w:t>
      </w:r>
      <w:r>
        <w:rPr>
          <w:rFonts w:eastAsia="仿宋_GB2312"/>
          <w:bCs/>
          <w:szCs w:val="32"/>
        </w:rPr>
        <w:t>GB/T 20145</w:t>
      </w:r>
      <w:r>
        <w:rPr>
          <w:rFonts w:eastAsia="仿宋_GB2312" w:hint="eastAsia"/>
          <w:bCs/>
          <w:szCs w:val="32"/>
        </w:rPr>
        <w:t>（普通光源）等适用标准要求</w:t>
      </w:r>
      <w:r>
        <w:rPr>
          <w:rFonts w:eastAsia="仿宋" w:hint="eastAsia"/>
          <w:szCs w:val="32"/>
        </w:rPr>
        <w:t>开展产品设计开发工作，并根据产品具体情况准备</w:t>
      </w:r>
      <w:r>
        <w:rPr>
          <w:rFonts w:eastAsia="仿宋_GB2312" w:hint="eastAsia"/>
          <w:bCs/>
          <w:szCs w:val="32"/>
        </w:rPr>
        <w:t>GB 7247.1</w:t>
      </w:r>
      <w:r>
        <w:rPr>
          <w:rFonts w:eastAsia="仿宋_GB2312" w:hint="eastAsia"/>
          <w:bCs/>
          <w:szCs w:val="32"/>
        </w:rPr>
        <w:t>、</w:t>
      </w:r>
      <w:r>
        <w:rPr>
          <w:rFonts w:eastAsia="仿宋_GB2312"/>
          <w:bCs/>
          <w:szCs w:val="32"/>
        </w:rPr>
        <w:t>YY</w:t>
      </w:r>
      <w:r>
        <w:rPr>
          <w:rFonts w:eastAsia="仿宋_GB2312" w:hint="eastAsia"/>
          <w:bCs/>
          <w:szCs w:val="32"/>
        </w:rPr>
        <w:t>/</w:t>
      </w:r>
      <w:r>
        <w:rPr>
          <w:rFonts w:eastAsia="仿宋_GB2312"/>
          <w:bCs/>
          <w:szCs w:val="32"/>
        </w:rPr>
        <w:t>T</w:t>
      </w:r>
      <w:r>
        <w:rPr>
          <w:rFonts w:eastAsia="仿宋_GB2312" w:hint="eastAsia"/>
          <w:bCs/>
          <w:szCs w:val="32"/>
        </w:rPr>
        <w:t xml:space="preserve"> </w:t>
      </w:r>
      <w:r>
        <w:rPr>
          <w:rFonts w:eastAsia="仿宋_GB2312"/>
          <w:bCs/>
          <w:szCs w:val="32"/>
        </w:rPr>
        <w:t>1534</w:t>
      </w:r>
      <w:r>
        <w:rPr>
          <w:rFonts w:eastAsia="仿宋" w:hint="eastAsia"/>
          <w:szCs w:val="32"/>
        </w:rPr>
        <w:t>检测报告和</w:t>
      </w:r>
      <w:r>
        <w:rPr>
          <w:rFonts w:eastAsia="仿宋_GB2312"/>
          <w:bCs/>
          <w:szCs w:val="32"/>
        </w:rPr>
        <w:t>GB/T 20145</w:t>
      </w:r>
      <w:r>
        <w:rPr>
          <w:rFonts w:eastAsia="仿宋" w:hint="eastAsia"/>
          <w:szCs w:val="32"/>
        </w:rPr>
        <w:t>研究资料。</w:t>
      </w:r>
    </w:p>
    <w:p w:rsidR="005B570A" w:rsidRDefault="005B570A" w:rsidP="005B570A">
      <w:pPr>
        <w:spacing w:line="560" w:lineRule="exact"/>
        <w:ind w:firstLineChars="200" w:firstLine="640"/>
        <w:rPr>
          <w:rFonts w:eastAsia="仿宋"/>
          <w:szCs w:val="32"/>
        </w:rPr>
      </w:pPr>
      <w:r>
        <w:rPr>
          <w:rFonts w:eastAsia="仿宋" w:hint="eastAsia"/>
          <w:szCs w:val="32"/>
        </w:rPr>
        <w:t>同时，产品亦存在生物相容性、无菌等风险，前文已有相关说明，不再赘述。</w:t>
      </w:r>
    </w:p>
    <w:p w:rsidR="005B570A" w:rsidRDefault="005B570A" w:rsidP="005B570A">
      <w:pPr>
        <w:spacing w:line="560" w:lineRule="exact"/>
        <w:ind w:firstLineChars="200" w:firstLine="640"/>
        <w:rPr>
          <w:rFonts w:eastAsia="仿宋"/>
          <w:szCs w:val="32"/>
        </w:rPr>
      </w:pPr>
      <w:r>
        <w:rPr>
          <w:rFonts w:eastAsia="仿宋" w:hint="eastAsia"/>
          <w:szCs w:val="32"/>
        </w:rPr>
        <w:t>此外，混采产品相较于单采产品，在采样流程与质控、采样次数确认、采样管识别与操作、咽拭子操作、样本放置与保存、产品</w:t>
      </w:r>
      <w:proofErr w:type="gramStart"/>
      <w:r>
        <w:rPr>
          <w:rFonts w:eastAsia="仿宋" w:hint="eastAsia"/>
          <w:szCs w:val="32"/>
        </w:rPr>
        <w:t>内部消</w:t>
      </w:r>
      <w:proofErr w:type="gramEnd"/>
      <w:r>
        <w:rPr>
          <w:rFonts w:eastAsia="仿宋" w:hint="eastAsia"/>
          <w:szCs w:val="32"/>
        </w:rPr>
        <w:t>杀等方面要求更高，风险相对更高，更需加强风险管理工作。</w:t>
      </w:r>
    </w:p>
    <w:p w:rsidR="005B570A" w:rsidRDefault="005B570A" w:rsidP="005B570A">
      <w:pPr>
        <w:spacing w:line="560" w:lineRule="exact"/>
        <w:ind w:firstLineChars="200" w:firstLine="640"/>
        <w:outlineLvl w:val="0"/>
        <w:rPr>
          <w:rFonts w:eastAsia="黑体"/>
          <w:szCs w:val="32"/>
        </w:rPr>
      </w:pPr>
      <w:r>
        <w:rPr>
          <w:rFonts w:eastAsia="黑体" w:hint="eastAsia"/>
          <w:szCs w:val="32"/>
        </w:rPr>
        <w:t>四、审评关注点</w:t>
      </w:r>
    </w:p>
    <w:p w:rsidR="005B570A" w:rsidRDefault="005B570A" w:rsidP="005B570A">
      <w:pPr>
        <w:spacing w:line="560" w:lineRule="exact"/>
        <w:ind w:firstLineChars="200" w:firstLine="640"/>
        <w:outlineLvl w:val="1"/>
        <w:rPr>
          <w:rFonts w:eastAsia="楷体"/>
          <w:szCs w:val="32"/>
        </w:rPr>
      </w:pPr>
      <w:r>
        <w:rPr>
          <w:rFonts w:eastAsia="楷体" w:hint="eastAsia"/>
          <w:szCs w:val="32"/>
        </w:rPr>
        <w:t>（一）产品的结构组成、适用范围和禁忌证</w:t>
      </w:r>
    </w:p>
    <w:p w:rsidR="005B570A" w:rsidRDefault="005B570A" w:rsidP="005B570A">
      <w:pPr>
        <w:spacing w:line="560" w:lineRule="exact"/>
        <w:ind w:firstLineChars="200" w:firstLine="640"/>
        <w:rPr>
          <w:rFonts w:eastAsia="仿宋_GB2312"/>
          <w:bCs/>
          <w:szCs w:val="32"/>
        </w:rPr>
      </w:pPr>
      <w:r>
        <w:rPr>
          <w:rFonts w:eastAsia="仿宋" w:hint="eastAsia"/>
          <w:szCs w:val="32"/>
        </w:rPr>
        <w:t>根据产品特性和具体情况，明确其结构组成、适用范围、</w:t>
      </w:r>
      <w:r>
        <w:rPr>
          <w:rFonts w:eastAsia="仿宋_GB2312"/>
          <w:bCs/>
          <w:szCs w:val="32"/>
        </w:rPr>
        <w:t>使用环境</w:t>
      </w:r>
      <w:r>
        <w:rPr>
          <w:rFonts w:eastAsia="仿宋_GB2312" w:hint="eastAsia"/>
          <w:bCs/>
          <w:szCs w:val="32"/>
        </w:rPr>
        <w:t>、</w:t>
      </w:r>
      <w:r>
        <w:rPr>
          <w:rFonts w:eastAsia="仿宋_GB2312"/>
          <w:bCs/>
          <w:szCs w:val="32"/>
        </w:rPr>
        <w:t>适用人群</w:t>
      </w:r>
      <w:r>
        <w:rPr>
          <w:rFonts w:eastAsia="仿宋_GB2312" w:hint="eastAsia"/>
          <w:bCs/>
          <w:szCs w:val="32"/>
        </w:rPr>
        <w:t>和</w:t>
      </w:r>
      <w:r>
        <w:rPr>
          <w:rFonts w:eastAsia="仿宋_GB2312"/>
          <w:bCs/>
          <w:szCs w:val="32"/>
        </w:rPr>
        <w:t>禁忌证</w:t>
      </w:r>
      <w:r>
        <w:rPr>
          <w:rFonts w:eastAsia="仿宋_GB2312" w:hint="eastAsia"/>
          <w:bCs/>
          <w:szCs w:val="32"/>
        </w:rPr>
        <w:t>。</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结构组成原则上根据产品电气设计确定，需与检测报告保持一致，可体现机械</w:t>
      </w:r>
      <w:proofErr w:type="gramStart"/>
      <w:r>
        <w:rPr>
          <w:rFonts w:eastAsia="仿宋_GB2312" w:hint="eastAsia"/>
          <w:bCs/>
          <w:szCs w:val="32"/>
        </w:rPr>
        <w:t>臂及其</w:t>
      </w:r>
      <w:proofErr w:type="gramEnd"/>
      <w:r>
        <w:rPr>
          <w:rFonts w:eastAsia="仿宋_GB2312" w:hint="eastAsia"/>
          <w:bCs/>
          <w:szCs w:val="32"/>
        </w:rPr>
        <w:t>数量。</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适用范围明确产品的采样部位（如口咽部）、采样方式（如混采、单采）和预期用途（如新型冠状病毒核酸采样）。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使用环境明确产品的使用场所（如公共场所、医疗机构等）、环境条件（如温度、湿度、气压或海拔等）和受试者体位（如站姿、坐姿等）。</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适用人群明确产品的受试者人群（如成人、儿童、老人等）。禁忌证明确产品禁用的人群（如易呕人群等）和疾病（如呼吸道传染病、哮喘病、凝血病、严重心脏病等），若声称不用于儿童、老人等特殊人群亦需明确。</w:t>
      </w:r>
    </w:p>
    <w:p w:rsidR="005B570A" w:rsidRDefault="005B570A" w:rsidP="005B570A">
      <w:pPr>
        <w:spacing w:line="560" w:lineRule="exact"/>
        <w:ind w:firstLineChars="200" w:firstLine="640"/>
        <w:outlineLvl w:val="1"/>
        <w:rPr>
          <w:rFonts w:eastAsia="楷体"/>
          <w:szCs w:val="32"/>
        </w:rPr>
      </w:pPr>
      <w:r>
        <w:rPr>
          <w:rFonts w:eastAsia="楷体" w:hint="eastAsia"/>
          <w:szCs w:val="32"/>
        </w:rPr>
        <w:t>（二）联合使用</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明确</w:t>
      </w:r>
      <w:r>
        <w:rPr>
          <w:rFonts w:eastAsia="仿宋_GB2312"/>
          <w:bCs/>
          <w:szCs w:val="32"/>
        </w:rPr>
        <w:t>与产品联合使用的</w:t>
      </w:r>
      <w:r>
        <w:rPr>
          <w:rFonts w:eastAsia="仿宋_GB2312" w:hint="eastAsia"/>
          <w:bCs/>
          <w:szCs w:val="32"/>
        </w:rPr>
        <w:t>咽拭子、采样管、低温保存箱的要求及兼容性研究资料，并提供注册证信息。</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若适用，明确产品所在采样设施、采样车的相关要求。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（三）产品技术要求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根据《医疗器械产品技术要求编写指导原则》要求规范产品技术要求的内容和体例。</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基于产品特性和具体情况，明确采样、机械臂、光学成像、力学反馈、测距、咬口器、软件功能、网络安全、持续工作时间、断电保护、负压环境、</w:t>
      </w:r>
      <w:proofErr w:type="gramStart"/>
      <w:r>
        <w:rPr>
          <w:rFonts w:eastAsia="仿宋_GB2312" w:hint="eastAsia"/>
          <w:bCs/>
          <w:szCs w:val="32"/>
        </w:rPr>
        <w:t>内部消</w:t>
      </w:r>
      <w:proofErr w:type="gramEnd"/>
      <w:r>
        <w:rPr>
          <w:rFonts w:eastAsia="仿宋_GB2312" w:hint="eastAsia"/>
          <w:bCs/>
          <w:szCs w:val="32"/>
        </w:rPr>
        <w:t>杀、电气安全（含电磁兼容）、光学安全等性</w:t>
      </w:r>
      <w:proofErr w:type="gramStart"/>
      <w:r>
        <w:rPr>
          <w:rFonts w:eastAsia="仿宋_GB2312" w:hint="eastAsia"/>
          <w:bCs/>
          <w:szCs w:val="32"/>
        </w:rPr>
        <w:t>能指标</w:t>
      </w:r>
      <w:proofErr w:type="gramEnd"/>
      <w:r>
        <w:rPr>
          <w:rFonts w:eastAsia="仿宋_GB2312" w:hint="eastAsia"/>
          <w:bCs/>
          <w:szCs w:val="32"/>
        </w:rPr>
        <w:t>和检测方法。</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其中，采样应依据《新冠病毒标本采集和检测技术指南》明确采样要求，包括擦拭部位、擦拭次数、擦拭方式、持续时间等。</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机械</w:t>
      </w:r>
      <w:proofErr w:type="gramStart"/>
      <w:r>
        <w:rPr>
          <w:rFonts w:eastAsia="仿宋_GB2312" w:hint="eastAsia"/>
          <w:bCs/>
          <w:szCs w:val="32"/>
        </w:rPr>
        <w:t>臂明确</w:t>
      </w:r>
      <w:proofErr w:type="gramEnd"/>
      <w:r>
        <w:rPr>
          <w:rFonts w:eastAsia="仿宋_GB2312" w:hint="eastAsia"/>
          <w:bCs/>
          <w:szCs w:val="32"/>
        </w:rPr>
        <w:t>工作空间、负载、运动速度、定位精度、定位重复性、空间限位或隔离、急停、</w:t>
      </w:r>
      <w:r>
        <w:rPr>
          <w:rFonts w:eastAsia="仿宋" w:hint="eastAsia"/>
          <w:szCs w:val="32"/>
        </w:rPr>
        <w:t>双机械臂或多机械臂干涉控制措施、末端执行器</w:t>
      </w:r>
      <w:r>
        <w:rPr>
          <w:rFonts w:eastAsia="仿宋_GB2312" w:hint="eastAsia"/>
          <w:bCs/>
          <w:szCs w:val="32"/>
        </w:rPr>
        <w:t>等要求。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光学成像明确光照特性、图像分辨率、图像质量、实时性等要求。力学反馈明确采样力度限值范围及超限控制措施、持续时间、实时性等要求。测距明确测量方式、测量精度、实时性等要求。咬口器明确尺寸、刚度、连接、无菌等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软件功能至少</w:t>
      </w:r>
      <w:proofErr w:type="gramStart"/>
      <w:r>
        <w:rPr>
          <w:rFonts w:eastAsia="仿宋_GB2312" w:hint="eastAsia"/>
          <w:bCs/>
          <w:szCs w:val="32"/>
        </w:rPr>
        <w:t>需包括</w:t>
      </w:r>
      <w:proofErr w:type="gramEnd"/>
      <w:r>
        <w:rPr>
          <w:rFonts w:eastAsia="仿宋_GB2312" w:hint="eastAsia"/>
          <w:bCs/>
          <w:szCs w:val="32"/>
        </w:rPr>
        <w:t>受试者身份识别、采样管识别、采样部位识别、机械臂控制、使用提示、故障提示、开机自检、运行日志等功能。网络安全明确数据接口、用户访问控制等要求。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持续工作时间明确产品可持续工作的最长时间。断电保护明确不间断电源（</w:t>
      </w:r>
      <w:r>
        <w:rPr>
          <w:rFonts w:eastAsia="仿宋_GB2312" w:hint="eastAsia"/>
          <w:bCs/>
          <w:szCs w:val="32"/>
        </w:rPr>
        <w:t>UPS</w:t>
      </w:r>
      <w:r>
        <w:rPr>
          <w:rFonts w:eastAsia="仿宋_GB2312" w:hint="eastAsia"/>
          <w:bCs/>
          <w:szCs w:val="32"/>
        </w:rPr>
        <w:t>）等保护措施及其保护时长等要求。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负压环境明确气流模式、流入与下降气流流速、防泄漏、高效过滤器等要求。</w:t>
      </w:r>
      <w:proofErr w:type="gramStart"/>
      <w:r>
        <w:rPr>
          <w:rFonts w:eastAsia="仿宋_GB2312" w:hint="eastAsia"/>
          <w:bCs/>
          <w:szCs w:val="32"/>
        </w:rPr>
        <w:t>内部消杀明确消</w:t>
      </w:r>
      <w:proofErr w:type="gramEnd"/>
      <w:r>
        <w:rPr>
          <w:rFonts w:eastAsia="仿宋_GB2312" w:hint="eastAsia"/>
          <w:bCs/>
          <w:szCs w:val="32"/>
        </w:rPr>
        <w:t>杀方式、</w:t>
      </w:r>
      <w:r>
        <w:rPr>
          <w:rFonts w:eastAsia="仿宋" w:hint="eastAsia"/>
          <w:szCs w:val="32"/>
        </w:rPr>
        <w:t>作用参数、持续时间、间隔时间</w:t>
      </w:r>
      <w:r>
        <w:rPr>
          <w:rFonts w:eastAsia="仿宋_GB2312" w:hint="eastAsia"/>
          <w:bCs/>
          <w:szCs w:val="32"/>
        </w:rPr>
        <w:t>等要求。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电气安全（含电磁兼容）要求符合</w:t>
      </w:r>
      <w:r>
        <w:rPr>
          <w:rFonts w:eastAsia="仿宋_GB2312"/>
          <w:szCs w:val="32"/>
        </w:rPr>
        <w:t>GB 9706</w:t>
      </w:r>
      <w:r>
        <w:rPr>
          <w:rFonts w:eastAsia="仿宋_GB2312" w:hint="eastAsia"/>
          <w:szCs w:val="32"/>
        </w:rPr>
        <w:t>系列标准要求，详见下文</w:t>
      </w:r>
      <w:r>
        <w:rPr>
          <w:rFonts w:eastAsia="仿宋_GB2312" w:hint="eastAsia"/>
          <w:bCs/>
          <w:szCs w:val="32"/>
        </w:rPr>
        <w:t>。光学安全根据产品具体情况符合</w:t>
      </w:r>
      <w:r>
        <w:rPr>
          <w:rFonts w:eastAsia="仿宋_GB2312" w:hint="eastAsia"/>
          <w:bCs/>
          <w:szCs w:val="32"/>
        </w:rPr>
        <w:t>GB 7247.1</w:t>
      </w:r>
      <w:r>
        <w:rPr>
          <w:rFonts w:eastAsia="仿宋_GB2312" w:hint="eastAsia"/>
          <w:bCs/>
          <w:szCs w:val="32"/>
        </w:rPr>
        <w:t>、</w:t>
      </w:r>
      <w:r>
        <w:rPr>
          <w:rFonts w:eastAsia="仿宋_GB2312"/>
          <w:bCs/>
          <w:szCs w:val="32"/>
        </w:rPr>
        <w:t>YY</w:t>
      </w:r>
      <w:r>
        <w:rPr>
          <w:rFonts w:eastAsia="仿宋_GB2312" w:hint="eastAsia"/>
          <w:bCs/>
          <w:szCs w:val="32"/>
        </w:rPr>
        <w:t>/</w:t>
      </w:r>
      <w:r>
        <w:rPr>
          <w:rFonts w:eastAsia="仿宋_GB2312"/>
          <w:bCs/>
          <w:szCs w:val="32"/>
        </w:rPr>
        <w:t>T</w:t>
      </w:r>
      <w:r>
        <w:rPr>
          <w:rFonts w:eastAsia="仿宋_GB2312" w:hint="eastAsia"/>
          <w:bCs/>
          <w:szCs w:val="32"/>
        </w:rPr>
        <w:t xml:space="preserve"> </w:t>
      </w:r>
      <w:r>
        <w:rPr>
          <w:rFonts w:eastAsia="仿宋_GB2312"/>
          <w:bCs/>
          <w:szCs w:val="32"/>
        </w:rPr>
        <w:t>1534</w:t>
      </w:r>
      <w:r>
        <w:rPr>
          <w:rFonts w:eastAsia="仿宋_GB2312" w:hint="eastAsia"/>
          <w:bCs/>
          <w:szCs w:val="32"/>
        </w:rPr>
        <w:t>标准要求。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（四）性能研究</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提供产品技术要求性能指标的确定依据、输入来源以及临床意义，所采用的标准或方法、采用的原因及理论基础，以及验证资料。</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提供采样部位识别准确性、采样要求、机械臂定位精度与重复性、力学反馈、测距等性能研究资料，确保漏诊和误诊的风险均可接受。</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提供产品</w:t>
      </w:r>
      <w:proofErr w:type="gramStart"/>
      <w:r>
        <w:rPr>
          <w:rFonts w:eastAsia="仿宋_GB2312" w:hint="eastAsia"/>
          <w:bCs/>
          <w:szCs w:val="32"/>
        </w:rPr>
        <w:t>内部消</w:t>
      </w:r>
      <w:proofErr w:type="gramEnd"/>
      <w:r>
        <w:rPr>
          <w:rFonts w:eastAsia="仿宋_GB2312" w:hint="eastAsia"/>
          <w:bCs/>
          <w:szCs w:val="32"/>
        </w:rPr>
        <w:t>杀的要求及其确定依据、消杀效果验证资料、</w:t>
      </w:r>
      <w:proofErr w:type="gramStart"/>
      <w:r>
        <w:rPr>
          <w:rFonts w:eastAsia="仿宋_GB2312" w:hint="eastAsia"/>
          <w:bCs/>
          <w:szCs w:val="32"/>
        </w:rPr>
        <w:t>消杀对产品</w:t>
      </w:r>
      <w:proofErr w:type="gramEnd"/>
      <w:r>
        <w:rPr>
          <w:rFonts w:eastAsia="仿宋_GB2312" w:hint="eastAsia"/>
          <w:bCs/>
          <w:szCs w:val="32"/>
        </w:rPr>
        <w:t>影响的评估资料，以及内部擦拭清洁的要求及其确定依据、清洁效果验证资料，确保样品污染与交叉感染的风险均可接受。</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对于混采产品，还需提供</w:t>
      </w:r>
      <w:r>
        <w:rPr>
          <w:rFonts w:eastAsia="仿宋" w:hint="eastAsia"/>
          <w:szCs w:val="32"/>
        </w:rPr>
        <w:t>采样流程与质控、采样次数确认、采样管识别与操作、咽拭子操作、样本放置与保存、产品</w:t>
      </w:r>
      <w:proofErr w:type="gramStart"/>
      <w:r>
        <w:rPr>
          <w:rFonts w:eastAsia="仿宋" w:hint="eastAsia"/>
          <w:szCs w:val="32"/>
        </w:rPr>
        <w:t>内部消</w:t>
      </w:r>
      <w:proofErr w:type="gramEnd"/>
      <w:r>
        <w:rPr>
          <w:rFonts w:eastAsia="仿宋" w:hint="eastAsia"/>
          <w:szCs w:val="32"/>
        </w:rPr>
        <w:t>杀等方面验证资料，确保</w:t>
      </w:r>
      <w:r>
        <w:rPr>
          <w:rFonts w:eastAsia="仿宋_GB2312" w:hint="eastAsia"/>
          <w:bCs/>
          <w:szCs w:val="32"/>
        </w:rPr>
        <w:t>混采的</w:t>
      </w:r>
      <w:r>
        <w:rPr>
          <w:rFonts w:eastAsia="仿宋" w:hint="eastAsia"/>
          <w:szCs w:val="32"/>
        </w:rPr>
        <w:t>综合剩余风险均可接受。</w:t>
      </w:r>
    </w:p>
    <w:p w:rsidR="005B570A" w:rsidRDefault="005B570A" w:rsidP="005B570A">
      <w:pPr>
        <w:spacing w:line="560" w:lineRule="exact"/>
        <w:ind w:firstLineChars="200" w:firstLine="640"/>
        <w:outlineLvl w:val="1"/>
        <w:rPr>
          <w:rFonts w:eastAsia="楷体"/>
          <w:szCs w:val="32"/>
        </w:rPr>
      </w:pPr>
      <w:r>
        <w:rPr>
          <w:rFonts w:eastAsia="楷体" w:hint="eastAsia"/>
          <w:szCs w:val="32"/>
        </w:rPr>
        <w:t>（五）电气系统安全性研究</w:t>
      </w:r>
    </w:p>
    <w:p w:rsidR="005B570A" w:rsidRDefault="005B570A" w:rsidP="005B570A">
      <w:pPr>
        <w:spacing w:line="560" w:lineRule="exact"/>
        <w:ind w:firstLineChars="200" w:firstLine="640"/>
        <w:rPr>
          <w:rFonts w:eastAsia="仿宋_GB2312"/>
          <w:szCs w:val="32"/>
        </w:rPr>
      </w:pPr>
      <w:r>
        <w:rPr>
          <w:rFonts w:eastAsia="仿宋_GB2312"/>
          <w:szCs w:val="32"/>
        </w:rPr>
        <w:t>提供</w:t>
      </w:r>
      <w:r>
        <w:rPr>
          <w:rFonts w:eastAsia="仿宋_GB2312" w:hint="eastAsia"/>
          <w:szCs w:val="32"/>
        </w:rPr>
        <w:t>第二版</w:t>
      </w:r>
      <w:r>
        <w:rPr>
          <w:rFonts w:eastAsia="仿宋_GB2312"/>
          <w:szCs w:val="32"/>
        </w:rPr>
        <w:t>GB 9706.1</w:t>
      </w:r>
      <w:r>
        <w:rPr>
          <w:rFonts w:eastAsia="仿宋_GB2312" w:hint="eastAsia"/>
          <w:szCs w:val="32"/>
        </w:rPr>
        <w:t>、</w:t>
      </w:r>
      <w:r>
        <w:rPr>
          <w:rFonts w:eastAsia="仿宋_GB2312"/>
          <w:szCs w:val="32"/>
        </w:rPr>
        <w:t>GB</w:t>
      </w:r>
      <w:r>
        <w:rPr>
          <w:rFonts w:eastAsia="仿宋_GB2312" w:hint="eastAsia"/>
          <w:szCs w:val="32"/>
        </w:rPr>
        <w:t xml:space="preserve"> </w:t>
      </w:r>
      <w:r>
        <w:rPr>
          <w:rFonts w:eastAsia="仿宋_GB2312"/>
          <w:szCs w:val="32"/>
        </w:rPr>
        <w:t>9706.15</w:t>
      </w:r>
      <w:r>
        <w:rPr>
          <w:rFonts w:eastAsia="仿宋_GB2312" w:hint="eastAsia"/>
          <w:szCs w:val="32"/>
        </w:rPr>
        <w:t>（若适用）、</w:t>
      </w:r>
      <w:r>
        <w:rPr>
          <w:rFonts w:eastAsia="仿宋_GB2312"/>
          <w:szCs w:val="32"/>
        </w:rPr>
        <w:t>YY 0505</w:t>
      </w:r>
      <w:r>
        <w:rPr>
          <w:rFonts w:eastAsia="仿宋_GB2312" w:hint="eastAsia"/>
          <w:szCs w:val="32"/>
        </w:rPr>
        <w:t>检测报告。</w:t>
      </w:r>
    </w:p>
    <w:p w:rsidR="005B570A" w:rsidRDefault="005B570A" w:rsidP="005B570A">
      <w:pPr>
        <w:spacing w:line="560" w:lineRule="exact"/>
        <w:ind w:firstLineChars="200" w:firstLine="640"/>
        <w:rPr>
          <w:rFonts w:eastAsia="仿宋_GB2312"/>
          <w:szCs w:val="32"/>
        </w:rPr>
      </w:pPr>
      <w:r>
        <w:rPr>
          <w:rFonts w:eastAsia="仿宋_GB2312" w:hint="eastAsia"/>
          <w:szCs w:val="32"/>
        </w:rPr>
        <w:t>注意第三版</w:t>
      </w:r>
      <w:r>
        <w:rPr>
          <w:rFonts w:eastAsia="仿宋_GB2312"/>
          <w:szCs w:val="32"/>
        </w:rPr>
        <w:t>GB 9706</w:t>
      </w:r>
      <w:r>
        <w:rPr>
          <w:rFonts w:eastAsia="仿宋_GB2312" w:hint="eastAsia"/>
          <w:szCs w:val="32"/>
        </w:rPr>
        <w:t>系列标准（含</w:t>
      </w:r>
      <w:r>
        <w:rPr>
          <w:rFonts w:eastAsia="仿宋_GB2312" w:hint="eastAsia"/>
          <w:szCs w:val="32"/>
        </w:rPr>
        <w:t>YY 9706.241</w:t>
      </w:r>
      <w:r>
        <w:rPr>
          <w:rFonts w:eastAsia="仿宋_GB2312" w:hint="eastAsia"/>
          <w:szCs w:val="32"/>
        </w:rPr>
        <w:t>、</w:t>
      </w:r>
      <w:r>
        <w:rPr>
          <w:rFonts w:eastAsia="仿宋_GB2312" w:hint="eastAsia"/>
          <w:szCs w:val="32"/>
        </w:rPr>
        <w:t>YY 9706.277</w:t>
      </w:r>
      <w:r>
        <w:rPr>
          <w:rFonts w:eastAsia="仿宋_GB2312" w:hint="eastAsia"/>
          <w:szCs w:val="32"/>
        </w:rPr>
        <w:t>）将于</w:t>
      </w:r>
      <w:r>
        <w:rPr>
          <w:rFonts w:eastAsia="仿宋_GB2312" w:hint="eastAsia"/>
          <w:szCs w:val="32"/>
        </w:rPr>
        <w:t>2023</w:t>
      </w:r>
      <w:r>
        <w:rPr>
          <w:rFonts w:eastAsia="仿宋_GB2312" w:hint="eastAsia"/>
          <w:szCs w:val="32"/>
        </w:rPr>
        <w:t>年</w:t>
      </w:r>
      <w:r>
        <w:rPr>
          <w:rFonts w:eastAsia="仿宋_GB2312" w:hint="eastAsia"/>
          <w:szCs w:val="32"/>
        </w:rPr>
        <w:t>5</w:t>
      </w:r>
      <w:r>
        <w:rPr>
          <w:rFonts w:eastAsia="仿宋_GB2312" w:hint="eastAsia"/>
          <w:szCs w:val="32"/>
        </w:rPr>
        <w:t>月</w:t>
      </w:r>
      <w:r>
        <w:rPr>
          <w:rFonts w:eastAsia="仿宋_GB2312" w:hint="eastAsia"/>
          <w:szCs w:val="32"/>
        </w:rPr>
        <w:t>1</w:t>
      </w:r>
      <w:r>
        <w:rPr>
          <w:rFonts w:eastAsia="仿宋_GB2312" w:hint="eastAsia"/>
          <w:szCs w:val="32"/>
        </w:rPr>
        <w:t>日实施（具体以标准实施通知为准），在实施日期之后申报的产品应符合第三</w:t>
      </w:r>
      <w:proofErr w:type="gramStart"/>
      <w:r>
        <w:rPr>
          <w:rFonts w:eastAsia="仿宋_GB2312" w:hint="eastAsia"/>
          <w:szCs w:val="32"/>
        </w:rPr>
        <w:t>版标准</w:t>
      </w:r>
      <w:proofErr w:type="gramEnd"/>
      <w:r>
        <w:rPr>
          <w:rFonts w:eastAsia="仿宋_GB2312" w:hint="eastAsia"/>
          <w:szCs w:val="32"/>
        </w:rPr>
        <w:t>要求。</w:t>
      </w:r>
    </w:p>
    <w:p w:rsidR="005B570A" w:rsidRDefault="005B570A" w:rsidP="005B570A">
      <w:pPr>
        <w:spacing w:line="560" w:lineRule="exact"/>
        <w:ind w:firstLineChars="200" w:firstLine="640"/>
        <w:outlineLvl w:val="1"/>
        <w:rPr>
          <w:rFonts w:eastAsia="楷体"/>
          <w:szCs w:val="32"/>
        </w:rPr>
      </w:pPr>
      <w:r>
        <w:rPr>
          <w:rFonts w:eastAsia="楷体" w:hint="eastAsia"/>
          <w:szCs w:val="32"/>
        </w:rPr>
        <w:t>（六）辐射安全研究</w:t>
      </w:r>
    </w:p>
    <w:p w:rsidR="005B570A" w:rsidRDefault="005B570A" w:rsidP="005B570A">
      <w:pPr>
        <w:spacing w:line="560" w:lineRule="exact"/>
        <w:ind w:firstLineChars="200" w:firstLine="640"/>
        <w:rPr>
          <w:rFonts w:eastAsia="楷体"/>
          <w:szCs w:val="32"/>
        </w:rPr>
      </w:pPr>
      <w:r>
        <w:rPr>
          <w:rFonts w:eastAsia="仿宋" w:hint="eastAsia"/>
          <w:szCs w:val="32"/>
        </w:rPr>
        <w:t>若适用，提供紫外线、光辐射安全研究资料，包括</w:t>
      </w:r>
      <w:r>
        <w:rPr>
          <w:rFonts w:eastAsia="仿宋_GB2312" w:hint="eastAsia"/>
          <w:bCs/>
          <w:szCs w:val="32"/>
        </w:rPr>
        <w:t>GB 28235</w:t>
      </w:r>
      <w:r>
        <w:rPr>
          <w:rFonts w:eastAsia="仿宋" w:hint="eastAsia"/>
          <w:szCs w:val="32"/>
        </w:rPr>
        <w:t>、</w:t>
      </w:r>
      <w:r>
        <w:rPr>
          <w:rFonts w:eastAsia="仿宋_GB2312"/>
          <w:bCs/>
          <w:szCs w:val="32"/>
        </w:rPr>
        <w:t>GB/T 20145</w:t>
      </w:r>
      <w:r>
        <w:rPr>
          <w:rFonts w:eastAsia="仿宋" w:hint="eastAsia"/>
          <w:szCs w:val="32"/>
        </w:rPr>
        <w:t>标准符合性资料，辐射安全验证资料，辐射防护措施等。</w:t>
      </w:r>
    </w:p>
    <w:p w:rsidR="005B570A" w:rsidRDefault="005B570A" w:rsidP="005B570A">
      <w:pPr>
        <w:spacing w:line="560" w:lineRule="exact"/>
        <w:ind w:firstLineChars="200" w:firstLine="640"/>
        <w:outlineLvl w:val="1"/>
        <w:rPr>
          <w:rFonts w:eastAsia="楷体"/>
          <w:szCs w:val="32"/>
        </w:rPr>
      </w:pPr>
      <w:r>
        <w:rPr>
          <w:rFonts w:eastAsia="楷体" w:hint="eastAsia"/>
          <w:szCs w:val="32"/>
        </w:rPr>
        <w:t>（七）软件研究</w:t>
      </w:r>
    </w:p>
    <w:p w:rsidR="005B570A" w:rsidRDefault="005B570A" w:rsidP="005B570A">
      <w:pPr>
        <w:spacing w:line="560" w:lineRule="exact"/>
        <w:ind w:firstLineChars="200" w:firstLine="640"/>
        <w:rPr>
          <w:rFonts w:eastAsia="仿宋"/>
          <w:szCs w:val="32"/>
        </w:rPr>
      </w:pPr>
      <w:r>
        <w:rPr>
          <w:rFonts w:eastAsia="仿宋" w:hint="eastAsia"/>
          <w:szCs w:val="32"/>
        </w:rPr>
        <w:t>该类产品的软件安全性级别为严重级别，按照《医疗器械软件注册审查指导原则（</w:t>
      </w:r>
      <w:r>
        <w:rPr>
          <w:rFonts w:eastAsia="仿宋" w:hint="eastAsia"/>
          <w:szCs w:val="32"/>
        </w:rPr>
        <w:t>2022</w:t>
      </w:r>
      <w:r>
        <w:rPr>
          <w:rFonts w:eastAsia="仿宋" w:hint="eastAsia"/>
          <w:szCs w:val="32"/>
        </w:rPr>
        <w:t>年修订版）》要求，提交相应级别的软件（含现成软件）研究资料、互操作性研究资料以及</w:t>
      </w:r>
      <w:r>
        <w:rPr>
          <w:rFonts w:eastAsia="仿宋" w:hint="eastAsia"/>
          <w:szCs w:val="32"/>
        </w:rPr>
        <w:t>GB/T 25000.51</w:t>
      </w:r>
      <w:r>
        <w:rPr>
          <w:rFonts w:eastAsia="仿宋" w:hint="eastAsia"/>
          <w:szCs w:val="32"/>
        </w:rPr>
        <w:t>检测报告。其中，互操作性研究资料可单独提交，亦可与软件研究资料合并提交。</w:t>
      </w:r>
    </w:p>
    <w:p w:rsidR="005B570A" w:rsidRDefault="005B570A" w:rsidP="005B570A">
      <w:pPr>
        <w:spacing w:line="560" w:lineRule="exact"/>
        <w:ind w:firstLineChars="200" w:firstLine="640"/>
        <w:rPr>
          <w:rFonts w:eastAsia="仿宋"/>
          <w:szCs w:val="32"/>
        </w:rPr>
      </w:pPr>
      <w:r>
        <w:rPr>
          <w:rFonts w:eastAsia="仿宋" w:hint="eastAsia"/>
          <w:szCs w:val="32"/>
        </w:rPr>
        <w:t>按照《医疗器械网络安全注册审查指导原则（</w:t>
      </w:r>
      <w:r>
        <w:rPr>
          <w:rFonts w:eastAsia="仿宋" w:hint="eastAsia"/>
          <w:szCs w:val="32"/>
        </w:rPr>
        <w:t>2022</w:t>
      </w:r>
      <w:r>
        <w:rPr>
          <w:rFonts w:eastAsia="仿宋" w:hint="eastAsia"/>
          <w:szCs w:val="32"/>
        </w:rPr>
        <w:t>年修订版）》要求，提交相应级别的网络安全研究资料。</w:t>
      </w:r>
    </w:p>
    <w:p w:rsidR="005B570A" w:rsidRDefault="005B570A" w:rsidP="005B570A">
      <w:pPr>
        <w:spacing w:line="560" w:lineRule="exact"/>
        <w:ind w:firstLineChars="200" w:firstLine="640"/>
        <w:rPr>
          <w:rFonts w:eastAsia="仿宋"/>
          <w:szCs w:val="32"/>
        </w:rPr>
      </w:pPr>
      <w:r>
        <w:rPr>
          <w:rFonts w:eastAsia="仿宋" w:hint="eastAsia"/>
          <w:szCs w:val="32"/>
        </w:rPr>
        <w:t>按照《人工智能医疗器械注册指导原则》要求，提交算法研究资料。</w:t>
      </w:r>
    </w:p>
    <w:p w:rsidR="005B570A" w:rsidRDefault="005B570A" w:rsidP="005B570A">
      <w:pPr>
        <w:spacing w:line="560" w:lineRule="exact"/>
        <w:ind w:firstLineChars="200" w:firstLine="640"/>
        <w:outlineLvl w:val="1"/>
        <w:rPr>
          <w:rFonts w:eastAsia="楷体"/>
          <w:szCs w:val="32"/>
        </w:rPr>
      </w:pPr>
      <w:r>
        <w:rPr>
          <w:rFonts w:eastAsia="楷体" w:hint="eastAsia"/>
          <w:szCs w:val="32"/>
        </w:rPr>
        <w:t>（八）生物学特性研究</w:t>
      </w:r>
    </w:p>
    <w:p w:rsidR="005B570A" w:rsidRDefault="005B570A" w:rsidP="005B570A">
      <w:pPr>
        <w:spacing w:line="560" w:lineRule="exact"/>
        <w:ind w:firstLineChars="200" w:firstLine="640"/>
        <w:rPr>
          <w:rFonts w:eastAsia="仿宋"/>
          <w:szCs w:val="32"/>
        </w:rPr>
      </w:pPr>
      <w:r>
        <w:rPr>
          <w:rFonts w:eastAsia="仿宋" w:hint="eastAsia"/>
          <w:szCs w:val="32"/>
        </w:rPr>
        <w:t>与受试者直接或间接接触的部件、咬口器，需按照</w:t>
      </w:r>
      <w:r>
        <w:rPr>
          <w:rFonts w:eastAsia="仿宋" w:hint="eastAsia"/>
          <w:szCs w:val="32"/>
        </w:rPr>
        <w:t>GB/T 16886</w:t>
      </w:r>
      <w:r>
        <w:rPr>
          <w:rFonts w:eastAsia="仿宋" w:hint="eastAsia"/>
          <w:szCs w:val="32"/>
        </w:rPr>
        <w:t>系列标准开展生物相容性评价，并提供相应研究资料。</w:t>
      </w:r>
    </w:p>
    <w:p w:rsidR="005B570A" w:rsidRDefault="005B570A" w:rsidP="005B570A">
      <w:pPr>
        <w:spacing w:line="560" w:lineRule="exact"/>
        <w:ind w:firstLineChars="200" w:firstLine="640"/>
        <w:outlineLvl w:val="1"/>
        <w:rPr>
          <w:rFonts w:eastAsia="楷体"/>
          <w:szCs w:val="32"/>
        </w:rPr>
      </w:pPr>
      <w:r>
        <w:rPr>
          <w:rFonts w:eastAsia="楷体" w:hint="eastAsia"/>
          <w:szCs w:val="32"/>
        </w:rPr>
        <w:t>（九）清洁、消毒、灭菌研究</w:t>
      </w:r>
    </w:p>
    <w:p w:rsidR="005B570A" w:rsidRDefault="005B570A" w:rsidP="005B570A">
      <w:pPr>
        <w:spacing w:line="560" w:lineRule="exact"/>
        <w:ind w:firstLineChars="200" w:firstLine="640"/>
        <w:rPr>
          <w:rFonts w:eastAsia="仿宋_GB2312"/>
          <w:bCs/>
          <w:szCs w:val="32"/>
        </w:rPr>
      </w:pPr>
      <w:r>
        <w:rPr>
          <w:rFonts w:eastAsia="仿宋_GB2312"/>
          <w:bCs/>
          <w:szCs w:val="32"/>
        </w:rPr>
        <w:t>明确</w:t>
      </w:r>
      <w:r>
        <w:rPr>
          <w:rFonts w:eastAsia="仿宋_GB2312" w:hint="eastAsia"/>
          <w:bCs/>
          <w:szCs w:val="32"/>
        </w:rPr>
        <w:t>产品</w:t>
      </w:r>
      <w:r>
        <w:rPr>
          <w:rFonts w:eastAsia="仿宋_GB2312"/>
          <w:bCs/>
          <w:szCs w:val="32"/>
        </w:rPr>
        <w:t>清洗和消毒工艺（方法和参数）、工艺确定依据及验证</w:t>
      </w:r>
      <w:r>
        <w:rPr>
          <w:rFonts w:eastAsia="仿宋_GB2312" w:hint="eastAsia"/>
          <w:bCs/>
          <w:szCs w:val="32"/>
        </w:rPr>
        <w:t>、清洗和消毒效果</w:t>
      </w:r>
      <w:r>
        <w:rPr>
          <w:rFonts w:eastAsia="仿宋_GB2312"/>
          <w:bCs/>
          <w:szCs w:val="32"/>
        </w:rPr>
        <w:t>的研究资料</w:t>
      </w:r>
      <w:r>
        <w:rPr>
          <w:rFonts w:eastAsia="仿宋_GB2312" w:hint="eastAsia"/>
          <w:bCs/>
          <w:szCs w:val="32"/>
        </w:rPr>
        <w:t>。</w:t>
      </w:r>
    </w:p>
    <w:p w:rsidR="005B570A" w:rsidRDefault="005B570A" w:rsidP="005B570A">
      <w:pPr>
        <w:spacing w:line="560" w:lineRule="exact"/>
        <w:ind w:firstLineChars="200" w:firstLine="640"/>
        <w:rPr>
          <w:rFonts w:eastAsia="仿宋_GB2312"/>
          <w:bCs/>
          <w:szCs w:val="32"/>
        </w:rPr>
      </w:pPr>
      <w:r>
        <w:rPr>
          <w:rFonts w:eastAsia="仿宋" w:hint="eastAsia"/>
          <w:szCs w:val="32"/>
        </w:rPr>
        <w:t>咬口器等无菌部件需明确</w:t>
      </w:r>
      <w:r>
        <w:rPr>
          <w:rFonts w:eastAsia="仿宋_GB2312"/>
          <w:bCs/>
          <w:szCs w:val="32"/>
        </w:rPr>
        <w:t>灭菌工艺（方法和参数）和无菌保证水平（</w:t>
      </w:r>
      <w:r>
        <w:rPr>
          <w:rFonts w:eastAsia="仿宋_GB2312"/>
          <w:bCs/>
          <w:szCs w:val="32"/>
        </w:rPr>
        <w:t>SAL</w:t>
      </w:r>
      <w:r>
        <w:rPr>
          <w:rFonts w:eastAsia="仿宋_GB2312"/>
          <w:bCs/>
          <w:szCs w:val="32"/>
        </w:rPr>
        <w:t>），</w:t>
      </w:r>
      <w:r>
        <w:rPr>
          <w:rFonts w:eastAsia="仿宋_GB2312" w:hint="eastAsia"/>
          <w:bCs/>
          <w:szCs w:val="32"/>
        </w:rPr>
        <w:t>并</w:t>
      </w:r>
      <w:r>
        <w:rPr>
          <w:rFonts w:eastAsia="仿宋_GB2312"/>
          <w:bCs/>
          <w:szCs w:val="32"/>
        </w:rPr>
        <w:t>提供灭菌验证及确认研究资料。</w:t>
      </w:r>
    </w:p>
    <w:p w:rsidR="005B570A" w:rsidRDefault="005B570A" w:rsidP="005B570A">
      <w:pPr>
        <w:pStyle w:val="a9"/>
        <w:spacing w:line="560" w:lineRule="exact"/>
        <w:ind w:firstLine="640"/>
        <w:rPr>
          <w:rFonts w:eastAsia="仿宋_GB2312"/>
          <w:bCs/>
          <w:szCs w:val="32"/>
        </w:rPr>
      </w:pPr>
      <w:r>
        <w:rPr>
          <w:rFonts w:eastAsia="仿宋_GB2312"/>
          <w:bCs/>
          <w:szCs w:val="32"/>
        </w:rPr>
        <w:t>若灭菌或消毒可能产生残留物质</w:t>
      </w:r>
      <w:r>
        <w:rPr>
          <w:rFonts w:eastAsia="仿宋_GB2312" w:hint="eastAsia"/>
          <w:bCs/>
          <w:szCs w:val="32"/>
        </w:rPr>
        <w:t>，需</w:t>
      </w:r>
      <w:r>
        <w:rPr>
          <w:rFonts w:eastAsia="仿宋_GB2312"/>
          <w:bCs/>
          <w:szCs w:val="32"/>
        </w:rPr>
        <w:t>对灭菌或消毒后的产品进行残留毒性研究，明确残留物信息及采取的处理方法，并提供相关研究资料。</w:t>
      </w:r>
    </w:p>
    <w:p w:rsidR="005B570A" w:rsidRDefault="005B570A" w:rsidP="005B570A">
      <w:pPr>
        <w:spacing w:line="560" w:lineRule="exact"/>
        <w:ind w:firstLineChars="200" w:firstLine="640"/>
        <w:outlineLvl w:val="1"/>
        <w:rPr>
          <w:rFonts w:eastAsia="楷体"/>
          <w:szCs w:val="32"/>
        </w:rPr>
      </w:pPr>
      <w:r>
        <w:rPr>
          <w:rFonts w:eastAsia="楷体" w:hint="eastAsia"/>
          <w:szCs w:val="32"/>
        </w:rPr>
        <w:t>（十）稳定性研究</w:t>
      </w:r>
    </w:p>
    <w:p w:rsidR="005B570A" w:rsidRDefault="005B570A" w:rsidP="005B570A">
      <w:pPr>
        <w:spacing w:line="560" w:lineRule="exact"/>
        <w:ind w:firstLineChars="200" w:firstLine="640"/>
        <w:rPr>
          <w:rFonts w:eastAsia="仿宋_GB2312"/>
          <w:szCs w:val="32"/>
        </w:rPr>
      </w:pPr>
      <w:r>
        <w:rPr>
          <w:rFonts w:eastAsia="仿宋_GB2312" w:hint="eastAsia"/>
          <w:szCs w:val="32"/>
        </w:rPr>
        <w:t>1.</w:t>
      </w:r>
      <w:r>
        <w:rPr>
          <w:rFonts w:eastAsia="仿宋_GB2312" w:hint="eastAsia"/>
          <w:szCs w:val="32"/>
        </w:rPr>
        <w:t>货架有效期</w:t>
      </w:r>
    </w:p>
    <w:p w:rsidR="005B570A" w:rsidRDefault="005B570A" w:rsidP="005B570A">
      <w:pPr>
        <w:pStyle w:val="a9"/>
        <w:spacing w:line="560" w:lineRule="exact"/>
        <w:ind w:firstLine="640"/>
        <w:rPr>
          <w:rFonts w:eastAsia="仿宋_GB2312"/>
          <w:bCs/>
          <w:szCs w:val="32"/>
        </w:rPr>
      </w:pPr>
      <w:r>
        <w:rPr>
          <w:rFonts w:eastAsia="仿宋_GB2312"/>
          <w:bCs/>
          <w:szCs w:val="32"/>
        </w:rPr>
        <w:t>提供</w:t>
      </w:r>
      <w:r>
        <w:rPr>
          <w:rFonts w:eastAsia="仿宋" w:hint="eastAsia"/>
          <w:szCs w:val="32"/>
        </w:rPr>
        <w:t>咬口器等部件的</w:t>
      </w:r>
      <w:r>
        <w:rPr>
          <w:rFonts w:eastAsia="仿宋_GB2312"/>
          <w:bCs/>
          <w:szCs w:val="32"/>
        </w:rPr>
        <w:t>货架有效期和包装研究资料，证明在货架有效期内，在规定的运输贮存条件下，可保持性能功能满足使用要求</w:t>
      </w:r>
      <w:r>
        <w:rPr>
          <w:rFonts w:eastAsia="仿宋_GB2312" w:hint="eastAsia"/>
          <w:bCs/>
          <w:szCs w:val="32"/>
        </w:rPr>
        <w:t>，并</w:t>
      </w:r>
      <w:r>
        <w:rPr>
          <w:rFonts w:eastAsia="仿宋_GB2312"/>
          <w:bCs/>
          <w:szCs w:val="32"/>
        </w:rPr>
        <w:t>保持无菌状态。</w:t>
      </w:r>
    </w:p>
    <w:p w:rsidR="005B570A" w:rsidRDefault="005B570A" w:rsidP="005B570A">
      <w:pPr>
        <w:spacing w:line="560" w:lineRule="exact"/>
        <w:ind w:firstLineChars="200" w:firstLine="640"/>
        <w:rPr>
          <w:rFonts w:eastAsia="仿宋_GB2312"/>
          <w:szCs w:val="32"/>
        </w:rPr>
      </w:pPr>
      <w:r>
        <w:rPr>
          <w:rFonts w:eastAsia="仿宋_GB2312" w:hint="eastAsia"/>
          <w:szCs w:val="32"/>
        </w:rPr>
        <w:t>2.</w:t>
      </w:r>
      <w:r>
        <w:rPr>
          <w:rFonts w:eastAsia="仿宋_GB2312"/>
          <w:szCs w:val="32"/>
        </w:rPr>
        <w:t>使用稳定性</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按照</w:t>
      </w:r>
      <w:r>
        <w:rPr>
          <w:rFonts w:eastAsia="仿宋_GB2312"/>
          <w:bCs/>
          <w:szCs w:val="32"/>
        </w:rPr>
        <w:t>《</w:t>
      </w:r>
      <w:r>
        <w:rPr>
          <w:rFonts w:eastAsia="仿宋_GB2312" w:hint="eastAsia"/>
          <w:bCs/>
          <w:szCs w:val="32"/>
        </w:rPr>
        <w:t>有源医疗器械使用期限注册技术审查指导原则</w:t>
      </w:r>
      <w:r>
        <w:rPr>
          <w:rFonts w:eastAsia="仿宋_GB2312"/>
          <w:bCs/>
          <w:szCs w:val="32"/>
        </w:rPr>
        <w:t>》要求</w:t>
      </w:r>
      <w:r>
        <w:rPr>
          <w:rFonts w:eastAsia="仿宋_GB2312" w:hint="eastAsia"/>
          <w:bCs/>
          <w:szCs w:val="32"/>
        </w:rPr>
        <w:t>，</w:t>
      </w:r>
      <w:r>
        <w:rPr>
          <w:rFonts w:eastAsia="仿宋_GB2312"/>
          <w:bCs/>
          <w:szCs w:val="32"/>
        </w:rPr>
        <w:t>提供</w:t>
      </w:r>
      <w:r>
        <w:rPr>
          <w:rFonts w:eastAsia="仿宋_GB2312" w:hint="eastAsia"/>
          <w:bCs/>
          <w:szCs w:val="32"/>
        </w:rPr>
        <w:t>产品</w:t>
      </w:r>
      <w:r>
        <w:rPr>
          <w:rFonts w:eastAsia="仿宋_GB2312"/>
          <w:bCs/>
          <w:szCs w:val="32"/>
        </w:rPr>
        <w:t>使用</w:t>
      </w:r>
      <w:r>
        <w:rPr>
          <w:rFonts w:eastAsia="仿宋" w:hint="eastAsia"/>
          <w:szCs w:val="32"/>
        </w:rPr>
        <w:t>耐久性</w:t>
      </w:r>
      <w:r>
        <w:rPr>
          <w:rFonts w:eastAsia="仿宋_GB2312"/>
          <w:bCs/>
          <w:szCs w:val="32"/>
        </w:rPr>
        <w:t>/</w:t>
      </w:r>
      <w:r>
        <w:rPr>
          <w:rFonts w:eastAsia="仿宋_GB2312"/>
          <w:bCs/>
          <w:szCs w:val="32"/>
        </w:rPr>
        <w:t>可靠性研究资料</w:t>
      </w:r>
      <w:r>
        <w:rPr>
          <w:rFonts w:eastAsia="仿宋_GB2312" w:hint="eastAsia"/>
          <w:bCs/>
          <w:szCs w:val="32"/>
        </w:rPr>
        <w:t>，</w:t>
      </w:r>
      <w:r>
        <w:rPr>
          <w:rFonts w:eastAsia="仿宋_GB2312"/>
          <w:bCs/>
          <w:szCs w:val="32"/>
        </w:rPr>
        <w:t>证明在规定的使用期限</w:t>
      </w:r>
      <w:r>
        <w:rPr>
          <w:rFonts w:eastAsia="仿宋_GB2312"/>
          <w:bCs/>
          <w:szCs w:val="32"/>
        </w:rPr>
        <w:t>/</w:t>
      </w:r>
      <w:r>
        <w:rPr>
          <w:rFonts w:eastAsia="仿宋_GB2312"/>
          <w:bCs/>
          <w:szCs w:val="32"/>
        </w:rPr>
        <w:t>使用次数内，在正常使用、维护和校准情况下，产品的性能功能满足使用要求</w:t>
      </w:r>
      <w:r>
        <w:rPr>
          <w:rFonts w:eastAsia="仿宋_GB2312" w:hint="eastAsia"/>
          <w:bCs/>
          <w:szCs w:val="32"/>
        </w:rPr>
        <w:t>。</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3.</w:t>
      </w:r>
      <w:r>
        <w:rPr>
          <w:rFonts w:eastAsia="仿宋_GB2312"/>
          <w:bCs/>
          <w:szCs w:val="32"/>
        </w:rPr>
        <w:t>运输稳定性</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提供产品运输稳定性和包装研究资料，包括</w:t>
      </w:r>
      <w:r>
        <w:rPr>
          <w:rFonts w:eastAsia="仿宋_GB2312" w:hint="eastAsia"/>
          <w:bCs/>
          <w:szCs w:val="32"/>
        </w:rPr>
        <w:t>GB/T 14710</w:t>
      </w:r>
      <w:r>
        <w:rPr>
          <w:rFonts w:eastAsia="仿宋_GB2312" w:hint="eastAsia"/>
          <w:bCs/>
          <w:szCs w:val="32"/>
        </w:rPr>
        <w:t>检测报告，证明在规定的运输条件下，运输过程中的环境条件不会对医疗器械的特性和性能造成不利影响，包括完整性和清洁度。</w:t>
      </w:r>
    </w:p>
    <w:p w:rsidR="005B570A" w:rsidRDefault="005B570A" w:rsidP="005B570A">
      <w:pPr>
        <w:spacing w:line="560" w:lineRule="exact"/>
        <w:ind w:firstLineChars="200" w:firstLine="640"/>
        <w:outlineLvl w:val="1"/>
        <w:rPr>
          <w:rFonts w:eastAsia="楷体"/>
          <w:szCs w:val="32"/>
        </w:rPr>
      </w:pPr>
      <w:r>
        <w:rPr>
          <w:rFonts w:eastAsia="楷体" w:hint="eastAsia"/>
          <w:szCs w:val="32"/>
        </w:rPr>
        <w:t>（十一）临床评价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为满足新型冠状病毒核酸采样质量管理的要求，该类产品的临床评价需采用科学合理的方法，对临床试验生成的数据进行分析、评价，以确认该类产品用于新型冠状病毒核酸采样时的采样效果与现有采样方式具有一致性。根据《新冠病毒标本采集和检测技术指南》，现有采样方式为经培训并考核合格的采样人员进行采样（以下简称“人工采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注册申请人需首先综合分析申报产品的适用范围、临床使用场景、技术特征等因素，开展科学、严谨、充分、规范的非临床研究，全面确认产品的各项性能，充分降低并合理控制产品的临床使用风险。在此基础上，注册申请人方可对产品采样和人工采样效果的一致性开展临床试验获取临床数据，以支持产品的临床评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1.</w:t>
      </w:r>
      <w:r>
        <w:rPr>
          <w:rFonts w:eastAsia="仿宋_GB2312" w:hint="eastAsia"/>
          <w:bCs/>
          <w:szCs w:val="32"/>
        </w:rPr>
        <w:t>临床试验机构的选择</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临床试验需按照《医疗器械临床试验质量管理规范》的要求，在具备相应条件并且按照规定备案的医疗器械临床试验机构实施。</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2.</w:t>
      </w:r>
      <w:r>
        <w:rPr>
          <w:rFonts w:eastAsia="仿宋_GB2312" w:hint="eastAsia"/>
          <w:bCs/>
          <w:szCs w:val="32"/>
        </w:rPr>
        <w:t>临床试验设计</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注册申请人需对产品采样与人工采样进行比较研究，对于同一个受试者，产品采样和人工采样同期进行，二者的先后顺序随机确定。</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为评价产品采样与人工采样效果的一致性，需对二者采集的样本</w:t>
      </w:r>
      <w:proofErr w:type="gramStart"/>
      <w:r>
        <w:rPr>
          <w:rFonts w:eastAsia="仿宋_GB2312" w:hint="eastAsia"/>
          <w:bCs/>
          <w:szCs w:val="32"/>
        </w:rPr>
        <w:t>编盲进行</w:t>
      </w:r>
      <w:proofErr w:type="gramEnd"/>
      <w:r>
        <w:rPr>
          <w:rFonts w:eastAsia="仿宋_GB2312" w:hint="eastAsia"/>
          <w:bCs/>
          <w:szCs w:val="32"/>
        </w:rPr>
        <w:t>新型冠状病毒核酸检测。产品采样与人工采样需采用相同的、已经批准的新型冠状病毒核酸检测试剂和仪器，样本处理、样本稳定性、核酸提取纯化及结果判读等应满足新型冠状病毒核酸检测试剂产品说明书的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3.</w:t>
      </w:r>
      <w:r>
        <w:rPr>
          <w:rFonts w:eastAsia="仿宋_GB2312" w:hint="eastAsia"/>
          <w:bCs/>
          <w:szCs w:val="32"/>
        </w:rPr>
        <w:t>评价指标</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临床试验评价指标主要为产品采样和人工采样下新型冠状病毒核酸检测的阳性检出率，以及两种采样方式的阳性符合率等。此外，可同时观察受试者的主观舒适度、不良事件（如呕吐、采样部位损伤等）、设备持续运行时间、人均采样时间、发生的故障及故障率、对发生故障的处理措施及处理结果等。</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4.</w:t>
      </w:r>
      <w:r>
        <w:rPr>
          <w:rFonts w:eastAsia="仿宋_GB2312" w:hint="eastAsia"/>
          <w:bCs/>
          <w:szCs w:val="32"/>
        </w:rPr>
        <w:t>受试者选择和样本量</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临床试验的受试者需为新冠肺炎确诊病例（采样前新型冠状病毒核酸检测阳性），建议纳入</w:t>
      </w:r>
      <w:r>
        <w:rPr>
          <w:rFonts w:eastAsia="仿宋_GB2312" w:hint="eastAsia"/>
          <w:bCs/>
          <w:szCs w:val="32"/>
        </w:rPr>
        <w:t>500</w:t>
      </w:r>
      <w:r>
        <w:rPr>
          <w:rFonts w:eastAsia="仿宋_GB2312" w:hint="eastAsia"/>
          <w:bCs/>
          <w:szCs w:val="32"/>
        </w:rPr>
        <w:t>例受试者。可考虑排除的因素包括但不限于具有不适合该临床试验的生理或病理特征的人群。</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5.</w:t>
      </w:r>
      <w:r>
        <w:rPr>
          <w:rFonts w:eastAsia="仿宋_GB2312" w:hint="eastAsia"/>
          <w:bCs/>
          <w:szCs w:val="32"/>
        </w:rPr>
        <w:t>数据分析和结果评价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注册申请人需对临床试验结果进行分析和评价，具体要求如下：</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1</w:t>
      </w:r>
      <w:r>
        <w:rPr>
          <w:rFonts w:eastAsia="仿宋_GB2312" w:hint="eastAsia"/>
          <w:bCs/>
          <w:szCs w:val="32"/>
        </w:rPr>
        <w:t>）如果产品采样新型冠状病毒核酸检测的阳性检出率高于或等于人工采样，注册申请人首先需论证人工采样和产品采样阳性检出率的可接受性，例如，是否由于临床试验质量控制等问题，导致人工采样质量未能符合相应规定要求并达到可接受标准。第二，注册申请人需计算产品采样与人工采样时阳性检出率差值的</w:t>
      </w:r>
      <w:r>
        <w:rPr>
          <w:rFonts w:eastAsia="仿宋_GB2312" w:hint="eastAsia"/>
          <w:bCs/>
          <w:szCs w:val="32"/>
        </w:rPr>
        <w:t>95%</w:t>
      </w:r>
      <w:r>
        <w:rPr>
          <w:rFonts w:eastAsia="仿宋_GB2312" w:hint="eastAsia"/>
          <w:bCs/>
          <w:szCs w:val="32"/>
        </w:rPr>
        <w:t>置信区间，并论述置信区间下限的可接受性，例如，是否能满足新冠肺炎诊疗和防控的要求。第三，注册申请人需计算两种采样方式的阳性一致率并计算</w:t>
      </w:r>
      <w:r>
        <w:rPr>
          <w:rFonts w:eastAsia="仿宋_GB2312" w:hint="eastAsia"/>
          <w:bCs/>
          <w:szCs w:val="32"/>
        </w:rPr>
        <w:t>95%</w:t>
      </w:r>
      <w:r>
        <w:rPr>
          <w:rFonts w:eastAsia="仿宋_GB2312" w:hint="eastAsia"/>
          <w:bCs/>
          <w:szCs w:val="32"/>
        </w:rPr>
        <w:t>置信区间，论述其可接受性，同时，对产品采样和人工采样阴阳性不一致的各受试者进行逐一分析，结合受试者临床诊断背景信息和临床核酸检测结果等，对各受试者在两种采样方式下的漏检情况和原因进行论证。</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此外，注册申请人还需对受试者的人口学数据（如年龄、性别、病史等）、临床诊断背景信息、主观舒适度、不良事件（如呕吐、取样部位损伤等）、设备持续运行时间、人均采样时间、发生的故障及故障率、对发生故障的处理措施及处理结果等进行统计分析，并进行组间比较，以支持产品风险分析。</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2</w:t>
      </w:r>
      <w:r>
        <w:rPr>
          <w:rFonts w:eastAsia="仿宋_GB2312" w:hint="eastAsia"/>
          <w:bCs/>
          <w:szCs w:val="32"/>
        </w:rPr>
        <w:t>）如果产品采样核酸检测的阳性检出率低于人工采样，则认为临床数据显示，产品采样与人工采样的效果不具有一致性，产品采样劣于人工采样。</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 xml:space="preserve"> 6.</w:t>
      </w:r>
      <w:r>
        <w:rPr>
          <w:rFonts w:eastAsia="仿宋_GB2312" w:hint="eastAsia"/>
          <w:bCs/>
          <w:szCs w:val="32"/>
        </w:rPr>
        <w:t>其他需注意的事项</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1</w:t>
      </w:r>
      <w:r>
        <w:rPr>
          <w:rFonts w:eastAsia="仿宋_GB2312" w:hint="eastAsia"/>
          <w:bCs/>
          <w:szCs w:val="32"/>
        </w:rPr>
        <w:t>）产品采样和人工采样全过程需遵循《关于印发新型冠状病毒肺炎防控方案（第九版）通知》中《新冠病毒标本采集和检测技术指南》的相关要求。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2</w:t>
      </w:r>
      <w:r>
        <w:rPr>
          <w:rFonts w:eastAsia="仿宋_GB2312" w:hint="eastAsia"/>
          <w:bCs/>
          <w:szCs w:val="32"/>
        </w:rPr>
        <w:t>）临床试验需完整模拟临床使用场景及流程等，且符合国务院应对新型冠状病毒肺炎疫情联防联控机制综合组和国家卫生健康委等相关部门的相关规定。</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3</w:t>
      </w:r>
      <w:r>
        <w:rPr>
          <w:rFonts w:eastAsia="仿宋_GB2312" w:hint="eastAsia"/>
          <w:bCs/>
          <w:szCs w:val="32"/>
        </w:rPr>
        <w:t>）需在临床试验方案中明确可能发生的设备故障、处理措施并制定应急预案。</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4</w:t>
      </w:r>
      <w:r>
        <w:rPr>
          <w:rFonts w:eastAsia="仿宋_GB2312" w:hint="eastAsia"/>
          <w:bCs/>
          <w:szCs w:val="32"/>
        </w:rPr>
        <w:t>）适用时，临床试验其他设计要素可参考《医疗器械临床试验设计技术指导原则》相关要求。</w:t>
      </w:r>
    </w:p>
    <w:p w:rsidR="005B570A" w:rsidRDefault="005B570A" w:rsidP="005B570A">
      <w:pPr>
        <w:spacing w:line="560" w:lineRule="exact"/>
        <w:ind w:firstLineChars="200" w:firstLine="640"/>
        <w:rPr>
          <w:rFonts w:eastAsia="仿宋_GB2312"/>
          <w:bCs/>
          <w:szCs w:val="32"/>
        </w:rPr>
      </w:pPr>
      <w:r>
        <w:rPr>
          <w:rFonts w:eastAsia="仿宋_GB2312" w:hint="eastAsia"/>
          <w:bCs/>
          <w:szCs w:val="32"/>
        </w:rPr>
        <w:t>（</w:t>
      </w:r>
      <w:r>
        <w:rPr>
          <w:rFonts w:eastAsia="仿宋_GB2312" w:hint="eastAsia"/>
          <w:bCs/>
          <w:szCs w:val="32"/>
        </w:rPr>
        <w:t>5</w:t>
      </w:r>
      <w:r>
        <w:rPr>
          <w:rFonts w:eastAsia="仿宋_GB2312" w:hint="eastAsia"/>
          <w:bCs/>
          <w:szCs w:val="32"/>
        </w:rPr>
        <w:t>）注册申请人需结合非临床研究情况、临床试验结果等资料，综合论证申报产品的临床受益大于风险，且临床风险可以接受。</w:t>
      </w:r>
    </w:p>
    <w:p w:rsidR="005B570A" w:rsidRDefault="005B570A" w:rsidP="005B570A">
      <w:pPr>
        <w:spacing w:line="560" w:lineRule="exact"/>
        <w:ind w:firstLineChars="200" w:firstLine="640"/>
        <w:outlineLvl w:val="1"/>
        <w:rPr>
          <w:rFonts w:eastAsia="楷体"/>
          <w:szCs w:val="32"/>
        </w:rPr>
      </w:pPr>
      <w:r>
        <w:rPr>
          <w:rFonts w:eastAsia="楷体" w:hint="eastAsia"/>
          <w:szCs w:val="32"/>
        </w:rPr>
        <w:t>（十二）说明书与标签</w:t>
      </w:r>
    </w:p>
    <w:p w:rsidR="005B570A" w:rsidRDefault="005B570A" w:rsidP="005B570A">
      <w:pPr>
        <w:spacing w:line="560" w:lineRule="exact"/>
        <w:ind w:firstLineChars="200" w:firstLine="640"/>
        <w:rPr>
          <w:rFonts w:eastAsia="仿宋_GB2312"/>
          <w:szCs w:val="32"/>
        </w:rPr>
      </w:pPr>
      <w:r>
        <w:rPr>
          <w:rFonts w:eastAsia="仿宋_GB2312" w:hint="eastAsia"/>
          <w:szCs w:val="32"/>
        </w:rPr>
        <w:t>说明书与标签应符合</w:t>
      </w:r>
      <w:r>
        <w:rPr>
          <w:rFonts w:eastAsia="仿宋_GB2312"/>
          <w:szCs w:val="32"/>
        </w:rPr>
        <w:t>《医疗器械说明书和标签管理规定》和相关法规、规章、规范性文件、强制性标准的要求。</w:t>
      </w:r>
    </w:p>
    <w:p w:rsidR="005B570A" w:rsidRDefault="005B570A" w:rsidP="005B570A">
      <w:pPr>
        <w:spacing w:line="560" w:lineRule="exact"/>
        <w:ind w:firstLineChars="200" w:firstLine="640"/>
        <w:rPr>
          <w:rFonts w:eastAsia="仿宋"/>
          <w:szCs w:val="32"/>
        </w:rPr>
      </w:pPr>
      <w:r>
        <w:rPr>
          <w:rFonts w:eastAsia="仿宋_GB2312" w:hint="eastAsia"/>
          <w:bCs/>
          <w:szCs w:val="32"/>
        </w:rPr>
        <w:t>说明书需明确产品正常使用的环境条件、场地与设施、联合使用产品兼容性等方面要求和保证措施，以及产品</w:t>
      </w:r>
      <w:proofErr w:type="gramStart"/>
      <w:r>
        <w:rPr>
          <w:rFonts w:eastAsia="仿宋" w:hint="eastAsia"/>
          <w:szCs w:val="32"/>
        </w:rPr>
        <w:t>内部消</w:t>
      </w:r>
      <w:proofErr w:type="gramEnd"/>
      <w:r>
        <w:rPr>
          <w:rFonts w:eastAsia="仿宋" w:hint="eastAsia"/>
          <w:szCs w:val="32"/>
        </w:rPr>
        <w:t>杀与擦拭清洁、样本保存与转运、废弃物（如咬口器、咽拭子）处理、日常维护等方面的流程和要求。从值守人员、受试者角度，分别描述产品正常使用的流程和要求、产品故障和突发情况的处理流程和应对措施，如断电、急停、受试者运动等。</w:t>
      </w:r>
    </w:p>
    <w:p w:rsidR="005B570A" w:rsidRDefault="005B570A" w:rsidP="005B570A">
      <w:pPr>
        <w:spacing w:line="560" w:lineRule="exact"/>
        <w:ind w:firstLineChars="200" w:firstLine="640"/>
        <w:rPr>
          <w:rFonts w:eastAsia="仿宋"/>
          <w:szCs w:val="32"/>
        </w:rPr>
      </w:pPr>
      <w:r>
        <w:rPr>
          <w:rFonts w:eastAsia="仿宋" w:hint="eastAsia"/>
          <w:szCs w:val="32"/>
        </w:rPr>
        <w:t>标签明确受试者正常使用以及产品故障和突发情况应对的警示</w:t>
      </w:r>
      <w:r>
        <w:rPr>
          <w:rFonts w:eastAsia="仿宋" w:hint="eastAsia"/>
          <w:szCs w:val="32"/>
        </w:rPr>
        <w:t>/</w:t>
      </w:r>
      <w:r>
        <w:rPr>
          <w:rFonts w:eastAsia="仿宋" w:hint="eastAsia"/>
          <w:szCs w:val="32"/>
        </w:rPr>
        <w:t>提示信息。</w:t>
      </w:r>
    </w:p>
    <w:p w:rsidR="005B570A" w:rsidRDefault="005B570A" w:rsidP="005B570A">
      <w:pPr>
        <w:spacing w:line="560" w:lineRule="exact"/>
        <w:ind w:firstLineChars="200" w:firstLine="640"/>
        <w:outlineLvl w:val="1"/>
        <w:rPr>
          <w:rFonts w:eastAsia="楷体"/>
          <w:szCs w:val="32"/>
        </w:rPr>
      </w:pPr>
      <w:r>
        <w:rPr>
          <w:rFonts w:eastAsia="楷体" w:hint="eastAsia"/>
          <w:szCs w:val="32"/>
        </w:rPr>
        <w:t>（十三）其他说明</w:t>
      </w:r>
    </w:p>
    <w:p w:rsidR="005B570A" w:rsidRDefault="005B570A" w:rsidP="005B570A">
      <w:pPr>
        <w:spacing w:line="560" w:lineRule="exact"/>
        <w:ind w:firstLineChars="200" w:firstLine="640"/>
        <w:rPr>
          <w:rFonts w:eastAsia="仿宋_GB2312"/>
          <w:szCs w:val="32"/>
        </w:rPr>
      </w:pPr>
      <w:r>
        <w:rPr>
          <w:rFonts w:eastAsia="仿宋_GB2312" w:hint="eastAsia"/>
          <w:szCs w:val="32"/>
        </w:rPr>
        <w:t>1.</w:t>
      </w:r>
      <w:r>
        <w:rPr>
          <w:rFonts w:eastAsia="仿宋_GB2312" w:hint="eastAsia"/>
          <w:szCs w:val="32"/>
        </w:rPr>
        <w:t>注册单元划分</w:t>
      </w:r>
    </w:p>
    <w:p w:rsidR="005B570A" w:rsidRDefault="005B570A" w:rsidP="005B570A">
      <w:pPr>
        <w:spacing w:line="560" w:lineRule="exact"/>
        <w:ind w:firstLineChars="200" w:firstLine="640"/>
        <w:rPr>
          <w:rFonts w:eastAsia="仿宋"/>
          <w:szCs w:val="32"/>
        </w:rPr>
      </w:pPr>
      <w:r>
        <w:rPr>
          <w:rFonts w:eastAsia="仿宋" w:hint="eastAsia"/>
          <w:szCs w:val="32"/>
        </w:rPr>
        <w:t>注册单元划分原则上以产品的技术原理、结构组成、性能指标和适用范围为划分依据。</w:t>
      </w:r>
    </w:p>
    <w:p w:rsidR="005B570A" w:rsidRDefault="005B570A" w:rsidP="005B570A">
      <w:pPr>
        <w:spacing w:line="560" w:lineRule="exact"/>
        <w:ind w:firstLineChars="200" w:firstLine="640"/>
        <w:rPr>
          <w:rFonts w:eastAsia="仿宋"/>
          <w:szCs w:val="32"/>
        </w:rPr>
      </w:pPr>
      <w:r>
        <w:rPr>
          <w:rFonts w:eastAsia="仿宋" w:hint="eastAsia"/>
          <w:szCs w:val="32"/>
        </w:rPr>
        <w:t>采用机器人技术和采用非机器人技术的产品，自动采样和采样人员遥控采样的产品，在公共场所使用和在医疗机构使用的产品，混采和单采的产品，原则上应作为不同注册单元分别申报。</w:t>
      </w:r>
    </w:p>
    <w:p w:rsidR="005B570A" w:rsidRDefault="005B570A" w:rsidP="005B570A">
      <w:pPr>
        <w:spacing w:line="560" w:lineRule="exact"/>
        <w:ind w:firstLineChars="200" w:firstLine="640"/>
        <w:rPr>
          <w:rFonts w:eastAsia="仿宋"/>
          <w:szCs w:val="32"/>
        </w:rPr>
      </w:pPr>
      <w:r>
        <w:rPr>
          <w:rFonts w:eastAsia="仿宋" w:hint="eastAsia"/>
          <w:szCs w:val="32"/>
        </w:rPr>
        <w:t>2.</w:t>
      </w:r>
      <w:r>
        <w:rPr>
          <w:rFonts w:eastAsia="仿宋" w:hint="eastAsia"/>
          <w:szCs w:val="32"/>
        </w:rPr>
        <w:t>人因与可用性研究资料</w:t>
      </w:r>
    </w:p>
    <w:p w:rsidR="005B570A" w:rsidRDefault="005B570A" w:rsidP="005B570A">
      <w:pPr>
        <w:overflowPunct w:val="0"/>
        <w:spacing w:line="560" w:lineRule="exact"/>
        <w:ind w:firstLineChars="200" w:firstLine="640"/>
        <w:rPr>
          <w:rFonts w:eastAsia="仿宋_GB2312"/>
          <w:szCs w:val="32"/>
        </w:rPr>
      </w:pPr>
      <w:r>
        <w:rPr>
          <w:rFonts w:eastAsia="仿宋_GB2312" w:hint="eastAsia"/>
          <w:szCs w:val="32"/>
        </w:rPr>
        <w:t>在“研究资料—其他研究资料”中提供产品</w:t>
      </w:r>
      <w:r>
        <w:rPr>
          <w:rFonts w:eastAsia="仿宋" w:hint="eastAsia"/>
          <w:szCs w:val="32"/>
        </w:rPr>
        <w:t>人因与可用性研究资料，确保产品使用风险均可接受。</w:t>
      </w:r>
    </w:p>
    <w:p w:rsidR="005B570A" w:rsidRDefault="005B570A" w:rsidP="005B570A">
      <w:pPr>
        <w:overflowPunct w:val="0"/>
        <w:spacing w:line="560" w:lineRule="exact"/>
        <w:ind w:firstLineChars="200" w:firstLine="640"/>
        <w:rPr>
          <w:rFonts w:eastAsia="仿宋_GB2312"/>
          <w:szCs w:val="32"/>
        </w:rPr>
      </w:pPr>
      <w:r>
        <w:rPr>
          <w:rFonts w:eastAsia="仿宋_GB2312" w:hint="eastAsia"/>
          <w:szCs w:val="32"/>
        </w:rPr>
        <w:t>提供值守人员培训方案及验证资料，包括培训的计划、材料、方式、师资、效果评估等，涵盖值守方式（现场、现场与监控相结合）、值守人员（配备、个人防护）等。</w:t>
      </w:r>
    </w:p>
    <w:p w:rsidR="005B570A" w:rsidRDefault="005B570A" w:rsidP="005B570A">
      <w:pPr>
        <w:overflowPunct w:val="0"/>
        <w:spacing w:line="560" w:lineRule="exact"/>
        <w:ind w:firstLineChars="200" w:firstLine="640"/>
        <w:rPr>
          <w:rFonts w:eastAsia="仿宋_GB2312"/>
          <w:szCs w:val="32"/>
        </w:rPr>
        <w:sectPr w:rsidR="005B570A" w:rsidSect="007239DC">
          <w:footerReference w:type="default" r:id="rId9"/>
          <w:type w:val="continuous"/>
          <w:pgSz w:w="11906" w:h="16838"/>
          <w:pgMar w:top="1440" w:right="1588" w:bottom="1440" w:left="1588" w:header="851" w:footer="992" w:gutter="0"/>
          <w:cols w:space="720"/>
          <w:docGrid w:type="lines" w:linePitch="435"/>
        </w:sectPr>
      </w:pPr>
    </w:p>
    <w:p w:rsidR="00066D66" w:rsidRDefault="005B570A" w:rsidP="005B570A">
      <w:pPr>
        <w:widowControl/>
        <w:snapToGrid w:val="0"/>
        <w:jc w:val="left"/>
        <w:outlineLvl w:val="0"/>
        <w:rPr>
          <w:rFonts w:eastAsia="黑体"/>
          <w:szCs w:val="32"/>
        </w:rPr>
      </w:pPr>
      <w:r>
        <w:rPr>
          <w:rFonts w:eastAsia="黑体"/>
          <w:szCs w:val="32"/>
        </w:rPr>
        <w:t>附录</w:t>
      </w:r>
      <w:r>
        <w:rPr>
          <w:rFonts w:eastAsia="黑体"/>
          <w:szCs w:val="32"/>
        </w:rPr>
        <w:t xml:space="preserve">1 </w:t>
      </w:r>
    </w:p>
    <w:p w:rsidR="005B570A" w:rsidRPr="00066D66" w:rsidRDefault="005B570A" w:rsidP="00066D66">
      <w:pPr>
        <w:widowControl/>
        <w:snapToGrid w:val="0"/>
        <w:jc w:val="center"/>
        <w:outlineLvl w:val="0"/>
        <w:rPr>
          <w:rFonts w:ascii="方正小标宋简体" w:eastAsia="方正小标宋简体"/>
          <w:sz w:val="44"/>
          <w:szCs w:val="44"/>
        </w:rPr>
      </w:pPr>
      <w:r w:rsidRPr="00066D66">
        <w:rPr>
          <w:rFonts w:ascii="方正小标宋简体" w:eastAsia="方正小标宋简体" w:hint="eastAsia"/>
          <w:sz w:val="44"/>
          <w:szCs w:val="44"/>
        </w:rPr>
        <w:t>指导原则适用情况</w:t>
      </w:r>
    </w:p>
    <w:p w:rsidR="005B570A" w:rsidRDefault="005B570A" w:rsidP="005B570A">
      <w:pPr>
        <w:widowControl/>
        <w:snapToGrid w:val="0"/>
        <w:jc w:val="left"/>
        <w:rPr>
          <w:rFonts w:eastAsia="黑体"/>
          <w:szCs w:val="32"/>
        </w:rPr>
      </w:pP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2"/>
        <w:gridCol w:w="1652"/>
      </w:tblGrid>
      <w:tr w:rsidR="005B570A" w:rsidTr="00FD64B2">
        <w:trPr>
          <w:trHeight w:val="23"/>
          <w:jc w:val="center"/>
        </w:trPr>
        <w:tc>
          <w:tcPr>
            <w:tcW w:w="6852" w:type="dxa"/>
          </w:tcPr>
          <w:p w:rsidR="005B570A" w:rsidRDefault="005B570A" w:rsidP="00FD64B2">
            <w:pPr>
              <w:adjustRightInd w:val="0"/>
              <w:snapToGrid w:val="0"/>
              <w:jc w:val="center"/>
              <w:rPr>
                <w:rFonts w:eastAsia="仿宋_GB2312"/>
                <w:b/>
                <w:sz w:val="28"/>
                <w:szCs w:val="28"/>
              </w:rPr>
            </w:pPr>
            <w:r>
              <w:rPr>
                <w:rFonts w:eastAsia="仿宋_GB2312"/>
                <w:b/>
                <w:sz w:val="28"/>
                <w:szCs w:val="28"/>
              </w:rPr>
              <w:t>指导原则名称</w:t>
            </w:r>
          </w:p>
        </w:tc>
        <w:tc>
          <w:tcPr>
            <w:tcW w:w="1652" w:type="dxa"/>
          </w:tcPr>
          <w:p w:rsidR="005B570A" w:rsidRDefault="005B570A" w:rsidP="00FD64B2">
            <w:pPr>
              <w:adjustRightInd w:val="0"/>
              <w:snapToGrid w:val="0"/>
              <w:jc w:val="center"/>
              <w:rPr>
                <w:rFonts w:eastAsia="仿宋_GB2312"/>
                <w:b/>
                <w:sz w:val="28"/>
                <w:szCs w:val="28"/>
              </w:rPr>
            </w:pPr>
            <w:r>
              <w:rPr>
                <w:rFonts w:eastAsia="仿宋_GB2312"/>
                <w:b/>
                <w:sz w:val="28"/>
                <w:szCs w:val="28"/>
              </w:rPr>
              <w:t>适用情况</w:t>
            </w:r>
          </w:p>
        </w:tc>
      </w:tr>
      <w:tr w:rsidR="005B570A" w:rsidTr="00066D66">
        <w:trPr>
          <w:trHeight w:val="554"/>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sz w:val="28"/>
                <w:szCs w:val="28"/>
              </w:rPr>
              <w:t>医疗器械安全和性能基本原则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66D66">
        <w:trPr>
          <w:trHeight w:val="562"/>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sz w:val="28"/>
                <w:szCs w:val="28"/>
              </w:rPr>
              <w:t>医疗器械安全和性能基本原则符合性技术指南</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66D66">
        <w:trPr>
          <w:trHeight w:val="413"/>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sz w:val="28"/>
                <w:szCs w:val="28"/>
              </w:rPr>
              <w:t>医疗器械产品受益</w:t>
            </w:r>
            <w:r>
              <w:rPr>
                <w:rFonts w:eastAsia="仿宋_GB2312"/>
                <w:sz w:val="28"/>
                <w:szCs w:val="28"/>
              </w:rPr>
              <w:t>-</w:t>
            </w:r>
            <w:r>
              <w:rPr>
                <w:rFonts w:eastAsia="仿宋_GB2312"/>
                <w:sz w:val="28"/>
                <w:szCs w:val="28"/>
              </w:rPr>
              <w:t>风险评估注册技术审查指导原则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66D66">
        <w:trPr>
          <w:trHeight w:val="561"/>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医疗器械软件注册审查指导原则（</w:t>
            </w:r>
            <w:r>
              <w:rPr>
                <w:rFonts w:eastAsia="仿宋_GB2312" w:hint="eastAsia"/>
                <w:sz w:val="28"/>
                <w:szCs w:val="28"/>
              </w:rPr>
              <w:t>2022</w:t>
            </w:r>
            <w:r>
              <w:rPr>
                <w:rFonts w:eastAsia="仿宋_GB2312" w:hint="eastAsia"/>
                <w:sz w:val="28"/>
                <w:szCs w:val="28"/>
              </w:rPr>
              <w:t>年修订版）</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sz w:val="28"/>
                <w:szCs w:val="28"/>
              </w:rPr>
              <w:t>适用</w:t>
            </w:r>
          </w:p>
        </w:tc>
      </w:tr>
      <w:tr w:rsidR="005B570A" w:rsidTr="00066D66">
        <w:trPr>
          <w:trHeight w:val="555"/>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医疗器械网络安全注册审查指导原则（</w:t>
            </w:r>
            <w:r>
              <w:rPr>
                <w:rFonts w:eastAsia="仿宋_GB2312" w:hint="eastAsia"/>
                <w:sz w:val="28"/>
                <w:szCs w:val="28"/>
              </w:rPr>
              <w:t>2022</w:t>
            </w:r>
            <w:r>
              <w:rPr>
                <w:rFonts w:eastAsia="仿宋_GB2312" w:hint="eastAsia"/>
                <w:sz w:val="28"/>
                <w:szCs w:val="28"/>
              </w:rPr>
              <w:t>年修订版）</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sz w:val="28"/>
                <w:szCs w:val="28"/>
              </w:rPr>
              <w:t>适用</w:t>
            </w:r>
          </w:p>
        </w:tc>
      </w:tr>
      <w:tr w:rsidR="005B570A" w:rsidTr="00066D66">
        <w:trPr>
          <w:trHeight w:val="563"/>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人工智能医疗器械注册审查指导原则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r w:rsidR="005B570A" w:rsidTr="00066D66">
        <w:trPr>
          <w:trHeight w:val="545"/>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医疗器械人因设计技术审查指导原则（征求意见稿）</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66D66">
        <w:trPr>
          <w:trHeight w:val="553"/>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生物安全柜注册审查指导原则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66D66">
        <w:trPr>
          <w:trHeight w:val="575"/>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sz w:val="28"/>
                <w:szCs w:val="28"/>
              </w:rPr>
              <w:t>手术无影灯注册技术审查指导原则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66D66">
        <w:trPr>
          <w:trHeight w:val="555"/>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有源医疗器械使用期限注册技术审查指导原则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sz w:val="28"/>
                <w:szCs w:val="28"/>
              </w:rPr>
              <w:t>适用</w:t>
            </w:r>
          </w:p>
        </w:tc>
      </w:tr>
      <w:tr w:rsidR="005B570A" w:rsidTr="00066D66">
        <w:trPr>
          <w:trHeight w:val="549"/>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医疗器械产品技术要求编写指导原则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66D66">
        <w:trPr>
          <w:trHeight w:val="556"/>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医疗器械临床评价技术指导原则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66D66">
        <w:trPr>
          <w:trHeight w:val="692"/>
          <w:jc w:val="center"/>
        </w:trPr>
        <w:tc>
          <w:tcPr>
            <w:tcW w:w="6852"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医疗器械临床试验设计技术指导原则</w:t>
            </w:r>
          </w:p>
        </w:tc>
        <w:tc>
          <w:tcPr>
            <w:tcW w:w="1652"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bl>
    <w:p w:rsidR="00066D66" w:rsidRDefault="005B570A" w:rsidP="005B570A">
      <w:pPr>
        <w:widowControl/>
        <w:spacing w:line="520" w:lineRule="atLeast"/>
        <w:jc w:val="left"/>
        <w:rPr>
          <w:rFonts w:eastAsia="黑体"/>
          <w:szCs w:val="32"/>
        </w:rPr>
      </w:pPr>
      <w:r>
        <w:rPr>
          <w:rFonts w:eastAsia="仿宋_GB2312"/>
          <w:szCs w:val="32"/>
        </w:rPr>
        <w:br w:type="page"/>
      </w:r>
      <w:r>
        <w:rPr>
          <w:rFonts w:eastAsia="黑体"/>
          <w:szCs w:val="32"/>
        </w:rPr>
        <w:t>附录</w:t>
      </w:r>
      <w:r>
        <w:rPr>
          <w:rFonts w:eastAsia="黑体"/>
          <w:szCs w:val="32"/>
        </w:rPr>
        <w:t>2</w:t>
      </w:r>
    </w:p>
    <w:p w:rsidR="005B570A" w:rsidRPr="00066D66" w:rsidRDefault="005B570A" w:rsidP="00066D66">
      <w:pPr>
        <w:widowControl/>
        <w:spacing w:line="520" w:lineRule="atLeast"/>
        <w:jc w:val="center"/>
        <w:rPr>
          <w:rFonts w:ascii="方正小标宋简体" w:eastAsia="方正小标宋简体"/>
          <w:sz w:val="44"/>
          <w:szCs w:val="44"/>
        </w:rPr>
      </w:pPr>
      <w:r w:rsidRPr="00066D66">
        <w:rPr>
          <w:rFonts w:ascii="方正小标宋简体" w:eastAsia="方正小标宋简体" w:hint="eastAsia"/>
          <w:sz w:val="44"/>
          <w:szCs w:val="44"/>
        </w:rPr>
        <w:t>标准适用情况</w:t>
      </w:r>
    </w:p>
    <w:p w:rsidR="005B570A" w:rsidRDefault="005B570A" w:rsidP="005B570A">
      <w:pPr>
        <w:widowControl/>
        <w:adjustRightInd w:val="0"/>
        <w:snapToGrid w:val="0"/>
        <w:jc w:val="left"/>
        <w:rPr>
          <w:rFonts w:eastAsia="黑体"/>
          <w:szCs w:val="32"/>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0"/>
        <w:gridCol w:w="1991"/>
      </w:tblGrid>
      <w:tr w:rsidR="005B570A" w:rsidTr="00FD64B2">
        <w:trPr>
          <w:trHeight w:val="23"/>
          <w:jc w:val="center"/>
        </w:trPr>
        <w:tc>
          <w:tcPr>
            <w:tcW w:w="7058" w:type="dxa"/>
          </w:tcPr>
          <w:p w:rsidR="005B570A" w:rsidRDefault="005B570A" w:rsidP="00FD64B2">
            <w:pPr>
              <w:adjustRightInd w:val="0"/>
              <w:snapToGrid w:val="0"/>
              <w:ind w:left="281" w:hangingChars="100" w:hanging="281"/>
              <w:jc w:val="center"/>
              <w:rPr>
                <w:rFonts w:eastAsia="仿宋_GB2312"/>
                <w:b/>
                <w:bCs/>
                <w:sz w:val="28"/>
                <w:szCs w:val="28"/>
              </w:rPr>
            </w:pPr>
            <w:r>
              <w:rPr>
                <w:rFonts w:eastAsia="仿宋_GB2312"/>
                <w:b/>
                <w:bCs/>
                <w:sz w:val="28"/>
                <w:szCs w:val="28"/>
              </w:rPr>
              <w:t>标准名称</w:t>
            </w:r>
          </w:p>
        </w:tc>
        <w:tc>
          <w:tcPr>
            <w:tcW w:w="1985" w:type="dxa"/>
          </w:tcPr>
          <w:p w:rsidR="005B570A" w:rsidRDefault="005B570A" w:rsidP="00FD64B2">
            <w:pPr>
              <w:adjustRightInd w:val="0"/>
              <w:snapToGrid w:val="0"/>
              <w:jc w:val="center"/>
              <w:rPr>
                <w:rFonts w:eastAsia="仿宋_GB2312"/>
                <w:b/>
                <w:bCs/>
                <w:sz w:val="28"/>
                <w:szCs w:val="28"/>
              </w:rPr>
            </w:pPr>
            <w:r>
              <w:rPr>
                <w:rFonts w:eastAsia="仿宋_GB2312"/>
                <w:b/>
                <w:sz w:val="28"/>
                <w:szCs w:val="28"/>
              </w:rPr>
              <w:t>适用情况</w:t>
            </w:r>
          </w:p>
        </w:tc>
      </w:tr>
      <w:tr w:rsidR="005B570A" w:rsidTr="000778E3">
        <w:trPr>
          <w:trHeight w:val="802"/>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GB 9706.1</w:t>
            </w:r>
            <w:r>
              <w:rPr>
                <w:rFonts w:eastAsia="仿宋_GB2312"/>
                <w:sz w:val="28"/>
                <w:szCs w:val="28"/>
              </w:rPr>
              <w:t>医用电气设备</w:t>
            </w:r>
            <w:r>
              <w:rPr>
                <w:rFonts w:eastAsia="仿宋_GB2312" w:hint="eastAsia"/>
                <w:sz w:val="28"/>
                <w:szCs w:val="28"/>
              </w:rPr>
              <w:t xml:space="preserve"> </w:t>
            </w:r>
            <w:r>
              <w:rPr>
                <w:rFonts w:eastAsia="仿宋_GB2312"/>
                <w:sz w:val="28"/>
                <w:szCs w:val="28"/>
              </w:rPr>
              <w:t>第</w:t>
            </w:r>
            <w:r>
              <w:rPr>
                <w:rFonts w:eastAsia="仿宋_GB2312" w:hint="eastAsia"/>
                <w:sz w:val="28"/>
                <w:szCs w:val="28"/>
              </w:rPr>
              <w:t>1</w:t>
            </w:r>
            <w:r>
              <w:rPr>
                <w:rFonts w:eastAsia="仿宋_GB2312"/>
                <w:sz w:val="28"/>
                <w:szCs w:val="28"/>
              </w:rPr>
              <w:t>部分：安全通用要求</w:t>
            </w:r>
            <w:r>
              <w:rPr>
                <w:rFonts w:eastAsia="仿宋_GB2312" w:hint="eastAsia"/>
                <w:sz w:val="28"/>
                <w:szCs w:val="28"/>
              </w:rPr>
              <w:t>（第二版）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sz w:val="28"/>
                <w:szCs w:val="28"/>
              </w:rPr>
              <w:t>适用</w:t>
            </w:r>
          </w:p>
        </w:tc>
      </w:tr>
      <w:tr w:rsidR="005B570A" w:rsidTr="000778E3">
        <w:trPr>
          <w:trHeight w:val="983"/>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GB</w:t>
            </w:r>
            <w:r>
              <w:rPr>
                <w:rFonts w:eastAsia="仿宋_GB2312" w:hint="eastAsia"/>
                <w:sz w:val="28"/>
                <w:szCs w:val="28"/>
              </w:rPr>
              <w:t xml:space="preserve"> </w:t>
            </w:r>
            <w:r>
              <w:rPr>
                <w:rFonts w:eastAsia="仿宋_GB2312"/>
                <w:sz w:val="28"/>
                <w:szCs w:val="28"/>
              </w:rPr>
              <w:t>9706.15</w:t>
            </w:r>
            <w:r>
              <w:rPr>
                <w:rFonts w:eastAsia="仿宋_GB2312"/>
                <w:sz w:val="28"/>
                <w:szCs w:val="28"/>
              </w:rPr>
              <w:t>第</w:t>
            </w:r>
            <w:r>
              <w:rPr>
                <w:rFonts w:eastAsia="仿宋_GB2312"/>
                <w:sz w:val="28"/>
                <w:szCs w:val="28"/>
              </w:rPr>
              <w:t>1-1</w:t>
            </w:r>
            <w:r>
              <w:rPr>
                <w:rFonts w:eastAsia="仿宋_GB2312"/>
                <w:sz w:val="28"/>
                <w:szCs w:val="28"/>
              </w:rPr>
              <w:t>部分：安全通用要求　并列标准：医用电气系统安全要求</w:t>
            </w:r>
            <w:r>
              <w:rPr>
                <w:rFonts w:eastAsia="仿宋_GB2312" w:hint="eastAsia"/>
                <w:sz w:val="28"/>
                <w:szCs w:val="28"/>
              </w:rPr>
              <w:t>（第二版）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r w:rsidR="005B570A" w:rsidTr="000778E3">
        <w:trPr>
          <w:trHeight w:val="842"/>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YY 0505</w:t>
            </w:r>
            <w:r>
              <w:rPr>
                <w:rFonts w:eastAsia="仿宋_GB2312"/>
                <w:sz w:val="28"/>
                <w:szCs w:val="28"/>
              </w:rPr>
              <w:t>医用电气设备</w:t>
            </w:r>
            <w:r>
              <w:rPr>
                <w:rFonts w:eastAsia="仿宋_GB2312" w:hint="eastAsia"/>
                <w:sz w:val="28"/>
                <w:szCs w:val="28"/>
              </w:rPr>
              <w:t xml:space="preserve"> </w:t>
            </w:r>
            <w:r>
              <w:rPr>
                <w:rFonts w:eastAsia="仿宋_GB2312"/>
                <w:sz w:val="28"/>
                <w:szCs w:val="28"/>
              </w:rPr>
              <w:t>第</w:t>
            </w:r>
            <w:r>
              <w:rPr>
                <w:rFonts w:eastAsia="仿宋_GB2312"/>
                <w:sz w:val="28"/>
                <w:szCs w:val="28"/>
              </w:rPr>
              <w:t>1-2</w:t>
            </w:r>
            <w:r>
              <w:rPr>
                <w:rFonts w:eastAsia="仿宋_GB2312"/>
                <w:sz w:val="28"/>
                <w:szCs w:val="28"/>
              </w:rPr>
              <w:t>部分</w:t>
            </w:r>
            <w:r>
              <w:rPr>
                <w:rFonts w:eastAsia="仿宋_GB2312"/>
                <w:sz w:val="28"/>
                <w:szCs w:val="28"/>
              </w:rPr>
              <w:t xml:space="preserve"> </w:t>
            </w:r>
            <w:r>
              <w:rPr>
                <w:rFonts w:eastAsia="仿宋_GB2312"/>
                <w:sz w:val="28"/>
                <w:szCs w:val="28"/>
              </w:rPr>
              <w:t>安全通用要求</w:t>
            </w:r>
            <w:r>
              <w:rPr>
                <w:rFonts w:eastAsia="仿宋_GB2312"/>
                <w:sz w:val="28"/>
                <w:szCs w:val="28"/>
              </w:rPr>
              <w:t xml:space="preserve"> </w:t>
            </w:r>
            <w:r>
              <w:rPr>
                <w:rFonts w:eastAsia="仿宋_GB2312"/>
                <w:sz w:val="28"/>
                <w:szCs w:val="28"/>
              </w:rPr>
              <w:t>并列标准：电磁兼容要求和试验</w:t>
            </w:r>
            <w:r>
              <w:rPr>
                <w:rFonts w:eastAsia="仿宋_GB2312" w:hint="eastAsia"/>
                <w:sz w:val="28"/>
                <w:szCs w:val="28"/>
              </w:rPr>
              <w:t>（第二版）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sz w:val="28"/>
                <w:szCs w:val="28"/>
              </w:rPr>
              <w:t>适用</w:t>
            </w:r>
          </w:p>
        </w:tc>
      </w:tr>
      <w:tr w:rsidR="005B570A" w:rsidTr="000778E3">
        <w:trPr>
          <w:trHeight w:val="842"/>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 xml:space="preserve">YY 0627 </w:t>
            </w:r>
            <w:r>
              <w:rPr>
                <w:rFonts w:eastAsia="仿宋_GB2312" w:hint="eastAsia"/>
                <w:sz w:val="28"/>
                <w:szCs w:val="28"/>
              </w:rPr>
              <w:t>医用电气设备</w:t>
            </w:r>
            <w:r>
              <w:rPr>
                <w:rFonts w:eastAsia="仿宋_GB2312" w:hint="eastAsia"/>
                <w:sz w:val="28"/>
                <w:szCs w:val="28"/>
              </w:rPr>
              <w:t xml:space="preserve"> </w:t>
            </w:r>
            <w:r>
              <w:rPr>
                <w:rFonts w:eastAsia="仿宋_GB2312"/>
                <w:sz w:val="28"/>
                <w:szCs w:val="28"/>
              </w:rPr>
              <w:t>第</w:t>
            </w:r>
            <w:r>
              <w:rPr>
                <w:rFonts w:eastAsia="仿宋_GB2312"/>
                <w:sz w:val="28"/>
                <w:szCs w:val="28"/>
              </w:rPr>
              <w:t>2</w:t>
            </w:r>
            <w:r>
              <w:rPr>
                <w:rFonts w:eastAsia="仿宋_GB2312"/>
                <w:sz w:val="28"/>
                <w:szCs w:val="28"/>
              </w:rPr>
              <w:t>部分：手术无影灯和诊断用照明灯安全专用要求</w:t>
            </w:r>
            <w:r>
              <w:rPr>
                <w:rFonts w:eastAsia="仿宋_GB2312" w:hint="eastAsia"/>
                <w:sz w:val="28"/>
                <w:szCs w:val="28"/>
              </w:rPr>
              <w:t>（第二版）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556"/>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GB 9706.1</w:t>
            </w:r>
            <w:r>
              <w:rPr>
                <w:rFonts w:eastAsia="仿宋_GB2312"/>
                <w:sz w:val="28"/>
                <w:szCs w:val="28"/>
              </w:rPr>
              <w:t>医用电气设备</w:t>
            </w:r>
            <w:r>
              <w:rPr>
                <w:rFonts w:eastAsia="仿宋_GB2312" w:hint="eastAsia"/>
                <w:sz w:val="28"/>
                <w:szCs w:val="28"/>
              </w:rPr>
              <w:t>系列标准（第三版）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适用，按实施通知要求执行</w:t>
            </w:r>
          </w:p>
        </w:tc>
      </w:tr>
      <w:tr w:rsidR="005B570A" w:rsidTr="000778E3">
        <w:trPr>
          <w:trHeight w:val="952"/>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 9706.241</w:t>
            </w:r>
            <w:r>
              <w:rPr>
                <w:rFonts w:eastAsia="仿宋_GB2312"/>
                <w:sz w:val="28"/>
                <w:szCs w:val="28"/>
              </w:rPr>
              <w:t>医用电气设备</w:t>
            </w:r>
            <w:r>
              <w:rPr>
                <w:rFonts w:eastAsia="仿宋_GB2312" w:hint="eastAsia"/>
                <w:sz w:val="28"/>
                <w:szCs w:val="28"/>
              </w:rPr>
              <w:t xml:space="preserve"> </w:t>
            </w:r>
            <w:r>
              <w:rPr>
                <w:rFonts w:eastAsia="仿宋_GB2312"/>
                <w:sz w:val="28"/>
                <w:szCs w:val="28"/>
              </w:rPr>
              <w:t>第</w:t>
            </w:r>
            <w:r>
              <w:rPr>
                <w:rFonts w:eastAsia="仿宋_GB2312"/>
                <w:sz w:val="28"/>
                <w:szCs w:val="28"/>
              </w:rPr>
              <w:t>2-41</w:t>
            </w:r>
            <w:r>
              <w:rPr>
                <w:rFonts w:eastAsia="仿宋_GB2312"/>
                <w:sz w:val="28"/>
                <w:szCs w:val="28"/>
              </w:rPr>
              <w:t>部分：手术无影灯和诊断用照明灯的基本安全和基本性能专用要求</w:t>
            </w:r>
            <w:r>
              <w:rPr>
                <w:rFonts w:eastAsia="仿宋_GB2312" w:hint="eastAsia"/>
                <w:sz w:val="28"/>
                <w:szCs w:val="28"/>
              </w:rPr>
              <w:t>（第三版）</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980"/>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 9706.277</w:t>
            </w:r>
            <w:r>
              <w:rPr>
                <w:rFonts w:eastAsia="仿宋_GB2312" w:hint="eastAsia"/>
                <w:sz w:val="28"/>
                <w:szCs w:val="28"/>
              </w:rPr>
              <w:t>医用电气设备</w:t>
            </w:r>
            <w:r>
              <w:rPr>
                <w:rFonts w:eastAsia="仿宋_GB2312" w:hint="eastAsia"/>
                <w:sz w:val="28"/>
                <w:szCs w:val="28"/>
              </w:rPr>
              <w:t xml:space="preserve"> </w:t>
            </w:r>
            <w:r>
              <w:rPr>
                <w:rFonts w:eastAsia="仿宋_GB2312" w:hint="eastAsia"/>
                <w:sz w:val="28"/>
                <w:szCs w:val="28"/>
              </w:rPr>
              <w:t>第</w:t>
            </w:r>
            <w:r>
              <w:rPr>
                <w:rFonts w:eastAsia="仿宋_GB2312" w:hint="eastAsia"/>
                <w:sz w:val="28"/>
                <w:szCs w:val="28"/>
              </w:rPr>
              <w:t>2-77</w:t>
            </w:r>
            <w:r>
              <w:rPr>
                <w:rFonts w:eastAsia="仿宋_GB2312" w:hint="eastAsia"/>
                <w:sz w:val="28"/>
                <w:szCs w:val="28"/>
              </w:rPr>
              <w:t>部分：</w:t>
            </w:r>
            <w:r>
              <w:rPr>
                <w:rFonts w:eastAsia="仿宋_GB2312"/>
                <w:sz w:val="28"/>
                <w:szCs w:val="28"/>
              </w:rPr>
              <w:t>采用机器人技术的辅助手术设备</w:t>
            </w:r>
            <w:r>
              <w:rPr>
                <w:rFonts w:eastAsia="仿宋_GB2312" w:hint="eastAsia"/>
                <w:sz w:val="28"/>
                <w:szCs w:val="28"/>
              </w:rPr>
              <w:t>的基本安全和基本性能</w:t>
            </w:r>
            <w:proofErr w:type="gramStart"/>
            <w:r>
              <w:rPr>
                <w:rFonts w:eastAsia="仿宋_GB2312" w:hint="eastAsia"/>
                <w:sz w:val="28"/>
                <w:szCs w:val="28"/>
              </w:rPr>
              <w:t>专用要求</w:t>
            </w:r>
            <w:proofErr w:type="gramEnd"/>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554"/>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GB 7247.1</w:t>
            </w:r>
            <w:r>
              <w:rPr>
                <w:rFonts w:eastAsia="仿宋_GB2312"/>
                <w:sz w:val="28"/>
                <w:szCs w:val="28"/>
              </w:rPr>
              <w:t>激光产品的安全</w:t>
            </w:r>
            <w:r>
              <w:rPr>
                <w:rFonts w:eastAsia="仿宋_GB2312" w:hint="eastAsia"/>
                <w:sz w:val="28"/>
                <w:szCs w:val="28"/>
              </w:rPr>
              <w:t xml:space="preserve"> </w:t>
            </w:r>
            <w:r>
              <w:rPr>
                <w:rFonts w:eastAsia="仿宋_GB2312"/>
                <w:sz w:val="28"/>
                <w:szCs w:val="28"/>
              </w:rPr>
              <w:t>第</w:t>
            </w:r>
            <w:r>
              <w:rPr>
                <w:rFonts w:eastAsia="仿宋_GB2312"/>
                <w:sz w:val="28"/>
                <w:szCs w:val="28"/>
              </w:rPr>
              <w:t>1</w:t>
            </w:r>
            <w:r>
              <w:rPr>
                <w:rFonts w:eastAsia="仿宋_GB2312"/>
                <w:sz w:val="28"/>
                <w:szCs w:val="28"/>
              </w:rPr>
              <w:t>部分：设备分类、要求</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r w:rsidR="005B570A" w:rsidTr="000778E3">
        <w:trPr>
          <w:trHeight w:val="548"/>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GB/T 20145</w:t>
            </w:r>
            <w:r>
              <w:rPr>
                <w:rFonts w:eastAsia="仿宋_GB2312"/>
                <w:sz w:val="28"/>
                <w:szCs w:val="28"/>
              </w:rPr>
              <w:t>灯和灯系统的光生物安全性</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r w:rsidR="005B570A" w:rsidTr="000778E3">
        <w:trPr>
          <w:trHeight w:val="570"/>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sz w:val="28"/>
                <w:szCs w:val="28"/>
              </w:rPr>
              <w:t>YY</w:t>
            </w:r>
            <w:r>
              <w:rPr>
                <w:rFonts w:eastAsia="仿宋_GB2312" w:hint="eastAsia"/>
                <w:sz w:val="28"/>
                <w:szCs w:val="28"/>
              </w:rPr>
              <w:t>/</w:t>
            </w:r>
            <w:r>
              <w:rPr>
                <w:rFonts w:eastAsia="仿宋_GB2312"/>
                <w:sz w:val="28"/>
                <w:szCs w:val="28"/>
              </w:rPr>
              <w:t>T</w:t>
            </w:r>
            <w:r>
              <w:rPr>
                <w:rFonts w:eastAsia="仿宋_GB2312" w:hint="eastAsia"/>
                <w:sz w:val="28"/>
                <w:szCs w:val="28"/>
              </w:rPr>
              <w:t xml:space="preserve"> </w:t>
            </w:r>
            <w:r>
              <w:rPr>
                <w:rFonts w:eastAsia="仿宋_GB2312"/>
                <w:sz w:val="28"/>
                <w:szCs w:val="28"/>
              </w:rPr>
              <w:t>1534</w:t>
            </w:r>
            <w:r>
              <w:rPr>
                <w:rFonts w:eastAsia="仿宋_GB2312"/>
                <w:sz w:val="28"/>
                <w:szCs w:val="28"/>
              </w:rPr>
              <w:t>医用</w:t>
            </w:r>
            <w:r>
              <w:rPr>
                <w:rFonts w:eastAsia="仿宋_GB2312"/>
                <w:sz w:val="28"/>
                <w:szCs w:val="28"/>
              </w:rPr>
              <w:t>LED</w:t>
            </w:r>
            <w:r>
              <w:rPr>
                <w:rFonts w:eastAsia="仿宋_GB2312"/>
                <w:sz w:val="28"/>
                <w:szCs w:val="28"/>
              </w:rPr>
              <w:t>设备光辐射安全分类的检测方法</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r w:rsidR="005B570A" w:rsidTr="000778E3">
        <w:trPr>
          <w:trHeight w:val="548"/>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GB/T 16886</w:t>
            </w:r>
            <w:r>
              <w:rPr>
                <w:rFonts w:eastAsia="仿宋_GB2312" w:hint="eastAsia"/>
                <w:sz w:val="28"/>
                <w:szCs w:val="28"/>
              </w:rPr>
              <w:t>医疗器械生物学评价系列标准</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FD64B2">
        <w:trPr>
          <w:trHeight w:val="23"/>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GB/T 25000.51</w:t>
            </w:r>
            <w:r>
              <w:rPr>
                <w:rFonts w:eastAsia="仿宋_GB2312" w:hint="eastAsia"/>
                <w:sz w:val="28"/>
                <w:szCs w:val="28"/>
              </w:rPr>
              <w:t>系统与软件工程</w:t>
            </w:r>
            <w:r>
              <w:rPr>
                <w:rFonts w:eastAsia="仿宋_GB2312" w:hint="eastAsia"/>
                <w:sz w:val="28"/>
                <w:szCs w:val="28"/>
              </w:rPr>
              <w:t xml:space="preserve"> </w:t>
            </w:r>
            <w:r>
              <w:rPr>
                <w:rFonts w:eastAsia="仿宋_GB2312" w:hint="eastAsia"/>
                <w:sz w:val="28"/>
                <w:szCs w:val="28"/>
              </w:rPr>
              <w:t>系统与软件质量要求和评价（</w:t>
            </w:r>
            <w:proofErr w:type="spellStart"/>
            <w:r>
              <w:rPr>
                <w:rFonts w:eastAsia="仿宋_GB2312" w:hint="eastAsia"/>
                <w:sz w:val="28"/>
                <w:szCs w:val="28"/>
              </w:rPr>
              <w:t>SQuaRE</w:t>
            </w:r>
            <w:proofErr w:type="spellEnd"/>
            <w:r>
              <w:rPr>
                <w:rFonts w:eastAsia="仿宋_GB2312" w:hint="eastAsia"/>
                <w:sz w:val="28"/>
                <w:szCs w:val="28"/>
              </w:rPr>
              <w:t>）</w:t>
            </w:r>
            <w:r>
              <w:rPr>
                <w:rFonts w:eastAsia="仿宋_GB2312" w:hint="eastAsia"/>
                <w:sz w:val="28"/>
                <w:szCs w:val="28"/>
              </w:rPr>
              <w:t xml:space="preserve"> </w:t>
            </w:r>
            <w:r>
              <w:rPr>
                <w:rFonts w:eastAsia="仿宋_GB2312" w:hint="eastAsia"/>
                <w:sz w:val="28"/>
                <w:szCs w:val="28"/>
              </w:rPr>
              <w:t>第</w:t>
            </w:r>
            <w:r>
              <w:rPr>
                <w:rFonts w:eastAsia="仿宋_GB2312" w:hint="eastAsia"/>
                <w:sz w:val="28"/>
                <w:szCs w:val="28"/>
              </w:rPr>
              <w:t>51</w:t>
            </w:r>
            <w:r>
              <w:rPr>
                <w:rFonts w:eastAsia="仿宋_GB2312" w:hint="eastAsia"/>
                <w:sz w:val="28"/>
                <w:szCs w:val="28"/>
              </w:rPr>
              <w:t>部分：就绪可用软件产品（</w:t>
            </w:r>
            <w:r>
              <w:rPr>
                <w:rFonts w:eastAsia="仿宋_GB2312" w:hint="eastAsia"/>
                <w:sz w:val="28"/>
                <w:szCs w:val="28"/>
              </w:rPr>
              <w:t>RUSP</w:t>
            </w:r>
            <w:r>
              <w:rPr>
                <w:rFonts w:eastAsia="仿宋_GB2312" w:hint="eastAsia"/>
                <w:sz w:val="28"/>
                <w:szCs w:val="28"/>
              </w:rPr>
              <w:t>）的质量要求和测试细则</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FD64B2">
        <w:trPr>
          <w:trHeight w:val="23"/>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GB/T 14710</w:t>
            </w:r>
            <w:r>
              <w:rPr>
                <w:rFonts w:eastAsia="仿宋_GB2312" w:hint="eastAsia"/>
                <w:sz w:val="28"/>
                <w:szCs w:val="28"/>
              </w:rPr>
              <w:t>医用电器环境要求及试验方法</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FD64B2">
        <w:trPr>
          <w:trHeight w:val="23"/>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YY/T 1712</w:t>
            </w:r>
            <w:r>
              <w:rPr>
                <w:rFonts w:eastAsia="仿宋_GB2312"/>
                <w:sz w:val="28"/>
                <w:szCs w:val="28"/>
              </w:rPr>
              <w:t>采用机器人技术的辅助手术设备和辅助手术系统</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FD64B2">
        <w:trPr>
          <w:trHeight w:val="23"/>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 0569</w:t>
            </w:r>
            <w:r>
              <w:rPr>
                <w:rFonts w:eastAsia="仿宋_GB2312" w:hint="eastAsia"/>
                <w:sz w:val="28"/>
                <w:szCs w:val="28"/>
              </w:rPr>
              <w:t>Ⅱ级生物安全柜</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537"/>
          <w:jc w:val="center"/>
        </w:trPr>
        <w:tc>
          <w:tcPr>
            <w:tcW w:w="7058"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GB 28235</w:t>
            </w:r>
            <w:r>
              <w:rPr>
                <w:rFonts w:eastAsia="仿宋_GB2312" w:hint="eastAsia"/>
                <w:sz w:val="28"/>
                <w:szCs w:val="28"/>
              </w:rPr>
              <w:t>紫外线消毒器卫生要求</w:t>
            </w:r>
          </w:p>
        </w:tc>
        <w:tc>
          <w:tcPr>
            <w:tcW w:w="1985"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tc>
      </w:tr>
    </w:tbl>
    <w:p w:rsidR="005B570A" w:rsidRDefault="005B570A" w:rsidP="005B570A">
      <w:pPr>
        <w:adjustRightInd w:val="0"/>
        <w:snapToGrid w:val="0"/>
        <w:rPr>
          <w:rFonts w:eastAsia="仿宋_GB2312"/>
          <w:sz w:val="28"/>
          <w:szCs w:val="28"/>
        </w:rPr>
        <w:sectPr w:rsidR="005B570A">
          <w:pgSz w:w="11906" w:h="16838"/>
          <w:pgMar w:top="1440" w:right="1800" w:bottom="1440" w:left="1800" w:header="851" w:footer="992" w:gutter="0"/>
          <w:cols w:space="720"/>
          <w:docGrid w:type="lines" w:linePitch="312"/>
        </w:sectPr>
      </w:pPr>
    </w:p>
    <w:p w:rsidR="00066D66" w:rsidRDefault="005B570A" w:rsidP="005B570A">
      <w:pPr>
        <w:widowControl/>
        <w:spacing w:line="520" w:lineRule="atLeast"/>
        <w:jc w:val="left"/>
        <w:rPr>
          <w:rFonts w:eastAsia="黑体"/>
          <w:szCs w:val="32"/>
        </w:rPr>
      </w:pPr>
      <w:r>
        <w:rPr>
          <w:rFonts w:eastAsia="黑体"/>
          <w:szCs w:val="32"/>
        </w:rPr>
        <w:t>附录</w:t>
      </w:r>
      <w:r>
        <w:rPr>
          <w:rFonts w:eastAsia="黑体" w:hint="eastAsia"/>
          <w:szCs w:val="32"/>
        </w:rPr>
        <w:t>3</w:t>
      </w:r>
      <w:r>
        <w:rPr>
          <w:rFonts w:eastAsia="黑体"/>
          <w:szCs w:val="32"/>
        </w:rPr>
        <w:t xml:space="preserve"> </w:t>
      </w:r>
    </w:p>
    <w:p w:rsidR="005B570A" w:rsidRPr="00066D66" w:rsidRDefault="005B570A" w:rsidP="00066D66">
      <w:pPr>
        <w:widowControl/>
        <w:spacing w:line="520" w:lineRule="atLeast"/>
        <w:jc w:val="center"/>
        <w:rPr>
          <w:rFonts w:ascii="方正小标宋简体" w:eastAsia="方正小标宋简体"/>
          <w:sz w:val="44"/>
          <w:szCs w:val="44"/>
        </w:rPr>
      </w:pPr>
      <w:r w:rsidRPr="00066D66">
        <w:rPr>
          <w:rFonts w:ascii="方正小标宋简体" w:eastAsia="方正小标宋简体" w:hint="eastAsia"/>
          <w:sz w:val="44"/>
          <w:szCs w:val="44"/>
        </w:rPr>
        <w:t>质量管理体系规范性文件和标准适用情况</w:t>
      </w:r>
    </w:p>
    <w:p w:rsidR="005B570A" w:rsidRDefault="005B570A" w:rsidP="005B570A">
      <w:pPr>
        <w:widowControl/>
        <w:adjustRightInd w:val="0"/>
        <w:snapToGrid w:val="0"/>
        <w:jc w:val="left"/>
        <w:rPr>
          <w:rFonts w:eastAsia="黑体"/>
          <w:szCs w:val="32"/>
        </w:rPr>
      </w:pP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3"/>
        <w:gridCol w:w="1491"/>
      </w:tblGrid>
      <w:tr w:rsidR="005B570A" w:rsidTr="00FD64B2">
        <w:trPr>
          <w:trHeight w:val="23"/>
          <w:jc w:val="center"/>
        </w:trPr>
        <w:tc>
          <w:tcPr>
            <w:tcW w:w="7013" w:type="dxa"/>
          </w:tcPr>
          <w:p w:rsidR="005B570A" w:rsidRDefault="005B570A" w:rsidP="00FD64B2">
            <w:pPr>
              <w:adjustRightInd w:val="0"/>
              <w:snapToGrid w:val="0"/>
              <w:ind w:left="281" w:hangingChars="100" w:hanging="281"/>
              <w:jc w:val="center"/>
              <w:rPr>
                <w:rFonts w:eastAsia="仿宋_GB2312"/>
                <w:b/>
                <w:bCs/>
                <w:sz w:val="28"/>
                <w:szCs w:val="28"/>
              </w:rPr>
            </w:pPr>
            <w:r>
              <w:rPr>
                <w:rFonts w:eastAsia="仿宋_GB2312" w:hint="eastAsia"/>
                <w:b/>
                <w:bCs/>
                <w:sz w:val="28"/>
                <w:szCs w:val="28"/>
              </w:rPr>
              <w:t>规范性文件</w:t>
            </w:r>
            <w:r>
              <w:rPr>
                <w:rFonts w:eastAsia="仿宋_GB2312" w:hint="eastAsia"/>
                <w:b/>
                <w:bCs/>
                <w:sz w:val="28"/>
                <w:szCs w:val="28"/>
              </w:rPr>
              <w:t>/</w:t>
            </w:r>
            <w:r>
              <w:rPr>
                <w:rFonts w:eastAsia="仿宋_GB2312"/>
                <w:b/>
                <w:bCs/>
                <w:sz w:val="28"/>
                <w:szCs w:val="28"/>
              </w:rPr>
              <w:t>标准名称</w:t>
            </w:r>
          </w:p>
        </w:tc>
        <w:tc>
          <w:tcPr>
            <w:tcW w:w="1491" w:type="dxa"/>
          </w:tcPr>
          <w:p w:rsidR="005B570A" w:rsidRDefault="005B570A" w:rsidP="00FD64B2">
            <w:pPr>
              <w:adjustRightInd w:val="0"/>
              <w:snapToGrid w:val="0"/>
              <w:jc w:val="center"/>
              <w:rPr>
                <w:rFonts w:eastAsia="仿宋_GB2312"/>
                <w:b/>
                <w:bCs/>
                <w:sz w:val="28"/>
                <w:szCs w:val="28"/>
              </w:rPr>
            </w:pPr>
            <w:r>
              <w:rPr>
                <w:rFonts w:eastAsia="仿宋_GB2312"/>
                <w:b/>
                <w:sz w:val="28"/>
                <w:szCs w:val="28"/>
              </w:rPr>
              <w:t>适用情况</w:t>
            </w:r>
          </w:p>
        </w:tc>
      </w:tr>
      <w:tr w:rsidR="005B570A" w:rsidTr="000778E3">
        <w:trPr>
          <w:trHeight w:val="518"/>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医疗器械生产质量管理规范</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778E3">
        <w:trPr>
          <w:trHeight w:val="696"/>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医疗器械生产质量管理规范附录独立软件</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778E3">
        <w:trPr>
          <w:trHeight w:val="564"/>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医疗器械生产质量管理规范现场检查指导原则</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778E3">
        <w:trPr>
          <w:trHeight w:val="558"/>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医疗器械生产质量管理规范独立软件现场检查指导原则</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适用</w:t>
            </w:r>
          </w:p>
        </w:tc>
      </w:tr>
      <w:tr w:rsidR="005B570A" w:rsidTr="000778E3">
        <w:trPr>
          <w:trHeight w:val="552"/>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YY/T 0316</w:t>
            </w:r>
            <w:r>
              <w:rPr>
                <w:rFonts w:eastAsia="仿宋_GB2312" w:hint="eastAsia"/>
                <w:sz w:val="28"/>
                <w:szCs w:val="28"/>
              </w:rPr>
              <w:t>医疗器械</w:t>
            </w:r>
            <w:r>
              <w:rPr>
                <w:rFonts w:eastAsia="仿宋_GB2312" w:hint="eastAsia"/>
                <w:sz w:val="28"/>
                <w:szCs w:val="28"/>
              </w:rPr>
              <w:t xml:space="preserve"> </w:t>
            </w:r>
            <w:r>
              <w:rPr>
                <w:rFonts w:eastAsia="仿宋_GB2312" w:hint="eastAsia"/>
                <w:sz w:val="28"/>
                <w:szCs w:val="28"/>
              </w:rPr>
              <w:t>风险管理对医疗器械的应用</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546"/>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YY/T 0287</w:t>
            </w:r>
            <w:r>
              <w:rPr>
                <w:rFonts w:eastAsia="仿宋_GB2312" w:hint="eastAsia"/>
                <w:sz w:val="28"/>
                <w:szCs w:val="28"/>
              </w:rPr>
              <w:t>医疗器械</w:t>
            </w:r>
            <w:r>
              <w:rPr>
                <w:rFonts w:eastAsia="仿宋_GB2312" w:hint="eastAsia"/>
                <w:sz w:val="28"/>
                <w:szCs w:val="28"/>
              </w:rPr>
              <w:t xml:space="preserve"> </w:t>
            </w:r>
            <w:r>
              <w:rPr>
                <w:rFonts w:eastAsia="仿宋_GB2312" w:hint="eastAsia"/>
                <w:sz w:val="28"/>
                <w:szCs w:val="28"/>
              </w:rPr>
              <w:t>质量管理体系</w:t>
            </w:r>
            <w:r>
              <w:rPr>
                <w:rFonts w:eastAsia="仿宋_GB2312" w:hint="eastAsia"/>
                <w:sz w:val="28"/>
                <w:szCs w:val="28"/>
              </w:rPr>
              <w:t xml:space="preserve"> </w:t>
            </w:r>
            <w:r>
              <w:rPr>
                <w:rFonts w:eastAsia="仿宋_GB2312" w:hint="eastAsia"/>
                <w:sz w:val="28"/>
                <w:szCs w:val="28"/>
              </w:rPr>
              <w:t>用于法规的要求</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0778E3">
        <w:trPr>
          <w:trHeight w:val="568"/>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YY/T 0664</w:t>
            </w:r>
            <w:r>
              <w:rPr>
                <w:rFonts w:eastAsia="仿宋_GB2312" w:hint="eastAsia"/>
                <w:sz w:val="28"/>
                <w:szCs w:val="28"/>
              </w:rPr>
              <w:t>医疗器械软件</w:t>
            </w:r>
            <w:r>
              <w:rPr>
                <w:rFonts w:eastAsia="仿宋_GB2312" w:hint="eastAsia"/>
                <w:sz w:val="28"/>
                <w:szCs w:val="28"/>
              </w:rPr>
              <w:t xml:space="preserve"> </w:t>
            </w:r>
            <w:r>
              <w:rPr>
                <w:rFonts w:eastAsia="仿宋_GB2312" w:hint="eastAsia"/>
                <w:sz w:val="28"/>
                <w:szCs w:val="28"/>
              </w:rPr>
              <w:t>软件生存周期过程</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r w:rsidR="005B570A" w:rsidTr="00FD64B2">
        <w:trPr>
          <w:trHeight w:val="23"/>
          <w:jc w:val="center"/>
        </w:trPr>
        <w:tc>
          <w:tcPr>
            <w:tcW w:w="7013" w:type="dxa"/>
            <w:vAlign w:val="center"/>
          </w:tcPr>
          <w:p w:rsidR="005B570A" w:rsidRDefault="005B570A" w:rsidP="00FD64B2">
            <w:pPr>
              <w:adjustRightInd w:val="0"/>
              <w:snapToGrid w:val="0"/>
              <w:rPr>
                <w:rFonts w:eastAsia="仿宋_GB2312"/>
                <w:sz w:val="28"/>
                <w:szCs w:val="28"/>
              </w:rPr>
            </w:pPr>
            <w:r>
              <w:rPr>
                <w:rFonts w:eastAsia="仿宋_GB2312" w:hint="eastAsia"/>
                <w:sz w:val="28"/>
                <w:szCs w:val="28"/>
              </w:rPr>
              <w:t>YY/T 1833</w:t>
            </w:r>
            <w:r>
              <w:rPr>
                <w:rFonts w:eastAsia="仿宋_GB2312"/>
                <w:sz w:val="28"/>
                <w:szCs w:val="28"/>
              </w:rPr>
              <w:t>人工智能医疗器械</w:t>
            </w:r>
            <w:r>
              <w:rPr>
                <w:rFonts w:eastAsia="仿宋_GB2312"/>
                <w:sz w:val="28"/>
                <w:szCs w:val="28"/>
              </w:rPr>
              <w:t xml:space="preserve"> </w:t>
            </w:r>
            <w:r>
              <w:rPr>
                <w:rFonts w:eastAsia="仿宋_GB2312"/>
                <w:sz w:val="28"/>
                <w:szCs w:val="28"/>
              </w:rPr>
              <w:t>质量要求和评价</w:t>
            </w:r>
            <w:r>
              <w:rPr>
                <w:rFonts w:eastAsia="仿宋_GB2312" w:hint="eastAsia"/>
                <w:sz w:val="28"/>
                <w:szCs w:val="28"/>
              </w:rPr>
              <w:t>系列标准</w:t>
            </w:r>
            <w:r>
              <w:rPr>
                <w:rFonts w:eastAsia="仿宋_GB2312" w:hint="eastAsia"/>
                <w:sz w:val="28"/>
                <w:szCs w:val="28"/>
              </w:rPr>
              <w:t xml:space="preserve"> </w:t>
            </w:r>
          </w:p>
        </w:tc>
        <w:tc>
          <w:tcPr>
            <w:tcW w:w="1491" w:type="dxa"/>
            <w:vAlign w:val="center"/>
          </w:tcPr>
          <w:p w:rsidR="005B570A" w:rsidRDefault="005B570A" w:rsidP="00FD64B2">
            <w:pPr>
              <w:adjustRightInd w:val="0"/>
              <w:snapToGrid w:val="0"/>
              <w:jc w:val="center"/>
              <w:rPr>
                <w:rFonts w:eastAsia="仿宋_GB2312"/>
                <w:sz w:val="28"/>
                <w:szCs w:val="28"/>
              </w:rPr>
            </w:pPr>
            <w:r>
              <w:rPr>
                <w:rFonts w:eastAsia="仿宋_GB2312" w:hint="eastAsia"/>
                <w:sz w:val="28"/>
                <w:szCs w:val="28"/>
              </w:rPr>
              <w:t>视情况，</w:t>
            </w:r>
          </w:p>
          <w:p w:rsidR="005B570A" w:rsidRDefault="005B570A" w:rsidP="00FD64B2">
            <w:pPr>
              <w:adjustRightInd w:val="0"/>
              <w:snapToGrid w:val="0"/>
              <w:jc w:val="center"/>
              <w:rPr>
                <w:rFonts w:eastAsia="仿宋_GB2312"/>
                <w:sz w:val="28"/>
                <w:szCs w:val="28"/>
              </w:rPr>
            </w:pPr>
            <w:r>
              <w:rPr>
                <w:rFonts w:eastAsia="仿宋_GB2312" w:hint="eastAsia"/>
                <w:sz w:val="28"/>
                <w:szCs w:val="28"/>
              </w:rPr>
              <w:t>参考使用</w:t>
            </w:r>
          </w:p>
        </w:tc>
      </w:tr>
    </w:tbl>
    <w:p w:rsidR="005B570A" w:rsidRDefault="005B570A" w:rsidP="005B570A">
      <w:pPr>
        <w:rPr>
          <w:rFonts w:eastAsia="仿宋"/>
          <w:szCs w:val="32"/>
        </w:rPr>
      </w:pPr>
    </w:p>
    <w:p w:rsidR="005B570A" w:rsidRDefault="005B570A" w:rsidP="005B570A">
      <w:pPr>
        <w:rPr>
          <w:rFonts w:eastAsia="仿宋"/>
          <w:szCs w:val="32"/>
        </w:rPr>
      </w:pPr>
    </w:p>
    <w:p w:rsidR="005B570A" w:rsidRDefault="005B570A" w:rsidP="005B570A">
      <w:pPr>
        <w:rPr>
          <w:rFonts w:eastAsia="仿宋"/>
          <w:szCs w:val="32"/>
        </w:rPr>
        <w:sectPr w:rsidR="005B570A">
          <w:pgSz w:w="11906" w:h="16838"/>
          <w:pgMar w:top="1440" w:right="1800" w:bottom="1440" w:left="1800" w:header="851" w:footer="992" w:gutter="0"/>
          <w:cols w:space="720"/>
          <w:docGrid w:type="lines" w:linePitch="312"/>
        </w:sect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066D66" w:rsidP="005B570A">
      <w:pPr>
        <w:widowControl/>
        <w:spacing w:line="520" w:lineRule="atLeast"/>
        <w:jc w:val="left"/>
        <w:rPr>
          <w:rFonts w:eastAsia="黑体"/>
          <w:szCs w:val="32"/>
        </w:rPr>
      </w:pPr>
    </w:p>
    <w:p w:rsidR="00066D66" w:rsidRDefault="005B570A" w:rsidP="005B570A">
      <w:pPr>
        <w:widowControl/>
        <w:spacing w:line="520" w:lineRule="atLeast"/>
        <w:jc w:val="left"/>
        <w:rPr>
          <w:rFonts w:eastAsia="黑体"/>
          <w:szCs w:val="32"/>
        </w:rPr>
      </w:pPr>
      <w:r>
        <w:rPr>
          <w:rFonts w:eastAsia="黑体" w:hint="eastAsia"/>
          <w:szCs w:val="32"/>
        </w:rPr>
        <w:t>附录</w:t>
      </w:r>
      <w:r>
        <w:rPr>
          <w:rFonts w:eastAsia="黑体" w:hint="eastAsia"/>
          <w:szCs w:val="32"/>
        </w:rPr>
        <w:t xml:space="preserve">4 </w:t>
      </w:r>
    </w:p>
    <w:p w:rsidR="005B570A" w:rsidRPr="00066D66" w:rsidRDefault="005B570A" w:rsidP="00066D66">
      <w:pPr>
        <w:widowControl/>
        <w:spacing w:line="520" w:lineRule="atLeast"/>
        <w:jc w:val="center"/>
        <w:rPr>
          <w:rFonts w:ascii="方正小标宋简体" w:eastAsia="方正小标宋简体"/>
          <w:sz w:val="44"/>
          <w:szCs w:val="44"/>
        </w:rPr>
      </w:pPr>
      <w:r w:rsidRPr="00066D66">
        <w:rPr>
          <w:rFonts w:ascii="方正小标宋简体" w:eastAsia="方正小标宋简体" w:hint="eastAsia"/>
          <w:sz w:val="44"/>
          <w:szCs w:val="44"/>
        </w:rPr>
        <w:t>医疗器械安全和性能基本原则清单</w:t>
      </w:r>
    </w:p>
    <w:p w:rsidR="005B570A" w:rsidRPr="00066D66" w:rsidRDefault="005B570A" w:rsidP="002925B7">
      <w:pPr>
        <w:widowControl/>
        <w:spacing w:line="440" w:lineRule="atLeast"/>
        <w:jc w:val="left"/>
        <w:rPr>
          <w:rFonts w:ascii="方正小标宋简体" w:eastAsia="方正小标宋简体"/>
          <w:sz w:val="44"/>
          <w:szCs w:val="4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6938"/>
        <w:gridCol w:w="1418"/>
      </w:tblGrid>
      <w:tr w:rsidR="005B570A" w:rsidTr="002925B7">
        <w:trPr>
          <w:trHeight w:val="501"/>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0778E3" w:rsidRDefault="005B570A" w:rsidP="00FD64B2">
            <w:pPr>
              <w:pStyle w:val="aff5"/>
              <w:spacing w:line="300" w:lineRule="exact"/>
              <w:jc w:val="center"/>
              <w:rPr>
                <w:rFonts w:ascii="仿宋_GB2312" w:eastAsia="仿宋_GB2312" w:hAnsi="Times New Roman"/>
                <w:b/>
                <w:bCs w:val="0"/>
                <w:color w:val="auto"/>
                <w:kern w:val="2"/>
                <w:sz w:val="28"/>
                <w:szCs w:val="28"/>
              </w:rPr>
            </w:pPr>
            <w:r w:rsidRPr="000778E3">
              <w:rPr>
                <w:rFonts w:ascii="仿宋_GB2312" w:eastAsia="仿宋_GB2312" w:hAnsi="Times New Roman" w:hint="eastAsia"/>
                <w:b/>
                <w:bCs w:val="0"/>
                <w:color w:val="auto"/>
                <w:kern w:val="2"/>
                <w:sz w:val="28"/>
                <w:szCs w:val="28"/>
              </w:rPr>
              <w:t>条款</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0778E3" w:rsidRDefault="005B570A" w:rsidP="00FD64B2">
            <w:pPr>
              <w:pStyle w:val="aff5"/>
              <w:spacing w:line="300" w:lineRule="exact"/>
              <w:ind w:firstLine="420"/>
              <w:jc w:val="center"/>
              <w:rPr>
                <w:rFonts w:ascii="仿宋_GB2312" w:eastAsia="仿宋_GB2312" w:hAnsi="Times New Roman"/>
                <w:b/>
                <w:bCs w:val="0"/>
                <w:color w:val="auto"/>
                <w:kern w:val="2"/>
                <w:sz w:val="28"/>
                <w:szCs w:val="28"/>
              </w:rPr>
            </w:pPr>
            <w:r w:rsidRPr="000778E3">
              <w:rPr>
                <w:rFonts w:ascii="仿宋_GB2312" w:eastAsia="仿宋_GB2312" w:hAnsi="Times New Roman" w:hint="eastAsia"/>
                <w:b/>
                <w:bCs w:val="0"/>
                <w:color w:val="auto"/>
                <w:kern w:val="2"/>
                <w:sz w:val="28"/>
                <w:szCs w:val="28"/>
              </w:rPr>
              <w:t>要求</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0778E3" w:rsidRDefault="005B570A" w:rsidP="00FD64B2">
            <w:pPr>
              <w:pStyle w:val="aff7"/>
              <w:spacing w:line="300" w:lineRule="exact"/>
              <w:jc w:val="both"/>
              <w:rPr>
                <w:rFonts w:ascii="仿宋_GB2312" w:eastAsia="仿宋_GB2312" w:hAnsi="Times New Roman"/>
                <w:b/>
                <w:bCs w:val="0"/>
                <w:color w:val="auto"/>
                <w:kern w:val="2"/>
                <w:sz w:val="28"/>
                <w:szCs w:val="28"/>
              </w:rPr>
            </w:pPr>
            <w:r w:rsidRPr="000778E3">
              <w:rPr>
                <w:rFonts w:ascii="仿宋_GB2312" w:eastAsia="仿宋_GB2312" w:hAnsi="Times New Roman" w:hint="eastAsia"/>
                <w:b/>
                <w:bCs w:val="0"/>
                <w:color w:val="auto"/>
                <w:kern w:val="2"/>
                <w:sz w:val="28"/>
                <w:szCs w:val="28"/>
              </w:rPr>
              <w:t>适用情况</w:t>
            </w:r>
          </w:p>
        </w:tc>
      </w:tr>
      <w:tr w:rsidR="005B570A" w:rsidRPr="002925B7" w:rsidTr="002925B7">
        <w:trPr>
          <w:trHeight w:val="420"/>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bCs/>
                <w:kern w:val="0"/>
                <w:sz w:val="28"/>
                <w:szCs w:val="28"/>
              </w:rPr>
              <w:t>A</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400" w:lineRule="exact"/>
              <w:rPr>
                <w:kern w:val="0"/>
                <w:sz w:val="28"/>
                <w:szCs w:val="28"/>
              </w:rPr>
            </w:pPr>
            <w:r w:rsidRPr="002925B7">
              <w:rPr>
                <w:kern w:val="0"/>
                <w:sz w:val="28"/>
                <w:szCs w:val="28"/>
              </w:rPr>
              <w:t>安全和性能的通用基本原则</w:t>
            </w:r>
          </w:p>
        </w:tc>
      </w:tr>
      <w:tr w:rsidR="005B570A" w:rsidRPr="002925B7" w:rsidTr="002925B7">
        <w:trPr>
          <w:trHeight w:val="412"/>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40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一般原则</w:t>
            </w:r>
          </w:p>
        </w:tc>
      </w:tr>
      <w:tr w:rsidR="005B570A" w:rsidRPr="002925B7" w:rsidTr="002925B7">
        <w:trPr>
          <w:trHeight w:val="2119"/>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400" w:lineRule="exact"/>
              <w:rPr>
                <w:kern w:val="0"/>
                <w:sz w:val="28"/>
                <w:szCs w:val="28"/>
              </w:rPr>
            </w:pPr>
            <w:r w:rsidRPr="002925B7">
              <w:rPr>
                <w:kern w:val="0"/>
                <w:sz w:val="28"/>
                <w:szCs w:val="28"/>
              </w:rPr>
              <w:t>医疗器械应当实现</w:t>
            </w:r>
            <w:r w:rsidRPr="002925B7">
              <w:rPr>
                <w:rFonts w:hint="eastAsia"/>
                <w:kern w:val="0"/>
                <w:sz w:val="28"/>
                <w:szCs w:val="28"/>
              </w:rPr>
              <w:t>注册申请人</w:t>
            </w:r>
            <w:r w:rsidRPr="002925B7">
              <w:rPr>
                <w:kern w:val="0"/>
                <w:sz w:val="28"/>
                <w:szCs w:val="28"/>
              </w:rPr>
              <w:t>的预期性能，其设计和生产应当确保器械在预期使用条件下达到预期目的。这些器械应当是安全的并且能够实现其预期性能，与受益相比，其风险应当是可接受的，且不会损害医疗环境、安全、使用者及他人的安全和健康。</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6781"/>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400" w:lineRule="exact"/>
              <w:rPr>
                <w:kern w:val="0"/>
                <w:sz w:val="28"/>
                <w:szCs w:val="28"/>
              </w:rPr>
            </w:pPr>
            <w:r w:rsidRPr="002925B7">
              <w:rPr>
                <w:rFonts w:hint="eastAsia"/>
                <w:kern w:val="0"/>
                <w:sz w:val="28"/>
                <w:szCs w:val="28"/>
              </w:rPr>
              <w:t>注册申请人</w:t>
            </w:r>
            <w:r w:rsidRPr="002925B7">
              <w:rPr>
                <w:kern w:val="0"/>
                <w:sz w:val="28"/>
                <w:szCs w:val="28"/>
              </w:rPr>
              <w:t>应当建立、实施、形成文件和维护风险管理体系，确保医疗器械安全、有效且质量可控。在医疗器械全生命周期内，风险管理是一个持续、反复的过程，需要定期进行系统性的改进更新。在开展风险管理时，</w:t>
            </w:r>
            <w:r w:rsidRPr="002925B7">
              <w:rPr>
                <w:rFonts w:hint="eastAsia"/>
                <w:kern w:val="0"/>
                <w:sz w:val="28"/>
                <w:szCs w:val="28"/>
              </w:rPr>
              <w:t>注册申请人</w:t>
            </w:r>
            <w:r w:rsidRPr="002925B7">
              <w:rPr>
                <w:kern w:val="0"/>
                <w:sz w:val="28"/>
                <w:szCs w:val="28"/>
              </w:rPr>
              <w:t>应当：</w:t>
            </w:r>
          </w:p>
          <w:p w:rsidR="005B570A" w:rsidRPr="002925B7" w:rsidRDefault="005B570A" w:rsidP="002925B7">
            <w:pPr>
              <w:spacing w:line="4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建立涵盖所有医疗器械风险管理计划并形成文件；</w:t>
            </w:r>
          </w:p>
          <w:p w:rsidR="005B570A" w:rsidRPr="002925B7" w:rsidRDefault="005B570A" w:rsidP="002925B7">
            <w:pPr>
              <w:spacing w:line="4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识别并分析涵盖所有医疗器械的相关的已知和</w:t>
            </w:r>
            <w:proofErr w:type="gramStart"/>
            <w:r w:rsidRPr="002925B7">
              <w:rPr>
                <w:kern w:val="0"/>
                <w:sz w:val="28"/>
                <w:szCs w:val="28"/>
              </w:rPr>
              <w:t>可</w:t>
            </w:r>
            <w:proofErr w:type="gramEnd"/>
            <w:r w:rsidRPr="002925B7">
              <w:rPr>
                <w:kern w:val="0"/>
                <w:sz w:val="28"/>
                <w:szCs w:val="28"/>
              </w:rPr>
              <w:t>预见的危险（源）；</w:t>
            </w:r>
          </w:p>
          <w:p w:rsidR="005B570A" w:rsidRPr="002925B7" w:rsidRDefault="005B570A" w:rsidP="002925B7">
            <w:pPr>
              <w:spacing w:line="40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估计和评价在预期使用和</w:t>
            </w:r>
            <w:proofErr w:type="gramStart"/>
            <w:r w:rsidRPr="002925B7">
              <w:rPr>
                <w:kern w:val="0"/>
                <w:sz w:val="28"/>
                <w:szCs w:val="28"/>
              </w:rPr>
              <w:t>可</w:t>
            </w:r>
            <w:proofErr w:type="gramEnd"/>
            <w:r w:rsidRPr="002925B7">
              <w:rPr>
                <w:kern w:val="0"/>
                <w:sz w:val="28"/>
                <w:szCs w:val="28"/>
              </w:rPr>
              <w:t>合理预见的</w:t>
            </w:r>
            <w:proofErr w:type="gramStart"/>
            <w:r w:rsidRPr="002925B7">
              <w:rPr>
                <w:kern w:val="0"/>
                <w:sz w:val="28"/>
                <w:szCs w:val="28"/>
              </w:rPr>
              <w:t>误使用</w:t>
            </w:r>
            <w:proofErr w:type="gramEnd"/>
            <w:r w:rsidRPr="002925B7">
              <w:rPr>
                <w:kern w:val="0"/>
                <w:sz w:val="28"/>
                <w:szCs w:val="28"/>
              </w:rPr>
              <w:t>过程中，发生的相关风险；</w:t>
            </w:r>
          </w:p>
          <w:p w:rsidR="005B570A" w:rsidRPr="002925B7" w:rsidRDefault="005B570A" w:rsidP="002925B7">
            <w:pPr>
              <w:spacing w:line="400" w:lineRule="exact"/>
              <w:rPr>
                <w:kern w:val="0"/>
                <w:sz w:val="28"/>
                <w:szCs w:val="28"/>
              </w:rPr>
            </w:pPr>
            <w:r w:rsidRPr="002925B7">
              <w:rPr>
                <w:kern w:val="0"/>
                <w:sz w:val="28"/>
                <w:szCs w:val="28"/>
              </w:rPr>
              <w:t>d)</w:t>
            </w:r>
            <w:r w:rsidRPr="002925B7">
              <w:rPr>
                <w:kern w:val="0"/>
                <w:sz w:val="28"/>
                <w:szCs w:val="28"/>
              </w:rPr>
              <w:tab/>
            </w:r>
            <w:r w:rsidRPr="002925B7">
              <w:rPr>
                <w:kern w:val="0"/>
                <w:sz w:val="28"/>
                <w:szCs w:val="28"/>
              </w:rPr>
              <w:t>依据</w:t>
            </w:r>
            <w:r w:rsidRPr="002925B7">
              <w:rPr>
                <w:kern w:val="0"/>
                <w:sz w:val="28"/>
                <w:szCs w:val="28"/>
              </w:rPr>
              <w:t>A1.3</w:t>
            </w:r>
            <w:r w:rsidRPr="002925B7">
              <w:rPr>
                <w:kern w:val="0"/>
                <w:sz w:val="28"/>
                <w:szCs w:val="28"/>
              </w:rPr>
              <w:t>和</w:t>
            </w:r>
            <w:r w:rsidRPr="002925B7">
              <w:rPr>
                <w:kern w:val="0"/>
                <w:sz w:val="28"/>
                <w:szCs w:val="28"/>
              </w:rPr>
              <w:t>A1.4</w:t>
            </w:r>
            <w:r w:rsidRPr="002925B7">
              <w:rPr>
                <w:kern w:val="0"/>
                <w:sz w:val="28"/>
                <w:szCs w:val="28"/>
              </w:rPr>
              <w:t>相关要求，消除或控制</w:t>
            </w:r>
            <w:r w:rsidRPr="002925B7">
              <w:rPr>
                <w:kern w:val="0"/>
                <w:sz w:val="28"/>
                <w:szCs w:val="28"/>
              </w:rPr>
              <w:t>c</w:t>
            </w:r>
            <w:r w:rsidRPr="002925B7">
              <w:rPr>
                <w:kern w:val="0"/>
                <w:sz w:val="28"/>
                <w:szCs w:val="28"/>
              </w:rPr>
              <w:t>）点所述的风险；</w:t>
            </w:r>
          </w:p>
          <w:p w:rsidR="005B570A" w:rsidRPr="002925B7" w:rsidRDefault="005B570A" w:rsidP="002925B7">
            <w:pPr>
              <w:spacing w:line="400" w:lineRule="exact"/>
              <w:rPr>
                <w:kern w:val="0"/>
                <w:sz w:val="28"/>
                <w:szCs w:val="28"/>
              </w:rPr>
            </w:pPr>
            <w:r w:rsidRPr="002925B7">
              <w:rPr>
                <w:kern w:val="0"/>
                <w:sz w:val="28"/>
                <w:szCs w:val="28"/>
              </w:rPr>
              <w:t>e)</w:t>
            </w:r>
            <w:r w:rsidRPr="002925B7">
              <w:rPr>
                <w:kern w:val="0"/>
                <w:sz w:val="28"/>
                <w:szCs w:val="28"/>
              </w:rPr>
              <w:tab/>
            </w:r>
            <w:r w:rsidRPr="002925B7">
              <w:rPr>
                <w:kern w:val="0"/>
                <w:sz w:val="28"/>
                <w:szCs w:val="28"/>
              </w:rPr>
              <w:t>评价生产和生产后阶段信息对综合风险、风险受益判定和风险可接受性的影响。上述评价应当包括先前未识别的危险（源）或危险情况，</w:t>
            </w:r>
            <w:proofErr w:type="gramStart"/>
            <w:r w:rsidRPr="002925B7">
              <w:rPr>
                <w:kern w:val="0"/>
                <w:sz w:val="28"/>
                <w:szCs w:val="28"/>
              </w:rPr>
              <w:t>由危险</w:t>
            </w:r>
            <w:proofErr w:type="gramEnd"/>
            <w:r w:rsidRPr="002925B7">
              <w:rPr>
                <w:kern w:val="0"/>
                <w:sz w:val="28"/>
                <w:szCs w:val="28"/>
              </w:rPr>
              <w:t>情况导致的一个或多个风险对可接受性的影响，以及对先进技术水平的改变等。</w:t>
            </w:r>
            <w:r w:rsidRPr="002925B7">
              <w:rPr>
                <w:kern w:val="0"/>
                <w:sz w:val="28"/>
                <w:szCs w:val="28"/>
              </w:rPr>
              <w:t>f)</w:t>
            </w:r>
            <w:r w:rsidRPr="002925B7">
              <w:rPr>
                <w:kern w:val="0"/>
                <w:sz w:val="28"/>
                <w:szCs w:val="28"/>
              </w:rPr>
              <w:tab/>
            </w:r>
            <w:r w:rsidRPr="002925B7">
              <w:rPr>
                <w:kern w:val="0"/>
                <w:sz w:val="28"/>
                <w:szCs w:val="28"/>
              </w:rPr>
              <w:t>基于对</w:t>
            </w:r>
            <w:r w:rsidRPr="002925B7">
              <w:rPr>
                <w:kern w:val="0"/>
                <w:sz w:val="28"/>
                <w:szCs w:val="28"/>
              </w:rPr>
              <w:t>e</w:t>
            </w:r>
            <w:r w:rsidRPr="002925B7">
              <w:rPr>
                <w:kern w:val="0"/>
                <w:sz w:val="28"/>
                <w:szCs w:val="28"/>
              </w:rPr>
              <w:t>）点所述信息影响的评价，必要时修改控制措施以符合</w:t>
            </w:r>
            <w:r w:rsidRPr="002925B7">
              <w:rPr>
                <w:kern w:val="0"/>
                <w:sz w:val="28"/>
                <w:szCs w:val="28"/>
              </w:rPr>
              <w:t>A1.3</w:t>
            </w:r>
            <w:r w:rsidRPr="002925B7">
              <w:rPr>
                <w:kern w:val="0"/>
                <w:sz w:val="28"/>
                <w:szCs w:val="28"/>
              </w:rPr>
              <w:t>和</w:t>
            </w:r>
            <w:r w:rsidRPr="002925B7">
              <w:rPr>
                <w:kern w:val="0"/>
                <w:sz w:val="28"/>
                <w:szCs w:val="28"/>
              </w:rPr>
              <w:t>A1.4</w:t>
            </w:r>
            <w:r w:rsidRPr="002925B7">
              <w:rPr>
                <w:kern w:val="0"/>
                <w:sz w:val="28"/>
                <w:szCs w:val="28"/>
              </w:rPr>
              <w:t>相关要求。</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3817"/>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w:t>
            </w:r>
            <w:r w:rsidRPr="002925B7">
              <w:rPr>
                <w:rFonts w:hint="eastAsia"/>
                <w:kern w:val="0"/>
                <w:sz w:val="28"/>
                <w:szCs w:val="28"/>
              </w:rPr>
              <w:t>注册申请人</w:t>
            </w:r>
            <w:r w:rsidRPr="002925B7">
              <w:rPr>
                <w:kern w:val="0"/>
                <w:sz w:val="28"/>
                <w:szCs w:val="28"/>
              </w:rPr>
              <w:t>在设计和生产过程中采取的风险控制措施，应当遵循安全原则，采用先进技术。需要降低风险时，</w:t>
            </w:r>
            <w:r w:rsidRPr="002925B7">
              <w:rPr>
                <w:rFonts w:hint="eastAsia"/>
                <w:kern w:val="0"/>
                <w:sz w:val="28"/>
                <w:szCs w:val="28"/>
              </w:rPr>
              <w:t>注册申请人</w:t>
            </w:r>
            <w:r w:rsidRPr="002925B7">
              <w:rPr>
                <w:kern w:val="0"/>
                <w:sz w:val="28"/>
                <w:szCs w:val="28"/>
              </w:rPr>
              <w:t>应当控制风险，确保每个危险（源）相关的剩余风险和总体剩余风险是可接受的。在选择最合适的解决方案时，</w:t>
            </w:r>
            <w:r w:rsidRPr="002925B7">
              <w:rPr>
                <w:rFonts w:hint="eastAsia"/>
                <w:kern w:val="0"/>
                <w:sz w:val="28"/>
                <w:szCs w:val="28"/>
              </w:rPr>
              <w:t>注册申请人</w:t>
            </w:r>
            <w:r w:rsidRPr="002925B7">
              <w:rPr>
                <w:kern w:val="0"/>
                <w:sz w:val="28"/>
                <w:szCs w:val="28"/>
              </w:rPr>
              <w:t>应当按以下优先顺序进行：</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通过安全设计和生产消除或适当降低风险；</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适用时，对无法消除的风险采取充分的防护措施，包括必要的警报；</w:t>
            </w:r>
          </w:p>
          <w:p w:rsidR="005B570A" w:rsidRPr="002925B7" w:rsidRDefault="005B570A" w:rsidP="002925B7">
            <w:pPr>
              <w:spacing w:line="52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提供安全信息（警告</w:t>
            </w:r>
            <w:r w:rsidRPr="002925B7">
              <w:rPr>
                <w:kern w:val="0"/>
                <w:sz w:val="28"/>
                <w:szCs w:val="28"/>
              </w:rPr>
              <w:t>/</w:t>
            </w:r>
            <w:r w:rsidRPr="002925B7">
              <w:rPr>
                <w:kern w:val="0"/>
                <w:sz w:val="28"/>
                <w:szCs w:val="28"/>
              </w:rPr>
              <w:t>预防措施</w:t>
            </w:r>
            <w:r w:rsidRPr="002925B7">
              <w:rPr>
                <w:kern w:val="0"/>
                <w:sz w:val="28"/>
                <w:szCs w:val="28"/>
              </w:rPr>
              <w:t>/</w:t>
            </w:r>
            <w:r w:rsidRPr="002925B7">
              <w:rPr>
                <w:kern w:val="0"/>
                <w:sz w:val="28"/>
                <w:szCs w:val="28"/>
              </w:rPr>
              <w:t>禁忌证），适当时，向使用者提供培训。</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837"/>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注册申请人</w:t>
            </w:r>
            <w:r w:rsidRPr="002925B7">
              <w:rPr>
                <w:kern w:val="0"/>
                <w:sz w:val="28"/>
                <w:szCs w:val="28"/>
              </w:rPr>
              <w:t>应当告知使用者所有相关的剩余风险。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2394"/>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在消除或降低与使用有关的风险时，</w:t>
            </w:r>
            <w:r w:rsidRPr="002925B7">
              <w:rPr>
                <w:rFonts w:hint="eastAsia"/>
                <w:kern w:val="0"/>
                <w:sz w:val="28"/>
                <w:szCs w:val="28"/>
              </w:rPr>
              <w:t>注册申请人</w:t>
            </w:r>
            <w:r w:rsidRPr="002925B7">
              <w:rPr>
                <w:kern w:val="0"/>
                <w:sz w:val="28"/>
                <w:szCs w:val="28"/>
              </w:rPr>
              <w:t>应该：</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适当降低医疗器械的特性（如人体工程学</w:t>
            </w:r>
            <w:r w:rsidRPr="002925B7">
              <w:rPr>
                <w:kern w:val="0"/>
                <w:sz w:val="28"/>
                <w:szCs w:val="28"/>
              </w:rPr>
              <w:t>/</w:t>
            </w:r>
            <w:r w:rsidRPr="002925B7">
              <w:rPr>
                <w:kern w:val="0"/>
                <w:sz w:val="28"/>
                <w:szCs w:val="28"/>
              </w:rPr>
              <w:t>可用性）和预期使用环境（如灰尘和湿度）可能带来的风险；</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考虑预期使用者的技术知识、经验、教育背景、培训、身体状况（如适用）以及使用环境。</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1549"/>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A1.6</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在</w:t>
            </w:r>
            <w:r w:rsidRPr="002925B7">
              <w:rPr>
                <w:rFonts w:hint="eastAsia"/>
                <w:kern w:val="0"/>
                <w:sz w:val="28"/>
                <w:szCs w:val="28"/>
              </w:rPr>
              <w:t>注册申请人</w:t>
            </w:r>
            <w:r w:rsidRPr="002925B7">
              <w:rPr>
                <w:kern w:val="0"/>
                <w:sz w:val="28"/>
                <w:szCs w:val="28"/>
              </w:rPr>
              <w:t>规定的生命周期内，在正常使用、维护和校准（如适用）情况下，外力不应对医疗器械的特性和性能造成不利影响，以致损害、使用者及他人的健康和安全。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2266"/>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A1.7</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医疗器械的设计、生产和包装，包括</w:t>
            </w:r>
            <w:r w:rsidRPr="002925B7">
              <w:rPr>
                <w:rFonts w:hint="eastAsia"/>
                <w:kern w:val="0"/>
                <w:sz w:val="28"/>
                <w:szCs w:val="28"/>
              </w:rPr>
              <w:t>注册申请人</w:t>
            </w:r>
            <w:r w:rsidRPr="002925B7">
              <w:rPr>
                <w:kern w:val="0"/>
                <w:sz w:val="28"/>
                <w:szCs w:val="28"/>
              </w:rPr>
              <w:t>所提供的说明和信息，应当确保在按照预期用途使用时，运输和贮存条件（例如：震动、振动、温度和湿度的波动）不会对医疗器械的特性和性能，包括完整性和清洁度，造成不利影响。</w:t>
            </w:r>
            <w:r w:rsidRPr="002925B7">
              <w:rPr>
                <w:rFonts w:hint="eastAsia"/>
                <w:kern w:val="0"/>
                <w:sz w:val="28"/>
                <w:szCs w:val="28"/>
              </w:rPr>
              <w:t>注册申请人</w:t>
            </w:r>
            <w:r w:rsidRPr="002925B7">
              <w:rPr>
                <w:kern w:val="0"/>
                <w:sz w:val="28"/>
                <w:szCs w:val="28"/>
              </w:rPr>
              <w:t>应能确保有效期内医疗器械的性能、安全和无菌保证水平。</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1122"/>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A1.8</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在货架有效期内、开封后的使用期间，以及运输或送货期间，医疗器械应具有可接受的稳定性。</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A1.9</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在正常使用条件下，基于当前先进技术水平，比较医疗器械性能带来的受益，所有已知的、可预见的风险以及任何不良副作用应最小化且可接受。</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70"/>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A2</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临床评价</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A2.1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9"/>
              <w:spacing w:line="520" w:lineRule="exact"/>
              <w:ind w:firstLineChars="0" w:firstLine="0"/>
              <w:rPr>
                <w:sz w:val="28"/>
                <w:szCs w:val="28"/>
              </w:rPr>
            </w:pPr>
            <w:r w:rsidRPr="002925B7">
              <w:rPr>
                <w:sz w:val="28"/>
                <w:szCs w:val="28"/>
              </w:rPr>
              <w:t>基于监管要求，医疗器械可能需要进行临床评价（如适用）。所谓临床评价，就是对临床数据进行评估，确定医疗器械具有可接受的风险受益比，包括以下几种形式：</w:t>
            </w:r>
          </w:p>
          <w:p w:rsidR="005B570A" w:rsidRPr="002925B7" w:rsidRDefault="005B570A" w:rsidP="002925B7">
            <w:pPr>
              <w:pStyle w:val="a9"/>
              <w:spacing w:line="520" w:lineRule="exact"/>
              <w:ind w:firstLineChars="0" w:firstLine="0"/>
              <w:rPr>
                <w:sz w:val="28"/>
                <w:szCs w:val="28"/>
              </w:rPr>
            </w:pPr>
            <w:r w:rsidRPr="002925B7">
              <w:rPr>
                <w:sz w:val="28"/>
                <w:szCs w:val="28"/>
              </w:rPr>
              <w:t>a)</w:t>
            </w:r>
            <w:r w:rsidRPr="002925B7">
              <w:rPr>
                <w:sz w:val="28"/>
                <w:szCs w:val="28"/>
              </w:rPr>
              <w:tab/>
            </w:r>
            <w:r w:rsidRPr="002925B7">
              <w:rPr>
                <w:sz w:val="28"/>
                <w:szCs w:val="28"/>
              </w:rPr>
              <w:t>临床试验报告</w:t>
            </w:r>
          </w:p>
          <w:p w:rsidR="005B570A" w:rsidRPr="002925B7" w:rsidRDefault="005B570A" w:rsidP="002925B7">
            <w:pPr>
              <w:spacing w:line="520" w:lineRule="exact"/>
              <w:rPr>
                <w:sz w:val="28"/>
                <w:szCs w:val="28"/>
              </w:rPr>
            </w:pPr>
            <w:r w:rsidRPr="002925B7">
              <w:rPr>
                <w:sz w:val="28"/>
                <w:szCs w:val="28"/>
              </w:rPr>
              <w:t>b)</w:t>
            </w:r>
            <w:r w:rsidRPr="002925B7">
              <w:rPr>
                <w:sz w:val="28"/>
                <w:szCs w:val="28"/>
              </w:rPr>
              <w:tab/>
            </w:r>
            <w:r w:rsidRPr="002925B7">
              <w:rPr>
                <w:sz w:val="28"/>
                <w:szCs w:val="28"/>
              </w:rPr>
              <w:t>临床文献资料</w:t>
            </w:r>
          </w:p>
          <w:p w:rsidR="005B570A" w:rsidRPr="002925B7" w:rsidRDefault="005B570A" w:rsidP="002925B7">
            <w:pPr>
              <w:pStyle w:val="a9"/>
              <w:spacing w:line="520" w:lineRule="exact"/>
              <w:ind w:firstLineChars="0" w:firstLine="0"/>
              <w:rPr>
                <w:sz w:val="28"/>
                <w:szCs w:val="28"/>
              </w:rPr>
            </w:pPr>
            <w:r w:rsidRPr="002925B7">
              <w:rPr>
                <w:sz w:val="28"/>
                <w:szCs w:val="28"/>
              </w:rPr>
              <w:t>c)</w:t>
            </w:r>
            <w:r w:rsidRPr="002925B7">
              <w:rPr>
                <w:sz w:val="28"/>
                <w:szCs w:val="28"/>
              </w:rPr>
              <w:tab/>
            </w:r>
            <w:r w:rsidRPr="002925B7">
              <w:rPr>
                <w:sz w:val="28"/>
                <w:szCs w:val="28"/>
              </w:rPr>
              <w:t>临床经验数据</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A2.2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spacing w:val="-4"/>
                <w:kern w:val="0"/>
                <w:sz w:val="28"/>
                <w:szCs w:val="28"/>
              </w:rPr>
            </w:pPr>
            <w:r w:rsidRPr="002925B7">
              <w:rPr>
                <w:spacing w:val="-4"/>
                <w:kern w:val="0"/>
                <w:sz w:val="28"/>
                <w:szCs w:val="28"/>
              </w:rPr>
              <w:t>临床试验的实施应当符合《赫尔辛基宣言》的伦理原则。保护受试者的权利、安全和健康，作为最重要的考虑因素，其重要性超过科学和社会效益。在临床试验的每个步骤，都应理解、遵守和使用上述原则。另外，临床试验方案审批、知情同意等应符合相关法规要求。</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化学、物理和生物学特性</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关于医疗器械的化学、物理和生物学特性，应当特别注意以下几点：</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所用材料和组成成分的选择，需特别考虑：</w:t>
            </w:r>
          </w:p>
          <w:p w:rsidR="005B570A" w:rsidRPr="002925B7" w:rsidRDefault="005B570A" w:rsidP="002925B7">
            <w:pPr>
              <w:spacing w:line="520" w:lineRule="exact"/>
              <w:rPr>
                <w:kern w:val="0"/>
                <w:sz w:val="28"/>
                <w:szCs w:val="28"/>
              </w:rPr>
            </w:pPr>
            <w:r w:rsidRPr="002925B7">
              <w:rPr>
                <w:kern w:val="0"/>
                <w:sz w:val="28"/>
                <w:szCs w:val="28"/>
              </w:rPr>
              <w:t>-</w:t>
            </w:r>
            <w:r w:rsidRPr="002925B7">
              <w:rPr>
                <w:kern w:val="0"/>
                <w:sz w:val="28"/>
                <w:szCs w:val="28"/>
              </w:rPr>
              <w:t>毒性；</w:t>
            </w:r>
          </w:p>
          <w:p w:rsidR="005B570A" w:rsidRPr="002925B7" w:rsidRDefault="005B570A" w:rsidP="002925B7">
            <w:pPr>
              <w:spacing w:line="520" w:lineRule="exact"/>
              <w:rPr>
                <w:kern w:val="0"/>
                <w:sz w:val="28"/>
                <w:szCs w:val="28"/>
              </w:rPr>
            </w:pPr>
            <w:r w:rsidRPr="002925B7">
              <w:rPr>
                <w:kern w:val="0"/>
                <w:sz w:val="28"/>
                <w:szCs w:val="28"/>
              </w:rPr>
              <w:t>-</w:t>
            </w:r>
            <w:r w:rsidRPr="002925B7">
              <w:rPr>
                <w:kern w:val="0"/>
                <w:sz w:val="28"/>
                <w:szCs w:val="28"/>
              </w:rPr>
              <w:t>生物相容性；</w:t>
            </w:r>
          </w:p>
          <w:p w:rsidR="005B570A" w:rsidRPr="002925B7" w:rsidRDefault="005B570A" w:rsidP="002925B7">
            <w:pPr>
              <w:spacing w:line="520" w:lineRule="exact"/>
              <w:rPr>
                <w:kern w:val="0"/>
                <w:sz w:val="28"/>
                <w:szCs w:val="28"/>
              </w:rPr>
            </w:pPr>
            <w:r w:rsidRPr="002925B7">
              <w:rPr>
                <w:kern w:val="0"/>
                <w:sz w:val="28"/>
                <w:szCs w:val="28"/>
              </w:rPr>
              <w:t>-</w:t>
            </w:r>
            <w:r w:rsidRPr="002925B7">
              <w:rPr>
                <w:kern w:val="0"/>
                <w:sz w:val="28"/>
                <w:szCs w:val="28"/>
              </w:rPr>
              <w:t>易燃性；</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工艺对材料性能的影响；</w:t>
            </w:r>
          </w:p>
          <w:p w:rsidR="005B570A" w:rsidRPr="002925B7" w:rsidRDefault="005B570A" w:rsidP="002925B7">
            <w:pPr>
              <w:spacing w:line="52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生物物理学或者建模研究结果应当事先进行验证（如适用）；</w:t>
            </w:r>
          </w:p>
          <w:p w:rsidR="005B570A" w:rsidRPr="002925B7" w:rsidRDefault="005B570A" w:rsidP="002925B7">
            <w:pPr>
              <w:spacing w:line="520" w:lineRule="exact"/>
              <w:rPr>
                <w:kern w:val="0"/>
                <w:sz w:val="28"/>
                <w:szCs w:val="28"/>
              </w:rPr>
            </w:pPr>
            <w:r w:rsidRPr="002925B7">
              <w:rPr>
                <w:kern w:val="0"/>
                <w:sz w:val="28"/>
                <w:szCs w:val="28"/>
              </w:rPr>
              <w:t>d)</w:t>
            </w:r>
            <w:r w:rsidRPr="002925B7">
              <w:rPr>
                <w:kern w:val="0"/>
                <w:sz w:val="28"/>
                <w:szCs w:val="28"/>
              </w:rPr>
              <w:tab/>
            </w:r>
            <w:r w:rsidRPr="002925B7">
              <w:rPr>
                <w:kern w:val="0"/>
                <w:sz w:val="28"/>
                <w:szCs w:val="28"/>
              </w:rPr>
              <w:t>所用材料的机械性能，如适用，应当考虑强度、延展性、断裂强度、耐磨性和抗疲劳性等属性；</w:t>
            </w:r>
          </w:p>
          <w:p w:rsidR="005B570A" w:rsidRPr="002925B7" w:rsidRDefault="005B570A" w:rsidP="002925B7">
            <w:pPr>
              <w:spacing w:line="520" w:lineRule="exact"/>
              <w:rPr>
                <w:kern w:val="0"/>
                <w:sz w:val="28"/>
                <w:szCs w:val="28"/>
              </w:rPr>
            </w:pPr>
            <w:r w:rsidRPr="002925B7">
              <w:rPr>
                <w:kern w:val="0"/>
                <w:sz w:val="28"/>
                <w:szCs w:val="28"/>
              </w:rPr>
              <w:t>e)</w:t>
            </w:r>
            <w:r w:rsidRPr="002925B7">
              <w:rPr>
                <w:kern w:val="0"/>
                <w:sz w:val="28"/>
                <w:szCs w:val="28"/>
              </w:rPr>
              <w:tab/>
            </w:r>
            <w:r w:rsidRPr="002925B7">
              <w:rPr>
                <w:kern w:val="0"/>
                <w:sz w:val="28"/>
                <w:szCs w:val="28"/>
              </w:rPr>
              <w:t>表面特性；</w:t>
            </w:r>
          </w:p>
          <w:p w:rsidR="005B570A" w:rsidRPr="002925B7" w:rsidRDefault="005B570A" w:rsidP="002925B7">
            <w:pPr>
              <w:spacing w:line="520" w:lineRule="exact"/>
              <w:rPr>
                <w:kern w:val="0"/>
                <w:sz w:val="28"/>
                <w:szCs w:val="28"/>
              </w:rPr>
            </w:pPr>
            <w:r w:rsidRPr="002925B7">
              <w:rPr>
                <w:kern w:val="0"/>
                <w:sz w:val="28"/>
                <w:szCs w:val="28"/>
              </w:rPr>
              <w:t>f)</w:t>
            </w:r>
            <w:r w:rsidRPr="002925B7">
              <w:rPr>
                <w:kern w:val="0"/>
                <w:sz w:val="28"/>
                <w:szCs w:val="28"/>
              </w:rPr>
              <w:tab/>
            </w:r>
            <w:r w:rsidRPr="002925B7">
              <w:rPr>
                <w:kern w:val="0"/>
                <w:sz w:val="28"/>
                <w:szCs w:val="28"/>
              </w:rPr>
              <w:t>器械与已规定化学和</w:t>
            </w:r>
            <w:r w:rsidRPr="002925B7">
              <w:rPr>
                <w:kern w:val="0"/>
                <w:sz w:val="28"/>
                <w:szCs w:val="28"/>
              </w:rPr>
              <w:t>/</w:t>
            </w:r>
            <w:r w:rsidRPr="002925B7">
              <w:rPr>
                <w:kern w:val="0"/>
                <w:sz w:val="28"/>
                <w:szCs w:val="28"/>
              </w:rPr>
              <w:t>或物理性能的符合性。</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基于医疗器械的预期用途，医疗器械的设计、生产和包装，应当尽可能减少污染物和残留物对使用者和，以及对从事医疗器械运输、贮存及其他相关人员造成的风险。特别要注意与使用者和暴露组织接触的时间和频次。</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医疗器械的设计和生产应当适当降低析出物（包括滤</w:t>
            </w:r>
            <w:proofErr w:type="gramStart"/>
            <w:r w:rsidRPr="002925B7">
              <w:rPr>
                <w:kern w:val="0"/>
                <w:sz w:val="28"/>
                <w:szCs w:val="28"/>
              </w:rPr>
              <w:t>沥</w:t>
            </w:r>
            <w:proofErr w:type="gramEnd"/>
            <w:r w:rsidRPr="002925B7">
              <w:rPr>
                <w:kern w:val="0"/>
                <w:sz w:val="28"/>
                <w:szCs w:val="28"/>
              </w:rPr>
              <w:t>物和</w:t>
            </w:r>
            <w:r w:rsidRPr="002925B7">
              <w:rPr>
                <w:kern w:val="0"/>
                <w:sz w:val="28"/>
                <w:szCs w:val="28"/>
              </w:rPr>
              <w:t>/</w:t>
            </w:r>
            <w:r w:rsidRPr="002925B7">
              <w:rPr>
                <w:kern w:val="0"/>
                <w:sz w:val="28"/>
                <w:szCs w:val="28"/>
              </w:rPr>
              <w:t>或蒸发物）、降解产物、加工残留物等造成的风险。应当特别注意致癌、致突变或有生殖毒性的泄漏物或滤</w:t>
            </w:r>
            <w:proofErr w:type="gramStart"/>
            <w:r w:rsidRPr="002925B7">
              <w:rPr>
                <w:kern w:val="0"/>
                <w:sz w:val="28"/>
                <w:szCs w:val="28"/>
              </w:rPr>
              <w:t>沥</w:t>
            </w:r>
            <w:proofErr w:type="gramEnd"/>
            <w:r w:rsidRPr="002925B7">
              <w:rPr>
                <w:kern w:val="0"/>
                <w:sz w:val="28"/>
                <w:szCs w:val="28"/>
              </w:rPr>
              <w:t>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医疗器械的设计和生产应当考虑到医疗器械及其预期使用环境的性质，适当降低物质意外进入器械所带来的风险。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A3.5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医疗器械及其生产工艺的设计应当能消除或适当降低对使用者和其他可能接触者的感染风险。设计应当：</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操作安全，易于处理；</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尽量减少医疗器械的微生物泄漏和</w:t>
            </w:r>
            <w:r w:rsidRPr="002925B7">
              <w:rPr>
                <w:kern w:val="0"/>
                <w:sz w:val="28"/>
                <w:szCs w:val="28"/>
              </w:rPr>
              <w:t>/</w:t>
            </w:r>
            <w:r w:rsidRPr="002925B7">
              <w:rPr>
                <w:kern w:val="0"/>
                <w:sz w:val="28"/>
                <w:szCs w:val="28"/>
              </w:rPr>
              <w:t>或使用过程中的感染风险；</w:t>
            </w:r>
          </w:p>
          <w:p w:rsidR="005B570A" w:rsidRPr="002925B7" w:rsidRDefault="005B570A" w:rsidP="002925B7">
            <w:pPr>
              <w:spacing w:line="52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防止医疗器械或其内容物（例如：标本）的微生物污染；</w:t>
            </w:r>
          </w:p>
          <w:p w:rsidR="005B570A" w:rsidRPr="002925B7" w:rsidRDefault="005B570A" w:rsidP="002925B7">
            <w:pPr>
              <w:spacing w:line="520" w:lineRule="exact"/>
              <w:rPr>
                <w:kern w:val="0"/>
                <w:sz w:val="28"/>
                <w:szCs w:val="28"/>
              </w:rPr>
            </w:pPr>
            <w:r w:rsidRPr="002925B7">
              <w:rPr>
                <w:kern w:val="0"/>
                <w:sz w:val="28"/>
                <w:szCs w:val="28"/>
              </w:rPr>
              <w:t>d)</w:t>
            </w:r>
            <w:r w:rsidRPr="002925B7">
              <w:rPr>
                <w:kern w:val="0"/>
                <w:sz w:val="28"/>
                <w:szCs w:val="28"/>
              </w:rPr>
              <w:tab/>
            </w:r>
            <w:r w:rsidRPr="002925B7">
              <w:rPr>
                <w:kern w:val="0"/>
                <w:sz w:val="28"/>
                <w:szCs w:val="28"/>
              </w:rPr>
              <w:t>尽量减少意外风险（例如：割伤和刺伤（如针刺伤）、意外物质溅入眼睛等）。</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Adobe 仿宋 Std R" w:hAnsi="Times New Roman"/>
                <w:bCs w:val="0"/>
                <w:color w:val="auto"/>
                <w:sz w:val="28"/>
                <w:szCs w:val="28"/>
              </w:rPr>
            </w:pPr>
            <w:r w:rsidRPr="002925B7">
              <w:rPr>
                <w:rFonts w:ascii="Times New Roman" w:eastAsia="Adobe 仿宋 Std R" w:hAnsi="Times New Roman"/>
                <w:bCs w:val="0"/>
                <w:color w:val="auto"/>
                <w:sz w:val="28"/>
                <w:szCs w:val="28"/>
              </w:rPr>
              <w:t>A4</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灭菌和微生物污染</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医疗器械其设计应当方便使用者对其进行安全清洁、消毒、灭菌和</w:t>
            </w:r>
            <w:r w:rsidRPr="002925B7">
              <w:rPr>
                <w:kern w:val="0"/>
                <w:sz w:val="28"/>
                <w:szCs w:val="28"/>
              </w:rPr>
              <w:t>/</w:t>
            </w:r>
            <w:r w:rsidRPr="002925B7">
              <w:rPr>
                <w:kern w:val="0"/>
                <w:sz w:val="28"/>
                <w:szCs w:val="28"/>
              </w:rPr>
              <w:t>或重复灭菌（必要时）。</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具有微生物限度要求的医疗器械，其设计、生产和包装应当确保在出厂后，按照</w:t>
            </w:r>
            <w:r w:rsidRPr="002925B7">
              <w:rPr>
                <w:rFonts w:hint="eastAsia"/>
                <w:kern w:val="0"/>
                <w:sz w:val="28"/>
                <w:szCs w:val="28"/>
              </w:rPr>
              <w:t>注册申请人</w:t>
            </w:r>
            <w:r w:rsidRPr="002925B7">
              <w:rPr>
                <w:kern w:val="0"/>
                <w:sz w:val="28"/>
                <w:szCs w:val="28"/>
              </w:rPr>
              <w:t>规定的条件运输和贮存，符合微生物限度要求。</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以无菌状态交付的医疗器械，其设计、生产和包装应按照适当的程序进行，以确保在出厂时无菌。在</w:t>
            </w:r>
            <w:r w:rsidRPr="002925B7">
              <w:rPr>
                <w:rFonts w:hint="eastAsia"/>
                <w:kern w:val="0"/>
                <w:sz w:val="28"/>
                <w:szCs w:val="28"/>
              </w:rPr>
              <w:t>注册申请人</w:t>
            </w:r>
            <w:r w:rsidRPr="002925B7">
              <w:rPr>
                <w:kern w:val="0"/>
                <w:sz w:val="28"/>
                <w:szCs w:val="28"/>
              </w:rPr>
              <w:t>规定的条件下运输和贮存的未破损无菌包装，打开前都应当保持无菌状态。应确保最终使用者可清晰地辨识包装的完整性（例如：防篡改包装）。</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无菌医疗器械应按照经验证的方法进行加工、生产、包装和灭菌，其货架有效期应按照经验证的方法确定。</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预期无菌使用的医疗器械（</w:t>
            </w:r>
            <w:r w:rsidRPr="002925B7">
              <w:rPr>
                <w:rFonts w:hint="eastAsia"/>
                <w:kern w:val="0"/>
                <w:sz w:val="28"/>
                <w:szCs w:val="28"/>
              </w:rPr>
              <w:t>注册申请人</w:t>
            </w:r>
            <w:r w:rsidRPr="002925B7">
              <w:rPr>
                <w:kern w:val="0"/>
                <w:sz w:val="28"/>
                <w:szCs w:val="28"/>
              </w:rPr>
              <w:t>灭菌或使用者灭菌），均应在适当且受控的条件和设施下生产和包装。</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A4.6</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以非无菌状态交付，且使用前灭菌的医疗器械：</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包装应尽量减少产品受到微生物污染的风险，且应适用于</w:t>
            </w:r>
            <w:r w:rsidRPr="002925B7">
              <w:rPr>
                <w:rFonts w:hint="eastAsia"/>
                <w:kern w:val="0"/>
                <w:sz w:val="28"/>
                <w:szCs w:val="28"/>
              </w:rPr>
              <w:t>注册申请人</w:t>
            </w:r>
            <w:r w:rsidRPr="002925B7">
              <w:rPr>
                <w:kern w:val="0"/>
                <w:sz w:val="28"/>
                <w:szCs w:val="28"/>
              </w:rPr>
              <w:t>规定的灭菌方法；</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rFonts w:hint="eastAsia"/>
                <w:kern w:val="0"/>
                <w:sz w:val="28"/>
                <w:szCs w:val="28"/>
              </w:rPr>
              <w:t>注册申请人</w:t>
            </w:r>
            <w:r w:rsidRPr="002925B7">
              <w:rPr>
                <w:kern w:val="0"/>
                <w:sz w:val="28"/>
                <w:szCs w:val="28"/>
              </w:rPr>
              <w:t>规定的灭菌方法应当经过验证。</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A4.7</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proofErr w:type="gramStart"/>
            <w:r w:rsidRPr="002925B7">
              <w:rPr>
                <w:kern w:val="0"/>
                <w:sz w:val="28"/>
                <w:szCs w:val="28"/>
              </w:rPr>
              <w:t>若医疗</w:t>
            </w:r>
            <w:proofErr w:type="gramEnd"/>
            <w:r w:rsidRPr="002925B7">
              <w:rPr>
                <w:kern w:val="0"/>
                <w:sz w:val="28"/>
                <w:szCs w:val="28"/>
              </w:rPr>
              <w:t>器械可以无菌和非无菌状态交付使用，应明确标识其交付状态。</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A5</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环境和使用条件</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如医疗器械预期与其他医疗器械或设备整合使用，应确保整合使用后的系统，包括连接系统，整体的安全性，且不影响器械本身的性能。整合使用上的限制应明确标识和</w:t>
            </w:r>
            <w:r w:rsidRPr="002925B7">
              <w:rPr>
                <w:kern w:val="0"/>
                <w:sz w:val="28"/>
                <w:szCs w:val="28"/>
              </w:rPr>
              <w:t>/</w:t>
            </w:r>
            <w:r w:rsidRPr="002925B7">
              <w:rPr>
                <w:kern w:val="0"/>
                <w:sz w:val="28"/>
                <w:szCs w:val="28"/>
              </w:rPr>
              <w:t>或在使用说明书中明确。对于需要使用者处理的连接，如液体、气体传输、电耦合或机械耦合等，在设计和生产过程中尽可能消除或降低所有可能的风险，包括错误连接或安全危害。</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医疗器械的设计和生产应当考虑预期的使用环境和使用条件，以消除或降低下列风险：</w:t>
            </w:r>
          </w:p>
          <w:p w:rsidR="005B570A" w:rsidRPr="002925B7" w:rsidRDefault="005B570A" w:rsidP="00B63009">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与物理和人体工程学</w:t>
            </w:r>
            <w:r w:rsidRPr="002925B7">
              <w:rPr>
                <w:kern w:val="0"/>
                <w:sz w:val="28"/>
                <w:szCs w:val="28"/>
              </w:rPr>
              <w:t>/</w:t>
            </w:r>
            <w:r w:rsidRPr="002925B7">
              <w:rPr>
                <w:kern w:val="0"/>
                <w:sz w:val="28"/>
                <w:szCs w:val="28"/>
              </w:rPr>
              <w:t>可用性的特性有关，对使用者或他人造成损伤的风险；</w:t>
            </w:r>
          </w:p>
          <w:p w:rsidR="005B570A" w:rsidRPr="002925B7" w:rsidRDefault="005B570A" w:rsidP="00B63009">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由于用户界面设计、人体工程学</w:t>
            </w:r>
            <w:r w:rsidRPr="002925B7">
              <w:rPr>
                <w:kern w:val="0"/>
                <w:sz w:val="28"/>
                <w:szCs w:val="28"/>
              </w:rPr>
              <w:t>/</w:t>
            </w:r>
            <w:r w:rsidRPr="002925B7">
              <w:rPr>
                <w:kern w:val="0"/>
                <w:sz w:val="28"/>
                <w:szCs w:val="28"/>
              </w:rPr>
              <w:t>可用性的特性以及预期使用环境导致的错误操作的风险；</w:t>
            </w:r>
          </w:p>
          <w:p w:rsidR="005B570A" w:rsidRPr="002925B7" w:rsidRDefault="005B570A" w:rsidP="00B63009">
            <w:pPr>
              <w:spacing w:line="50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与合理可预期的外部因素或环境条件有关的风险，如磁场、外部电磁效应、静电释放、诊断和治疗带来的辐射、压力、湿度、温度和</w:t>
            </w:r>
            <w:r w:rsidRPr="002925B7">
              <w:rPr>
                <w:kern w:val="0"/>
                <w:sz w:val="28"/>
                <w:szCs w:val="28"/>
              </w:rPr>
              <w:t>/</w:t>
            </w:r>
            <w:r w:rsidRPr="002925B7">
              <w:rPr>
                <w:kern w:val="0"/>
                <w:sz w:val="28"/>
                <w:szCs w:val="28"/>
              </w:rPr>
              <w:t>或压力和加速度的变化；</w:t>
            </w:r>
          </w:p>
          <w:p w:rsidR="005B570A" w:rsidRPr="002925B7" w:rsidRDefault="005B570A" w:rsidP="00B63009">
            <w:pPr>
              <w:spacing w:line="500" w:lineRule="exact"/>
              <w:rPr>
                <w:kern w:val="0"/>
                <w:sz w:val="28"/>
                <w:szCs w:val="28"/>
              </w:rPr>
            </w:pPr>
            <w:r w:rsidRPr="002925B7">
              <w:rPr>
                <w:kern w:val="0"/>
                <w:sz w:val="28"/>
                <w:szCs w:val="28"/>
              </w:rPr>
              <w:t>d)</w:t>
            </w:r>
            <w:r w:rsidRPr="002925B7">
              <w:rPr>
                <w:kern w:val="0"/>
                <w:sz w:val="28"/>
                <w:szCs w:val="28"/>
              </w:rPr>
              <w:tab/>
            </w:r>
            <w:r w:rsidRPr="002925B7">
              <w:rPr>
                <w:kern w:val="0"/>
                <w:sz w:val="28"/>
                <w:szCs w:val="28"/>
              </w:rPr>
              <w:t>正常使用条件下与固体材料、液体和其他物质，包括气体，接触而产生的风险；</w:t>
            </w:r>
          </w:p>
          <w:p w:rsidR="005B570A" w:rsidRPr="002925B7" w:rsidRDefault="005B570A" w:rsidP="00B63009">
            <w:pPr>
              <w:spacing w:line="500" w:lineRule="exact"/>
              <w:rPr>
                <w:kern w:val="0"/>
                <w:sz w:val="28"/>
                <w:szCs w:val="28"/>
              </w:rPr>
            </w:pPr>
            <w:r w:rsidRPr="002925B7">
              <w:rPr>
                <w:kern w:val="0"/>
                <w:sz w:val="28"/>
                <w:szCs w:val="28"/>
              </w:rPr>
              <w:t>e)</w:t>
            </w:r>
            <w:r w:rsidRPr="002925B7">
              <w:rPr>
                <w:kern w:val="0"/>
                <w:sz w:val="28"/>
                <w:szCs w:val="28"/>
              </w:rPr>
              <w:tab/>
            </w:r>
            <w:r w:rsidRPr="002925B7">
              <w:rPr>
                <w:kern w:val="0"/>
                <w:sz w:val="28"/>
                <w:szCs w:val="28"/>
              </w:rPr>
              <w:t>软件与信息技术（</w:t>
            </w:r>
            <w:r w:rsidRPr="002925B7">
              <w:rPr>
                <w:kern w:val="0"/>
                <w:sz w:val="28"/>
                <w:szCs w:val="28"/>
              </w:rPr>
              <w:t>IT</w:t>
            </w:r>
            <w:r w:rsidRPr="002925B7">
              <w:rPr>
                <w:kern w:val="0"/>
                <w:sz w:val="28"/>
                <w:szCs w:val="28"/>
              </w:rPr>
              <w:t>）运行环境的兼容性造成的风险；</w:t>
            </w:r>
          </w:p>
          <w:p w:rsidR="005B570A" w:rsidRPr="002925B7" w:rsidRDefault="005B570A" w:rsidP="00B63009">
            <w:pPr>
              <w:spacing w:line="500" w:lineRule="exact"/>
              <w:rPr>
                <w:kern w:val="0"/>
                <w:sz w:val="28"/>
                <w:szCs w:val="28"/>
              </w:rPr>
            </w:pPr>
            <w:r w:rsidRPr="002925B7">
              <w:rPr>
                <w:kern w:val="0"/>
                <w:sz w:val="28"/>
                <w:szCs w:val="28"/>
              </w:rPr>
              <w:t>f)</w:t>
            </w:r>
            <w:r w:rsidRPr="002925B7">
              <w:rPr>
                <w:kern w:val="0"/>
                <w:sz w:val="28"/>
                <w:szCs w:val="28"/>
              </w:rPr>
              <w:tab/>
            </w:r>
            <w:r w:rsidRPr="002925B7">
              <w:rPr>
                <w:kern w:val="0"/>
                <w:sz w:val="28"/>
                <w:szCs w:val="28"/>
              </w:rPr>
              <w:t>正常使用过程中，医疗器械非预期析出物导致的环境风险；</w:t>
            </w:r>
          </w:p>
          <w:p w:rsidR="005B570A" w:rsidRPr="002925B7" w:rsidRDefault="005B570A" w:rsidP="00B63009">
            <w:pPr>
              <w:spacing w:line="500" w:lineRule="exact"/>
              <w:rPr>
                <w:kern w:val="0"/>
                <w:sz w:val="28"/>
                <w:szCs w:val="28"/>
              </w:rPr>
            </w:pPr>
            <w:r w:rsidRPr="002925B7">
              <w:rPr>
                <w:kern w:val="0"/>
                <w:sz w:val="28"/>
                <w:szCs w:val="28"/>
              </w:rPr>
              <w:t>g)</w:t>
            </w:r>
            <w:r w:rsidRPr="002925B7">
              <w:rPr>
                <w:kern w:val="0"/>
                <w:sz w:val="28"/>
                <w:szCs w:val="28"/>
              </w:rPr>
              <w:tab/>
            </w:r>
            <w:r w:rsidRPr="002925B7">
              <w:rPr>
                <w:kern w:val="0"/>
                <w:sz w:val="28"/>
                <w:szCs w:val="28"/>
              </w:rPr>
              <w:t>样本</w:t>
            </w:r>
            <w:r w:rsidRPr="002925B7">
              <w:rPr>
                <w:kern w:val="0"/>
                <w:sz w:val="28"/>
                <w:szCs w:val="28"/>
              </w:rPr>
              <w:t>/</w:t>
            </w:r>
            <w:r w:rsidRPr="002925B7">
              <w:rPr>
                <w:kern w:val="0"/>
                <w:sz w:val="28"/>
                <w:szCs w:val="28"/>
              </w:rPr>
              <w:t>样品</w:t>
            </w:r>
            <w:r w:rsidRPr="002925B7">
              <w:rPr>
                <w:kern w:val="0"/>
                <w:sz w:val="28"/>
                <w:szCs w:val="28"/>
              </w:rPr>
              <w:t>/</w:t>
            </w:r>
            <w:r w:rsidRPr="002925B7">
              <w:rPr>
                <w:kern w:val="0"/>
                <w:sz w:val="28"/>
                <w:szCs w:val="28"/>
              </w:rPr>
              <w:t>数据不正确识别和错误结果导致的风险，比如用于分析、测试或检测的样本容器、可拆卸部件和</w:t>
            </w:r>
            <w:r w:rsidRPr="002925B7">
              <w:rPr>
                <w:kern w:val="0"/>
                <w:sz w:val="28"/>
                <w:szCs w:val="28"/>
              </w:rPr>
              <w:t>/</w:t>
            </w:r>
            <w:r w:rsidRPr="002925B7">
              <w:rPr>
                <w:kern w:val="0"/>
                <w:sz w:val="28"/>
                <w:szCs w:val="28"/>
              </w:rPr>
              <w:t>或附件，其颜色和</w:t>
            </w:r>
            <w:r w:rsidRPr="002925B7">
              <w:rPr>
                <w:kern w:val="0"/>
                <w:sz w:val="28"/>
                <w:szCs w:val="28"/>
              </w:rPr>
              <w:t>/</w:t>
            </w:r>
            <w:r w:rsidRPr="002925B7">
              <w:rPr>
                <w:kern w:val="0"/>
                <w:sz w:val="28"/>
                <w:szCs w:val="28"/>
              </w:rPr>
              <w:t>或数字编码混淆；</w:t>
            </w:r>
          </w:p>
          <w:p w:rsidR="005B570A" w:rsidRPr="002925B7" w:rsidRDefault="005B570A" w:rsidP="00B63009">
            <w:pPr>
              <w:spacing w:line="500" w:lineRule="exact"/>
              <w:rPr>
                <w:kern w:val="0"/>
                <w:sz w:val="28"/>
                <w:szCs w:val="28"/>
              </w:rPr>
            </w:pPr>
            <w:r w:rsidRPr="002925B7">
              <w:rPr>
                <w:kern w:val="0"/>
                <w:sz w:val="28"/>
                <w:szCs w:val="28"/>
              </w:rPr>
              <w:t>h)</w:t>
            </w:r>
            <w:r w:rsidRPr="002925B7">
              <w:rPr>
                <w:kern w:val="0"/>
                <w:sz w:val="28"/>
                <w:szCs w:val="28"/>
              </w:rPr>
              <w:tab/>
            </w:r>
            <w:r w:rsidRPr="002925B7">
              <w:rPr>
                <w:kern w:val="0"/>
                <w:sz w:val="28"/>
                <w:szCs w:val="28"/>
              </w:rPr>
              <w:t>与其他用于诊断、监测或治疗的医疗器械互相干扰导致的风险。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医疗器械的设计和生产应当消除或降低在正常状态及单一故障状态下燃烧和爆炸的风险，尤其是预期用途包括暴露于易燃、易爆物质或其他可</w:t>
            </w:r>
            <w:proofErr w:type="gramStart"/>
            <w:r w:rsidRPr="002925B7">
              <w:rPr>
                <w:kern w:val="0"/>
                <w:sz w:val="28"/>
                <w:szCs w:val="28"/>
              </w:rPr>
              <w:t>致燃物相关</w:t>
            </w:r>
            <w:proofErr w:type="gramEnd"/>
            <w:r w:rsidRPr="002925B7">
              <w:rPr>
                <w:kern w:val="0"/>
                <w:sz w:val="28"/>
                <w:szCs w:val="28"/>
              </w:rPr>
              <w:t>的器械联用。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医疗器械的设计和生产应能确保调整、校准和维护过程能够安全有效的完成。</w:t>
            </w:r>
          </w:p>
          <w:p w:rsidR="005B570A" w:rsidRPr="002925B7" w:rsidRDefault="005B570A" w:rsidP="00B63009">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对无法进行维护的医疗器械，如植入物，应尽量降低材料老化等风险；</w:t>
            </w:r>
          </w:p>
          <w:p w:rsidR="005B570A" w:rsidRPr="002925B7" w:rsidRDefault="005B570A" w:rsidP="00B63009">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对无法进行调整和校准的医疗器械，如某些类型的温度计，应尽量降低测量或控制机制精度的损失风险。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与其他医疗器械或产品联合使用的医疗器械，其设计和生产应能保证互操作性和兼容性可靠且安全。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A5.6</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医疗器械的设计和生产应能降低未经授权的访问风险，这种访问可能会妨碍器械正常运行，或造成安全隐患。</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A5.7</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具有测量、监视或有数值显示功能的医疗器械，其设计和生产应当符合人体工程学</w:t>
            </w:r>
            <w:r w:rsidRPr="002925B7">
              <w:rPr>
                <w:kern w:val="0"/>
                <w:sz w:val="28"/>
                <w:szCs w:val="28"/>
              </w:rPr>
              <w:t>/</w:t>
            </w:r>
            <w:r w:rsidRPr="002925B7">
              <w:rPr>
                <w:kern w:val="0"/>
                <w:sz w:val="28"/>
                <w:szCs w:val="28"/>
              </w:rPr>
              <w:t>可用性原则，并应顾及器械预期用途、预期使用者、使用环境。</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A5.8</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医疗器械的设计和生产应便于使用者、或其他人员对</w:t>
            </w:r>
            <w:proofErr w:type="gramStart"/>
            <w:r w:rsidRPr="002925B7">
              <w:rPr>
                <w:kern w:val="0"/>
                <w:sz w:val="28"/>
                <w:szCs w:val="28"/>
              </w:rPr>
              <w:t>其以及</w:t>
            </w:r>
            <w:proofErr w:type="gramEnd"/>
            <w:r w:rsidRPr="002925B7">
              <w:rPr>
                <w:kern w:val="0"/>
                <w:sz w:val="28"/>
                <w:szCs w:val="28"/>
              </w:rPr>
              <w:t>相关废弃物的安全处置或再利用。使用说明书应明确安全处置或回收的程序和方法。</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A6</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对电气、机械和热风险的防护</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A6.1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医疗器械的设计和生产应具有机械相关的防护，保护使用者免于承受由诸如运动阻力、不稳定性和活动部件等引起的机械风险。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A6.2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除非振动是器械特定性能的一部分，否则医疗器械的设计和生产应当将产品振动导致的风险降到最低，应尽量采用限制振动（特别是振动源）的方法。</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A6.3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spacing w:val="-4"/>
                <w:kern w:val="0"/>
                <w:sz w:val="28"/>
                <w:szCs w:val="28"/>
              </w:rPr>
            </w:pPr>
            <w:r w:rsidRPr="002925B7">
              <w:rPr>
                <w:spacing w:val="-4"/>
                <w:kern w:val="0"/>
                <w:sz w:val="28"/>
                <w:szCs w:val="28"/>
              </w:rPr>
              <w:t>除非噪声是器械特定性能的一部分，否则医疗器械设计和生产应将产品噪声导致的风险降到最低，应尽量采用限制噪声（特别是噪声源）的方法。</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A6.4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spacing w:val="-4"/>
                <w:kern w:val="0"/>
                <w:sz w:val="28"/>
                <w:szCs w:val="28"/>
              </w:rPr>
            </w:pPr>
            <w:r w:rsidRPr="002925B7">
              <w:rPr>
                <w:spacing w:val="-4"/>
                <w:kern w:val="0"/>
                <w:sz w:val="28"/>
                <w:szCs w:val="28"/>
              </w:rPr>
              <w:t>如果医疗器械的部件在使用前或使用中需要进行连接或重新连接，其设计和生产应当降低这些部件间的连接故障风险。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A6.5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spacing w:val="-4"/>
                <w:kern w:val="0"/>
                <w:sz w:val="28"/>
                <w:szCs w:val="28"/>
              </w:rPr>
            </w:pPr>
            <w:r w:rsidRPr="002925B7">
              <w:rPr>
                <w:spacing w:val="-4"/>
                <w:kern w:val="0"/>
                <w:sz w:val="28"/>
                <w:szCs w:val="28"/>
              </w:rPr>
              <w:t>医疗器械的可接触部件（不包括用于供热或既定温度设置部位）及其周围环境，在正常使用时不应存在过热风险。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trHeight w:val="291"/>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A7</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有源医疗器械及与其连接的医疗器械</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当有源医疗器械发生单一故障时，应当采取适当的措施消除或降低因此而产生的风险。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安全依赖于内部电源供电的医疗器械，应当具有检测供电状态的功能，并在电源容量不足时提供适当的提示或警告。</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的安全取决于外部电源供电状态的医疗器械，应当包括可显示任何电源故障的报警系统。</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用于监视一个或多个临床指标的医疗器械，必须配备适当报警系统，在健康状况恶化或危及生命时，向使用者发出警报。</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鉴于电磁干扰可能会损害正常运行的装置或设备，医疗器械的设计和生产应降低产生电磁干扰的风险。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适用</w:t>
            </w:r>
          </w:p>
        </w:tc>
      </w:tr>
      <w:tr w:rsidR="005B570A" w:rsidRPr="002925B7" w:rsidTr="002925B7">
        <w:trPr>
          <w:trHeight w:val="334"/>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A7.6</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医疗器械的设计和生产，应确保产品具有足够的抗电磁干扰能力，以确保产品的正常运行。</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A7.7</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当产品按</w:t>
            </w:r>
            <w:r w:rsidRPr="002925B7">
              <w:rPr>
                <w:rFonts w:hint="eastAsia"/>
                <w:kern w:val="0"/>
                <w:sz w:val="28"/>
                <w:szCs w:val="28"/>
              </w:rPr>
              <w:t>注册申请人</w:t>
            </w:r>
            <w:r w:rsidRPr="002925B7">
              <w:rPr>
                <w:kern w:val="0"/>
                <w:sz w:val="28"/>
                <w:szCs w:val="28"/>
              </w:rPr>
              <w:t>的说明进行安装和维护，在正常状态和单一故障状态时，医疗器械的设计和生产应减少使用者和他人免于遭受意外电击的风险。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适用</w:t>
            </w:r>
          </w:p>
        </w:tc>
      </w:tr>
      <w:tr w:rsidR="005B570A" w:rsidRPr="002925B7" w:rsidTr="002925B7">
        <w:trPr>
          <w:trHeight w:val="243"/>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A8</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含有软件的医疗器械以及独立软件</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A8.1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含有电子可编程系统（内含软件组件）的医疗器械或独立软件的设计，应确保准确度、可靠性、精确度、安全和性能符合其预期用途。应采取适当措施，消除或减少单一故障导致的风险或性能降低。</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B63009">
        <w:trPr>
          <w:trHeight w:val="3263"/>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A8.2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含有软件组件的医疗器械或独立软件，应根据先进技术进行开发、生产和维护，同时应当考虑开发生存周期（如快速迭代开发、频繁更新、更新的累积效应）、风险管理（如系统、环境和数据的变化）等原则，包括信息安全（如安全地进行更新）、验证和确认（如更新管理过程）的要求。</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A8.3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预期与移动计算平台整合使用的软件，其设计和开发，应当考虑平台本身（如屏幕尺寸和对比度、联通性、内存等）以及与其使用相关的外部因素（不同环境下的照明或噪声水平）。</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A8.4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注册申请人</w:t>
            </w:r>
            <w:r w:rsidRPr="002925B7">
              <w:rPr>
                <w:kern w:val="0"/>
                <w:sz w:val="28"/>
                <w:szCs w:val="28"/>
              </w:rPr>
              <w:t>应规定软件按照预期正常运行所必须的最低要求，如硬件、</w:t>
            </w:r>
            <w:r w:rsidRPr="002925B7">
              <w:rPr>
                <w:kern w:val="0"/>
                <w:sz w:val="28"/>
                <w:szCs w:val="28"/>
              </w:rPr>
              <w:t>IT</w:t>
            </w:r>
            <w:r w:rsidRPr="002925B7">
              <w:rPr>
                <w:kern w:val="0"/>
                <w:sz w:val="28"/>
                <w:szCs w:val="28"/>
              </w:rPr>
              <w:t>网络特性和</w:t>
            </w:r>
            <w:r w:rsidRPr="002925B7">
              <w:rPr>
                <w:kern w:val="0"/>
                <w:sz w:val="28"/>
                <w:szCs w:val="28"/>
              </w:rPr>
              <w:t>IT</w:t>
            </w:r>
            <w:r w:rsidRPr="002925B7">
              <w:rPr>
                <w:kern w:val="0"/>
                <w:sz w:val="28"/>
                <w:szCs w:val="28"/>
              </w:rPr>
              <w:t>网络安全措施，包括未经授权的访问。</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A8.5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医疗器械的设计、生产和维护应能提供足够的网络安全水平，以防止未经授权的访问。</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A9</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具有诊断或测量功能的医疗器械</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A9.1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具有诊断或测量（包括监测）功能的医疗器械的设计和生产，应当基于适当的科技方法，除其他性能外，还应确保相应的准确度、精密度和稳定性，以实现其预期目的。</w:t>
            </w:r>
          </w:p>
          <w:p w:rsidR="005B570A" w:rsidRPr="002925B7" w:rsidRDefault="005B570A" w:rsidP="002925B7">
            <w:pPr>
              <w:spacing w:line="520" w:lineRule="exact"/>
              <w:rPr>
                <w:kern w:val="0"/>
                <w:sz w:val="28"/>
                <w:szCs w:val="28"/>
              </w:rPr>
            </w:pPr>
            <w:r w:rsidRPr="002925B7">
              <w:rPr>
                <w:kern w:val="0"/>
                <w:sz w:val="28"/>
                <w:szCs w:val="28"/>
              </w:rPr>
              <w:t>a)</w:t>
            </w:r>
            <w:r w:rsidRPr="002925B7">
              <w:rPr>
                <w:kern w:val="0"/>
                <w:sz w:val="28"/>
                <w:szCs w:val="28"/>
              </w:rPr>
              <w:tab/>
            </w:r>
            <w:r w:rsidRPr="002925B7">
              <w:rPr>
                <w:rFonts w:hint="eastAsia"/>
                <w:kern w:val="0"/>
                <w:sz w:val="28"/>
                <w:szCs w:val="28"/>
              </w:rPr>
              <w:t>注册申请人</w:t>
            </w:r>
            <w:r w:rsidRPr="002925B7">
              <w:rPr>
                <w:kern w:val="0"/>
                <w:sz w:val="28"/>
                <w:szCs w:val="28"/>
              </w:rPr>
              <w:t>应规定准确度限值（如适用）。</w:t>
            </w:r>
          </w:p>
          <w:p w:rsidR="005B570A" w:rsidRPr="002925B7" w:rsidRDefault="005B570A" w:rsidP="002925B7">
            <w:pPr>
              <w:spacing w:line="52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为便于使用者理解和接受，数字化测量值应以标准化单位表示（如可能），推荐使用国际通用的标准计量单位，考虑到安全、使用者的熟悉程度和既往的临床实践，也可使用其他公认的计量单位。</w:t>
            </w:r>
          </w:p>
          <w:p w:rsidR="005B570A" w:rsidRPr="002925B7" w:rsidRDefault="005B570A" w:rsidP="002925B7">
            <w:pPr>
              <w:spacing w:line="520" w:lineRule="exact"/>
              <w:rPr>
                <w:kern w:val="0"/>
                <w:sz w:val="28"/>
                <w:szCs w:val="28"/>
              </w:rPr>
            </w:pPr>
            <w:r w:rsidRPr="002925B7">
              <w:rPr>
                <w:kern w:val="0"/>
                <w:sz w:val="28"/>
                <w:szCs w:val="28"/>
              </w:rPr>
              <w:t>c)</w:t>
            </w:r>
            <w:r w:rsidRPr="002925B7">
              <w:rPr>
                <w:kern w:val="0"/>
                <w:sz w:val="28"/>
                <w:szCs w:val="28"/>
              </w:rPr>
              <w:tab/>
            </w:r>
            <w:r w:rsidRPr="002925B7">
              <w:rPr>
                <w:kern w:val="0"/>
                <w:sz w:val="28"/>
                <w:szCs w:val="28"/>
              </w:rPr>
              <w:t>医疗器械导示器和控制器的功能应有详细的说明，若器械通过可视化系统提供与操作、操作指示或调整参数有关的说明，该类信息应能够被使用者和（适用时）理解。</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A10</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说明书和标签</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A10.1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医疗器械应附有识别该器械及其</w:t>
            </w:r>
            <w:r w:rsidRPr="002925B7">
              <w:rPr>
                <w:rFonts w:hint="eastAsia"/>
                <w:kern w:val="0"/>
                <w:sz w:val="28"/>
                <w:szCs w:val="28"/>
              </w:rPr>
              <w:t>注册申请人</w:t>
            </w:r>
            <w:r w:rsidRPr="002925B7">
              <w:rPr>
                <w:kern w:val="0"/>
                <w:sz w:val="28"/>
                <w:szCs w:val="28"/>
              </w:rPr>
              <w:t>所需的信息。每个医疗器械还应附有相关安全和性能信息或相关指示。这些信息可出现在器械本身、包装上或使用说明书中，或者可以通过电子手段（如网站）便捷访问，易于被预期使用者理解。</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辐射防护</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医疗器械的设计、生产和包装应当考虑尽量减少使用者、他人和（如适用）的辐射吸收剂量，同时不影响其诊断或治疗功能。</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B63009">
        <w:trPr>
          <w:trHeight w:val="2366"/>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具有辐射或潜在辐射危害的医疗器械，其操作说明应详细说明辐射的性质，对使用者、他人或（若适用）的防护措施，避免误用的方法，降低运输、贮存和安装的风险。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B63009">
        <w:trPr>
          <w:trHeight w:val="1418"/>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proofErr w:type="gramStart"/>
            <w:r w:rsidRPr="002925B7">
              <w:rPr>
                <w:kern w:val="0"/>
                <w:sz w:val="28"/>
                <w:szCs w:val="28"/>
              </w:rPr>
              <w:t>若医疗</w:t>
            </w:r>
            <w:proofErr w:type="gramEnd"/>
            <w:r w:rsidRPr="002925B7">
              <w:rPr>
                <w:kern w:val="0"/>
                <w:sz w:val="28"/>
                <w:szCs w:val="28"/>
              </w:rPr>
              <w:t>器械有辐射或有潜在辐射危害，应当具备辐射泄漏声光报警功能（如可行）。</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B63009">
        <w:trPr>
          <w:trHeight w:val="2213"/>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A11.4</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医疗器械的设计和生产应降低使用者、其他人员或（若适用）暴露于非预期、偏离或散射辐射的风险。在可能和适当的情况下，应采取措施减少使用者、其他人员或（若适用）等可能受影响的人在辐射中的暴露。</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A11.5</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具有辐射或潜在辐射危害且需要安装的医疗器械，应当在操作说明中明确有关验收和性能测试、验收标准及维护程序的信息。</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A11.6</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proofErr w:type="gramStart"/>
            <w:r w:rsidRPr="002925B7">
              <w:rPr>
                <w:kern w:val="0"/>
                <w:sz w:val="28"/>
                <w:szCs w:val="28"/>
              </w:rPr>
              <w:t>若医疗</w:t>
            </w:r>
            <w:proofErr w:type="gramEnd"/>
            <w:r w:rsidRPr="002925B7">
              <w:rPr>
                <w:kern w:val="0"/>
                <w:sz w:val="28"/>
                <w:szCs w:val="28"/>
              </w:rPr>
              <w:t>器械对使用者有辐射或潜在辐射危害，其设计和生产应确保辐射剂量、几何分布、能量分布（或质量）以及其他辐射关键特性能够得到合理的控制和调整，并可在使用过程中进行监控（如适用）。上述医疗器械的设计和生产，应确保相关可变参数的重复性在可接受范围内。</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pStyle w:val="aff8"/>
              <w:spacing w:line="50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视情况</w:t>
            </w:r>
          </w:p>
        </w:tc>
      </w:tr>
      <w:tr w:rsidR="005B570A" w:rsidRPr="002925B7" w:rsidTr="002925B7">
        <w:trPr>
          <w:trHeight w:val="307"/>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A12</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对非专业用户使用风险的防护</w:t>
            </w:r>
          </w:p>
        </w:tc>
      </w:tr>
      <w:tr w:rsidR="005B570A" w:rsidRPr="002925B7" w:rsidTr="00B63009">
        <w:trPr>
          <w:trHeight w:val="2280"/>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A12.1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对于非专业用户使用的医疗器械（如自测或近检测），为保证医疗器械的正常使用，其设计和生产应当考虑非专业用户的操作技能，以及因非专业用户技术和使用环境的不同对结果的影响。</w:t>
            </w:r>
            <w:r w:rsidRPr="002925B7">
              <w:rPr>
                <w:rFonts w:hint="eastAsia"/>
                <w:kern w:val="0"/>
                <w:sz w:val="28"/>
                <w:szCs w:val="28"/>
              </w:rPr>
              <w:t>注册申请人</w:t>
            </w:r>
            <w:r w:rsidRPr="002925B7">
              <w:rPr>
                <w:kern w:val="0"/>
                <w:sz w:val="28"/>
                <w:szCs w:val="28"/>
              </w:rPr>
              <w:t>提供的信息和说明应易于理解和使用，并可对结果做出解释。</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pStyle w:val="aff8"/>
              <w:spacing w:line="50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A12.2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供非专业用户使用的医疗器械（如自测或近检测）的设计和生产应当：</w:t>
            </w:r>
          </w:p>
          <w:p w:rsidR="005B570A" w:rsidRPr="002925B7" w:rsidRDefault="005B570A" w:rsidP="00B63009">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确保使用者可以按照使用说明书的规定安全准确的使用。</w:t>
            </w:r>
            <w:proofErr w:type="gramStart"/>
            <w:r w:rsidRPr="002925B7">
              <w:rPr>
                <w:kern w:val="0"/>
                <w:sz w:val="28"/>
                <w:szCs w:val="28"/>
              </w:rPr>
              <w:t>当无法</w:t>
            </w:r>
            <w:proofErr w:type="gramEnd"/>
            <w:r w:rsidRPr="002925B7">
              <w:rPr>
                <w:kern w:val="0"/>
                <w:sz w:val="28"/>
                <w:szCs w:val="28"/>
              </w:rPr>
              <w:t>将与说明书相关的风险降低到适当水平时，可以通过培训来降低此类风险；</w:t>
            </w:r>
          </w:p>
          <w:p w:rsidR="005B570A" w:rsidRPr="002925B7" w:rsidRDefault="005B570A" w:rsidP="00B63009">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尽可能减少非专业用户因错误操作和错误解释结果导致的风险。</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pStyle w:val="aff8"/>
              <w:spacing w:line="50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B63009">
        <w:trPr>
          <w:trHeight w:val="2541"/>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A12.3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供非专业用户使用的医疗器械可通过以下措施方便用户：</w:t>
            </w:r>
          </w:p>
          <w:p w:rsidR="005B570A" w:rsidRPr="002925B7" w:rsidRDefault="005B570A" w:rsidP="00B63009">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在使用时，可以验证器械的正常运行；</w:t>
            </w:r>
          </w:p>
          <w:p w:rsidR="005B570A" w:rsidRPr="002925B7" w:rsidRDefault="005B570A" w:rsidP="00B63009">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当器械不能正常运行或提供无效结果时，会发出警告。</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pStyle w:val="aff8"/>
              <w:spacing w:line="50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A13</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B63009">
            <w:pPr>
              <w:spacing w:line="500" w:lineRule="exact"/>
              <w:rPr>
                <w:kern w:val="0"/>
                <w:sz w:val="28"/>
                <w:szCs w:val="28"/>
              </w:rPr>
            </w:pPr>
            <w:r w:rsidRPr="002925B7">
              <w:rPr>
                <w:kern w:val="0"/>
                <w:sz w:val="28"/>
                <w:szCs w:val="28"/>
              </w:rPr>
              <w:t>含有生物</w:t>
            </w:r>
            <w:proofErr w:type="gramStart"/>
            <w:r w:rsidRPr="002925B7">
              <w:rPr>
                <w:kern w:val="0"/>
                <w:sz w:val="28"/>
                <w:szCs w:val="28"/>
              </w:rPr>
              <w:t>源材料</w:t>
            </w:r>
            <w:proofErr w:type="gramEnd"/>
            <w:r w:rsidRPr="002925B7">
              <w:rPr>
                <w:kern w:val="0"/>
                <w:sz w:val="28"/>
                <w:szCs w:val="28"/>
              </w:rPr>
              <w:t>的医疗器械</w:t>
            </w:r>
          </w:p>
        </w:tc>
      </w:tr>
      <w:tr w:rsidR="005B570A" w:rsidRPr="002925B7" w:rsidTr="002925B7">
        <w:trPr>
          <w:trHeight w:val="5518"/>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A13.1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00" w:lineRule="exact"/>
              <w:rPr>
                <w:kern w:val="0"/>
                <w:sz w:val="28"/>
                <w:szCs w:val="28"/>
              </w:rPr>
            </w:pPr>
            <w:r w:rsidRPr="002925B7">
              <w:rPr>
                <w:kern w:val="0"/>
                <w:sz w:val="28"/>
                <w:szCs w:val="28"/>
              </w:rPr>
              <w:t>对于含有动植物组织、细胞或其它物质，细菌来源物质或衍生物的医疗器械，若无活性或以非活性状态交付，应当：</w:t>
            </w:r>
          </w:p>
          <w:p w:rsidR="005B570A" w:rsidRPr="002925B7" w:rsidRDefault="005B570A" w:rsidP="002925B7">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组织、细胞及其衍生物应来源于已受控且符合预期用途的动物种属。动物的地理来源信息应根据相关法规要求予以保留。</w:t>
            </w:r>
          </w:p>
          <w:p w:rsidR="005B570A" w:rsidRPr="002925B7" w:rsidRDefault="005B570A" w:rsidP="002925B7">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动物源的组织、细胞、物质或其衍生物的采集、加工、保存、检测和处理过程，应确保、使用者以及其他人员（如适用）的安全。特别是病毒和其他传染性病原体，应通过经验证的先进技术消除或灭活，影响医疗器械性能的情况除外。</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A13.2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00" w:lineRule="exact"/>
              <w:rPr>
                <w:kern w:val="0"/>
                <w:sz w:val="28"/>
                <w:szCs w:val="28"/>
              </w:rPr>
            </w:pPr>
            <w:r w:rsidRPr="002925B7">
              <w:rPr>
                <w:kern w:val="0"/>
                <w:sz w:val="28"/>
                <w:szCs w:val="28"/>
              </w:rPr>
              <w:t>对于监管部门而言，当医疗器械由人体来源的组织、细胞、物质或其衍生物生产时，应当采取以下措施：</w:t>
            </w:r>
          </w:p>
          <w:p w:rsidR="005B570A" w:rsidRPr="002925B7" w:rsidRDefault="005B570A" w:rsidP="002925B7">
            <w:pPr>
              <w:spacing w:line="500" w:lineRule="exact"/>
              <w:rPr>
                <w:kern w:val="0"/>
                <w:sz w:val="28"/>
                <w:szCs w:val="28"/>
              </w:rPr>
            </w:pPr>
            <w:r w:rsidRPr="002925B7">
              <w:rPr>
                <w:kern w:val="0"/>
                <w:sz w:val="28"/>
                <w:szCs w:val="28"/>
              </w:rPr>
              <w:t>a)</w:t>
            </w:r>
            <w:r w:rsidRPr="002925B7">
              <w:rPr>
                <w:kern w:val="0"/>
                <w:sz w:val="28"/>
                <w:szCs w:val="28"/>
              </w:rPr>
              <w:tab/>
            </w:r>
            <w:r w:rsidRPr="002925B7">
              <w:rPr>
                <w:kern w:val="0"/>
                <w:sz w:val="28"/>
                <w:szCs w:val="28"/>
              </w:rPr>
              <w:t>组织、细胞的捐赠、获取和检测应依据相关法规的要求进行；</w:t>
            </w:r>
          </w:p>
          <w:p w:rsidR="005B570A" w:rsidRPr="002925B7" w:rsidRDefault="005B570A" w:rsidP="002925B7">
            <w:pPr>
              <w:spacing w:line="500" w:lineRule="exact"/>
              <w:rPr>
                <w:kern w:val="0"/>
                <w:sz w:val="28"/>
                <w:szCs w:val="28"/>
              </w:rPr>
            </w:pPr>
            <w:r w:rsidRPr="002925B7">
              <w:rPr>
                <w:kern w:val="0"/>
                <w:sz w:val="28"/>
                <w:szCs w:val="28"/>
              </w:rPr>
              <w:t>b)</w:t>
            </w:r>
            <w:r w:rsidRPr="002925B7">
              <w:rPr>
                <w:kern w:val="0"/>
                <w:sz w:val="28"/>
                <w:szCs w:val="28"/>
              </w:rPr>
              <w:tab/>
            </w:r>
            <w:r w:rsidRPr="002925B7">
              <w:rPr>
                <w:kern w:val="0"/>
                <w:sz w:val="28"/>
                <w:szCs w:val="28"/>
              </w:rPr>
              <w:t>为确保、使用者或他人的安全，应对组织、细胞或其衍生物进行加工、保存或其他处理。对于病毒和其他传染源，应通过源头控制，或在生产过程中通过经验证的先进技术消除或灭活。</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A13.3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00" w:lineRule="exact"/>
              <w:rPr>
                <w:kern w:val="0"/>
                <w:sz w:val="28"/>
                <w:szCs w:val="28"/>
              </w:rPr>
            </w:pPr>
            <w:r w:rsidRPr="002925B7">
              <w:rPr>
                <w:kern w:val="0"/>
                <w:sz w:val="28"/>
                <w:szCs w:val="28"/>
              </w:rPr>
              <w:t>当医疗器械使用</w:t>
            </w:r>
            <w:r w:rsidRPr="002925B7">
              <w:rPr>
                <w:kern w:val="0"/>
                <w:sz w:val="28"/>
                <w:szCs w:val="28"/>
              </w:rPr>
              <w:t>A13.1</w:t>
            </w:r>
            <w:r w:rsidRPr="002925B7">
              <w:rPr>
                <w:kern w:val="0"/>
                <w:sz w:val="28"/>
                <w:szCs w:val="28"/>
              </w:rPr>
              <w:t>、</w:t>
            </w:r>
            <w:r w:rsidRPr="002925B7">
              <w:rPr>
                <w:kern w:val="0"/>
                <w:sz w:val="28"/>
                <w:szCs w:val="28"/>
              </w:rPr>
              <w:t>A13.2</w:t>
            </w:r>
            <w:r w:rsidRPr="002925B7">
              <w:rPr>
                <w:kern w:val="0"/>
                <w:sz w:val="28"/>
                <w:szCs w:val="28"/>
              </w:rPr>
              <w:t>以外的生物物质（例如植物或细菌来源的材料）生产时，其加工、保存、检测和处理应确保、用户以及其他人员（如废弃物处置人员等）的安全。对于病毒和其他传染源，为确保安全，应通过源头控制，或在生产过程中通过经验证的先进技术消除或灭活。</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B</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适用于医疗器械的基本原则</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B1</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化学、物理和生物学特性</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B1.1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根据医疗器械的预期用途，以及产品（例如某些可吸收产品）在人体的吸收、分布、代谢和排泄情况，对于医疗器械的化学、物理和生物学特性，应特别注意所用材料</w:t>
            </w:r>
            <w:r w:rsidRPr="002925B7">
              <w:rPr>
                <w:kern w:val="0"/>
                <w:sz w:val="28"/>
                <w:szCs w:val="28"/>
              </w:rPr>
              <w:t>/</w:t>
            </w:r>
            <w:r w:rsidRPr="002925B7">
              <w:rPr>
                <w:kern w:val="0"/>
                <w:sz w:val="28"/>
                <w:szCs w:val="28"/>
              </w:rPr>
              <w:t>物质与人体组织、细胞和体液之间的相容性。</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B1.2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应能够保证产品在预期使用中接触到其他的材料、物质和气体时，仍然能够安全使用。如果医疗器械用于配合药物使用，则该产品的设计和生产需要符合药品管理的有关规定，且具有药物相容性，同时药品和器械的性能符合其适应证和预期用途。</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B1.3</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医疗器械的设计和生产，除接触完整皮肤的产品外，应适当降低释放进入或使用者体内的颗粒，产生与颗粒尺寸和性质相关的风险。对纳米材料应给予重点关注。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B2</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辐射防护</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B2.1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用于医学影像的医疗器械具有电离辐射时，其设计和生产，在保障图像和</w:t>
            </w:r>
            <w:r w:rsidRPr="002925B7">
              <w:rPr>
                <w:kern w:val="0"/>
                <w:sz w:val="28"/>
                <w:szCs w:val="28"/>
              </w:rPr>
              <w:t>/</w:t>
            </w:r>
            <w:r w:rsidRPr="002925B7">
              <w:rPr>
                <w:kern w:val="0"/>
                <w:sz w:val="28"/>
                <w:szCs w:val="28"/>
              </w:rPr>
              <w:t>或输出质量的同时，应尽可能降低、使用者和其他人员的辐射吸收剂量。</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B2.2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具有电离辐射的医疗器械应能够精确预估（或监测）、显示、报告和记录治疗过程中的辐射剂量。</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rFonts w:hint="eastAsia"/>
                <w:kern w:val="0"/>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B3</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植入医疗器械的特殊要求</w:t>
            </w:r>
          </w:p>
        </w:tc>
      </w:tr>
      <w:tr w:rsidR="005B570A" w:rsidRPr="002925B7" w:rsidTr="002925B7">
        <w:trPr>
          <w:trHeight w:val="1166"/>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B3.1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植入医疗器械的设计和生产，应当能消除或降低相关治疗风险，例如除颤器、高频手术设备的使用。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B3.2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可编程有源植入式医疗器械的设计和生产，应保证产品在无需手术时即可准确识别。</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pStyle w:val="aff5"/>
              <w:spacing w:line="300" w:lineRule="exact"/>
              <w:jc w:val="center"/>
              <w:rPr>
                <w:rFonts w:ascii="Times New Roman" w:eastAsia="宋体" w:hAnsi="Times New Roman"/>
                <w:color w:val="auto"/>
                <w:kern w:val="2"/>
                <w:sz w:val="28"/>
                <w:szCs w:val="28"/>
              </w:rPr>
            </w:pPr>
            <w:r w:rsidRPr="002925B7">
              <w:rPr>
                <w:rFonts w:ascii="Times New Roman" w:eastAsia="宋体" w:hAnsi="Times New Roman"/>
                <w:color w:val="auto"/>
                <w:kern w:val="2"/>
                <w:sz w:val="28"/>
                <w:szCs w:val="28"/>
              </w:rPr>
              <w:t>B4</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提供能量或物质的医疗器械对或使用者的风险防护</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B4.1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用于给提供能量或物质的医疗器械，其设计和生产应能精确地设定和维持输出量，以保证、使用者和其他人的安全。</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B4.2</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若输出量不足可能导致危险，医疗器械应具有防止和</w:t>
            </w:r>
            <w:r w:rsidRPr="002925B7">
              <w:rPr>
                <w:kern w:val="0"/>
                <w:sz w:val="28"/>
                <w:szCs w:val="28"/>
              </w:rPr>
              <w:t>/</w:t>
            </w:r>
            <w:r w:rsidRPr="002925B7">
              <w:rPr>
                <w:kern w:val="0"/>
                <w:sz w:val="28"/>
                <w:szCs w:val="28"/>
              </w:rPr>
              <w:t>或指示</w:t>
            </w:r>
            <w:r w:rsidRPr="002925B7">
              <w:rPr>
                <w:kern w:val="0"/>
                <w:sz w:val="28"/>
                <w:szCs w:val="28"/>
              </w:rPr>
              <w:t>“</w:t>
            </w:r>
            <w:r w:rsidRPr="002925B7">
              <w:rPr>
                <w:kern w:val="0"/>
                <w:sz w:val="28"/>
                <w:szCs w:val="28"/>
              </w:rPr>
              <w:t>输出量不足</w:t>
            </w:r>
            <w:r w:rsidRPr="002925B7">
              <w:rPr>
                <w:kern w:val="0"/>
                <w:sz w:val="28"/>
                <w:szCs w:val="28"/>
              </w:rPr>
              <w:t>”</w:t>
            </w:r>
            <w:r w:rsidRPr="002925B7">
              <w:rPr>
                <w:kern w:val="0"/>
                <w:sz w:val="28"/>
                <w:szCs w:val="28"/>
              </w:rPr>
              <w:t>的功能。意外输出危险等级量的能量或物质作为较大风险，应采取适当的措施予以降低。</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B5</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含有药物成分的组合产品</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B5.1</w:t>
            </w:r>
          </w:p>
        </w:tc>
        <w:tc>
          <w:tcPr>
            <w:tcW w:w="693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spacing w:line="520" w:lineRule="exact"/>
              <w:rPr>
                <w:kern w:val="0"/>
                <w:sz w:val="28"/>
                <w:szCs w:val="28"/>
              </w:rPr>
            </w:pPr>
            <w:r w:rsidRPr="002925B7">
              <w:rPr>
                <w:kern w:val="0"/>
                <w:sz w:val="28"/>
                <w:szCs w:val="28"/>
              </w:rPr>
              <w:t>当医疗器械组成成分中含有某种物质，依据监管法规，该物质作为药用产品</w:t>
            </w:r>
            <w:r w:rsidRPr="002925B7">
              <w:rPr>
                <w:kern w:val="0"/>
                <w:sz w:val="28"/>
                <w:szCs w:val="28"/>
              </w:rPr>
              <w:t>/</w:t>
            </w:r>
            <w:r w:rsidRPr="002925B7">
              <w:rPr>
                <w:kern w:val="0"/>
                <w:sz w:val="28"/>
                <w:szCs w:val="28"/>
              </w:rPr>
              <w:t>药物进行管理，且该物质在体内为医疗器械提供辅助作用时，应将医疗器械和此物质作为一个整体，对其安全和性能进行验证，同时应当验证该物质的特征、安全、质量和有效性。</w:t>
            </w:r>
          </w:p>
        </w:tc>
        <w:tc>
          <w:tcPr>
            <w:tcW w:w="1418"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hint="eastAsia"/>
                <w:sz w:val="28"/>
                <w:szCs w:val="28"/>
              </w:rPr>
              <w:t>不适用</w:t>
            </w:r>
          </w:p>
        </w:tc>
      </w:tr>
      <w:tr w:rsidR="005B570A" w:rsidRPr="002925B7" w:rsidTr="002925B7">
        <w:trPr>
          <w:jc w:val="center"/>
        </w:trPr>
        <w:tc>
          <w:tcPr>
            <w:tcW w:w="1137" w:type="dxa"/>
            <w:tcBorders>
              <w:top w:val="single" w:sz="4" w:space="0" w:color="auto"/>
              <w:left w:val="single" w:sz="4" w:space="0" w:color="auto"/>
              <w:bottom w:val="single" w:sz="4" w:space="0" w:color="auto"/>
              <w:right w:val="single" w:sz="4" w:space="0" w:color="auto"/>
            </w:tcBorders>
            <w:vAlign w:val="center"/>
          </w:tcPr>
          <w:p w:rsidR="005B570A" w:rsidRPr="002925B7" w:rsidRDefault="005B570A" w:rsidP="00FD64B2">
            <w:pPr>
              <w:spacing w:line="300" w:lineRule="exact"/>
              <w:jc w:val="center"/>
              <w:rPr>
                <w:kern w:val="0"/>
                <w:sz w:val="28"/>
                <w:szCs w:val="28"/>
              </w:rPr>
            </w:pPr>
            <w:r w:rsidRPr="002925B7">
              <w:rPr>
                <w:kern w:val="0"/>
                <w:sz w:val="28"/>
                <w:szCs w:val="28"/>
              </w:rPr>
              <w:t>说明</w:t>
            </w:r>
          </w:p>
        </w:tc>
        <w:tc>
          <w:tcPr>
            <w:tcW w:w="8356" w:type="dxa"/>
            <w:gridSpan w:val="2"/>
            <w:tcBorders>
              <w:top w:val="single" w:sz="4" w:space="0" w:color="auto"/>
              <w:left w:val="single" w:sz="4" w:space="0" w:color="auto"/>
              <w:bottom w:val="single" w:sz="4" w:space="0" w:color="auto"/>
              <w:right w:val="single" w:sz="4" w:space="0" w:color="auto"/>
            </w:tcBorders>
            <w:vAlign w:val="center"/>
          </w:tcPr>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1.</w:t>
            </w:r>
            <w:r w:rsidRPr="002925B7">
              <w:rPr>
                <w:rFonts w:ascii="Times New Roman" w:eastAsia="Adobe 仿宋 Std R" w:hAnsi="Times New Roman"/>
                <w:sz w:val="28"/>
                <w:szCs w:val="28"/>
              </w:rPr>
              <w:t>第</w:t>
            </w:r>
            <w:r w:rsidRPr="002925B7">
              <w:rPr>
                <w:rFonts w:ascii="Times New Roman" w:eastAsia="Adobe 仿宋 Std R" w:hAnsi="Times New Roman"/>
                <w:sz w:val="28"/>
                <w:szCs w:val="28"/>
              </w:rPr>
              <w:t>3</w:t>
            </w:r>
            <w:r w:rsidRPr="002925B7">
              <w:rPr>
                <w:rFonts w:ascii="Times New Roman" w:eastAsia="Adobe 仿宋 Std R" w:hAnsi="Times New Roman"/>
                <w:sz w:val="28"/>
                <w:szCs w:val="28"/>
              </w:rPr>
              <w:t>列若适用，应当注明</w:t>
            </w: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是</w:t>
            </w: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。不适用应当注明</w:t>
            </w: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否</w:t>
            </w: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，并结合产品特点说明不适用的理由。</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2.</w:t>
            </w:r>
            <w:r w:rsidRPr="002925B7">
              <w:rPr>
                <w:rFonts w:ascii="Times New Roman" w:eastAsia="Adobe 仿宋 Std R" w:hAnsi="Times New Roman"/>
                <w:sz w:val="28"/>
                <w:szCs w:val="28"/>
              </w:rPr>
              <w:t>第</w:t>
            </w:r>
            <w:r w:rsidRPr="002925B7">
              <w:rPr>
                <w:rFonts w:ascii="Times New Roman" w:eastAsia="Adobe 仿宋 Std R" w:hAnsi="Times New Roman"/>
                <w:sz w:val="28"/>
                <w:szCs w:val="28"/>
              </w:rPr>
              <w:t>4</w:t>
            </w:r>
            <w:r w:rsidRPr="002925B7">
              <w:rPr>
                <w:rFonts w:ascii="Times New Roman" w:eastAsia="Adobe 仿宋 Std R" w:hAnsi="Times New Roman"/>
                <w:sz w:val="28"/>
                <w:szCs w:val="28"/>
              </w:rPr>
              <w:t>列应当填写证明该医疗器械符合安全和性能基本原则的方法，通常可采取下列方法证明符合基本要求：</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1</w:t>
            </w:r>
            <w:r w:rsidRPr="002925B7">
              <w:rPr>
                <w:rFonts w:ascii="Times New Roman" w:eastAsia="Adobe 仿宋 Std R" w:hAnsi="Times New Roman"/>
                <w:sz w:val="28"/>
                <w:szCs w:val="28"/>
              </w:rPr>
              <w:t>）符合已发布的医疗器械部门规章、规范性文件。</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2</w:t>
            </w:r>
            <w:r w:rsidRPr="002925B7">
              <w:rPr>
                <w:rFonts w:ascii="Times New Roman" w:eastAsia="Adobe 仿宋 Std R" w:hAnsi="Times New Roman"/>
                <w:sz w:val="28"/>
                <w:szCs w:val="28"/>
              </w:rPr>
              <w:t>）符合医疗器械相关国家标准、行业标准、国际标准。</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3</w:t>
            </w:r>
            <w:r w:rsidRPr="002925B7">
              <w:rPr>
                <w:rFonts w:ascii="Times New Roman" w:eastAsia="Adobe 仿宋 Std R" w:hAnsi="Times New Roman"/>
                <w:sz w:val="28"/>
                <w:szCs w:val="28"/>
              </w:rPr>
              <w:t>）符合普遍接受的测试方法。</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4</w:t>
            </w:r>
            <w:r w:rsidRPr="002925B7">
              <w:rPr>
                <w:rFonts w:ascii="Times New Roman" w:eastAsia="Adobe 仿宋 Std R" w:hAnsi="Times New Roman"/>
                <w:sz w:val="28"/>
                <w:szCs w:val="28"/>
              </w:rPr>
              <w:t>）符合企业自定的方法。</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5</w:t>
            </w:r>
            <w:r w:rsidRPr="002925B7">
              <w:rPr>
                <w:rFonts w:ascii="Times New Roman" w:eastAsia="Adobe 仿宋 Std R" w:hAnsi="Times New Roman"/>
                <w:sz w:val="28"/>
                <w:szCs w:val="28"/>
              </w:rPr>
              <w:t>）与已批准上市的同类产品的比较。</w:t>
            </w:r>
          </w:p>
          <w:p w:rsidR="005B570A" w:rsidRPr="002925B7" w:rsidRDefault="005B570A" w:rsidP="002925B7">
            <w:pPr>
              <w:pStyle w:val="aff8"/>
              <w:spacing w:line="520" w:lineRule="exact"/>
              <w:jc w:val="both"/>
              <w:rPr>
                <w:rFonts w:ascii="Times New Roman" w:eastAsia="Adobe 仿宋 Std R" w:hAnsi="Times New Roman"/>
                <w:sz w:val="28"/>
                <w:szCs w:val="28"/>
              </w:rPr>
            </w:pPr>
            <w:r w:rsidRPr="002925B7">
              <w:rPr>
                <w:rFonts w:ascii="Times New Roman" w:eastAsia="Adobe 仿宋 Std R" w:hAnsi="Times New Roman"/>
                <w:sz w:val="28"/>
                <w:szCs w:val="28"/>
              </w:rPr>
              <w:t>（</w:t>
            </w:r>
            <w:r w:rsidRPr="002925B7">
              <w:rPr>
                <w:rFonts w:ascii="Times New Roman" w:eastAsia="Adobe 仿宋 Std R" w:hAnsi="Times New Roman"/>
                <w:sz w:val="28"/>
                <w:szCs w:val="28"/>
              </w:rPr>
              <w:t>6</w:t>
            </w:r>
            <w:r w:rsidRPr="002925B7">
              <w:rPr>
                <w:rFonts w:ascii="Times New Roman" w:eastAsia="Adobe 仿宋 Std R" w:hAnsi="Times New Roman"/>
                <w:sz w:val="28"/>
                <w:szCs w:val="28"/>
              </w:rPr>
              <w:t>）临床评价。</w:t>
            </w:r>
          </w:p>
          <w:p w:rsidR="005B570A" w:rsidRPr="002925B7" w:rsidRDefault="005B570A" w:rsidP="002925B7">
            <w:pPr>
              <w:pStyle w:val="aff8"/>
              <w:spacing w:line="520" w:lineRule="exact"/>
              <w:jc w:val="both"/>
              <w:rPr>
                <w:rFonts w:ascii="Times New Roman" w:hAnsi="Times New Roman"/>
                <w:kern w:val="2"/>
                <w:sz w:val="28"/>
                <w:szCs w:val="28"/>
              </w:rPr>
            </w:pPr>
            <w:r w:rsidRPr="002925B7">
              <w:rPr>
                <w:rFonts w:ascii="Times New Roman" w:eastAsia="Adobe 仿宋 Std R" w:hAnsi="Times New Roman"/>
                <w:sz w:val="28"/>
                <w:szCs w:val="28"/>
              </w:rPr>
              <w:t>3.</w:t>
            </w:r>
            <w:r w:rsidRPr="002925B7">
              <w:rPr>
                <w:rFonts w:ascii="Times New Roman" w:eastAsia="Adobe 仿宋 Std R" w:hAnsi="Times New Roman"/>
                <w:sz w:val="28"/>
                <w:szCs w:val="28"/>
              </w:rPr>
              <w:t>证明符合性的证据包含在产品注册申报资料中，应当说明其在申报资料中的具体位置。证明符合性的证据未包含在产品注册申报资料中，应当注明该证据文件名称及其在质量管理体系文件中的编号备查。</w:t>
            </w:r>
          </w:p>
        </w:tc>
      </w:tr>
    </w:tbl>
    <w:p w:rsidR="005B570A" w:rsidRDefault="005B570A" w:rsidP="005B570A">
      <w:pPr>
        <w:rPr>
          <w:rFonts w:eastAsia="仿宋"/>
          <w:szCs w:val="32"/>
        </w:rPr>
      </w:pPr>
    </w:p>
    <w:p w:rsidR="00545B8B" w:rsidRPr="005B570A" w:rsidRDefault="00545B8B" w:rsidP="00545B8B">
      <w:pPr>
        <w:snapToGrid w:val="0"/>
        <w:spacing w:line="520" w:lineRule="exact"/>
        <w:ind w:firstLineChars="200" w:firstLine="640"/>
        <w:rPr>
          <w:rFonts w:eastAsia="仿宋_GB2312"/>
          <w:szCs w:val="32"/>
        </w:rPr>
      </w:pPr>
    </w:p>
    <w:p w:rsidR="00545B8B" w:rsidRPr="008F5D20" w:rsidRDefault="00545B8B" w:rsidP="00545B8B">
      <w:pPr>
        <w:snapToGrid w:val="0"/>
        <w:spacing w:line="520" w:lineRule="exact"/>
        <w:ind w:firstLineChars="200" w:firstLine="640"/>
        <w:rPr>
          <w:rFonts w:eastAsia="仿宋_GB2312"/>
          <w:szCs w:val="32"/>
        </w:rPr>
      </w:pPr>
    </w:p>
    <w:p w:rsidR="00B32C6C" w:rsidRPr="008F5D20" w:rsidRDefault="00B32C6C" w:rsidP="00B32C6C">
      <w:pPr>
        <w:spacing w:line="360" w:lineRule="exact"/>
        <w:rPr>
          <w:color w:val="000000"/>
          <w:sz w:val="28"/>
          <w:szCs w:val="28"/>
        </w:rPr>
      </w:pPr>
    </w:p>
    <w:p w:rsidR="00B32C6C" w:rsidRPr="008F5D20" w:rsidRDefault="00B32C6C" w:rsidP="00B32C6C">
      <w:pPr>
        <w:spacing w:line="360" w:lineRule="exact"/>
        <w:rPr>
          <w:color w:val="000000"/>
          <w:sz w:val="28"/>
          <w:szCs w:val="28"/>
        </w:rPr>
      </w:pPr>
    </w:p>
    <w:p w:rsidR="00545B8B" w:rsidRPr="008F5D20" w:rsidRDefault="00545B8B" w:rsidP="00B32C6C">
      <w:pPr>
        <w:spacing w:line="360" w:lineRule="exact"/>
        <w:rPr>
          <w:color w:val="000000"/>
          <w:sz w:val="28"/>
          <w:szCs w:val="28"/>
        </w:rPr>
      </w:pPr>
    </w:p>
    <w:p w:rsidR="00545B8B" w:rsidRPr="008F5D20" w:rsidRDefault="00545B8B" w:rsidP="00B32C6C">
      <w:pPr>
        <w:spacing w:line="360" w:lineRule="exact"/>
        <w:rPr>
          <w:color w:val="000000"/>
          <w:sz w:val="28"/>
          <w:szCs w:val="28"/>
        </w:rPr>
      </w:pPr>
    </w:p>
    <w:p w:rsidR="00545B8B" w:rsidRPr="008F5D20" w:rsidRDefault="00545B8B" w:rsidP="00B32C6C">
      <w:pPr>
        <w:spacing w:line="360" w:lineRule="exact"/>
        <w:rPr>
          <w:color w:val="000000"/>
          <w:sz w:val="28"/>
          <w:szCs w:val="28"/>
        </w:rPr>
      </w:pPr>
    </w:p>
    <w:p w:rsidR="00545B8B" w:rsidRPr="008F5D20" w:rsidRDefault="00545B8B" w:rsidP="00B32C6C">
      <w:pPr>
        <w:spacing w:line="360" w:lineRule="exact"/>
        <w:rPr>
          <w:color w:val="000000"/>
          <w:sz w:val="28"/>
          <w:szCs w:val="28"/>
        </w:rPr>
      </w:pPr>
    </w:p>
    <w:p w:rsidR="00545B8B" w:rsidRDefault="00545B8B"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Default="00CE2A90" w:rsidP="00B32C6C">
      <w:pPr>
        <w:spacing w:line="360" w:lineRule="exact"/>
        <w:rPr>
          <w:color w:val="000000"/>
          <w:sz w:val="28"/>
          <w:szCs w:val="28"/>
        </w:rPr>
      </w:pPr>
    </w:p>
    <w:p w:rsidR="00CE2A90" w:rsidRPr="008F5D20" w:rsidRDefault="00CE2A90" w:rsidP="00B32C6C">
      <w:pPr>
        <w:spacing w:line="360" w:lineRule="exact"/>
        <w:rPr>
          <w:color w:val="000000"/>
          <w:sz w:val="28"/>
          <w:szCs w:val="28"/>
        </w:rPr>
      </w:pPr>
    </w:p>
    <w:p w:rsidR="00B32C6C" w:rsidRPr="008F5D20" w:rsidRDefault="00B32C6C" w:rsidP="00B32C6C">
      <w:pPr>
        <w:spacing w:line="360" w:lineRule="exact"/>
        <w:rPr>
          <w:color w:val="000000"/>
          <w:sz w:val="28"/>
          <w:szCs w:val="28"/>
        </w:rPr>
      </w:pPr>
    </w:p>
    <w:p w:rsidR="00B32C6C" w:rsidRPr="008F5D20" w:rsidRDefault="00B32C6C" w:rsidP="00B32C6C">
      <w:pPr>
        <w:spacing w:line="360" w:lineRule="exact"/>
        <w:rPr>
          <w:color w:val="000000"/>
          <w:sz w:val="28"/>
          <w:szCs w:val="28"/>
        </w:rPr>
      </w:pPr>
      <w:r w:rsidRPr="008F5D20">
        <w:rPr>
          <w:noProof/>
        </w:rPr>
        <mc:AlternateContent>
          <mc:Choice Requires="wps">
            <w:drawing>
              <wp:anchor distT="0" distB="0" distL="114300" distR="114300" simplePos="0" relativeHeight="251660288" behindDoc="0" locked="0" layoutInCell="1" allowOverlap="1" wp14:anchorId="6B97D9AD" wp14:editId="3B86ADE5">
                <wp:simplePos x="0" y="0"/>
                <wp:positionH relativeFrom="column">
                  <wp:posOffset>-200025</wp:posOffset>
                </wp:positionH>
                <wp:positionV relativeFrom="paragraph">
                  <wp:posOffset>146685</wp:posOffset>
                </wp:positionV>
                <wp:extent cx="5960110" cy="20320"/>
                <wp:effectExtent l="0" t="0" r="21590" b="3683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0110" cy="203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13F83" id="直接连接符 11"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11.55pt" to="453.5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" strokeweight="1.25pt"/>
            </w:pict>
          </mc:Fallback>
        </mc:AlternateContent>
      </w:r>
    </w:p>
    <w:p w:rsidR="00B32C6C" w:rsidRPr="008F5D20" w:rsidRDefault="00B32C6C" w:rsidP="00B32C6C">
      <w:pPr>
        <w:spacing w:line="360" w:lineRule="exact"/>
        <w:ind w:leftChars="-65" w:left="2" w:hangingChars="75" w:hanging="210"/>
        <w:rPr>
          <w:color w:val="000000"/>
          <w:sz w:val="28"/>
          <w:szCs w:val="28"/>
        </w:rPr>
      </w:pPr>
      <w:r w:rsidRPr="008F5D20">
        <w:rPr>
          <w:rFonts w:eastAsia="仿宋_GB2312"/>
          <w:color w:val="000000"/>
          <w:sz w:val="28"/>
        </w:rPr>
        <w:t>报送：局领导。</w:t>
      </w:r>
    </w:p>
    <w:p w:rsidR="00B32C6C" w:rsidRPr="008F5D20" w:rsidRDefault="00B32C6C" w:rsidP="00B32C6C">
      <w:pPr>
        <w:spacing w:line="440" w:lineRule="exact"/>
        <w:ind w:leftChars="-61" w:left="841" w:hangingChars="370" w:hanging="1036"/>
        <w:rPr>
          <w:rFonts w:eastAsia="仿宋_GB2312"/>
          <w:color w:val="000000"/>
          <w:sz w:val="28"/>
        </w:rPr>
      </w:pPr>
      <w:r w:rsidRPr="008F5D20">
        <w:rPr>
          <w:rFonts w:eastAsia="仿宋_GB2312"/>
          <w:color w:val="000000"/>
          <w:sz w:val="28"/>
        </w:rPr>
        <w:t>抄送：器械注册司。</w:t>
      </w:r>
    </w:p>
    <w:p w:rsidR="00B32C6C" w:rsidRPr="008F5D20" w:rsidRDefault="00B32C6C" w:rsidP="00B32C6C">
      <w:pPr>
        <w:spacing w:line="440" w:lineRule="exact"/>
        <w:ind w:leftChars="-61" w:left="659" w:hangingChars="305" w:hanging="854"/>
        <w:rPr>
          <w:rFonts w:eastAsia="仿宋_GB2312"/>
          <w:color w:val="000000"/>
          <w:sz w:val="28"/>
        </w:rPr>
      </w:pPr>
      <w:r w:rsidRPr="008F5D20">
        <w:rPr>
          <w:rFonts w:eastAsia="仿宋_GB2312"/>
          <w:color w:val="000000"/>
          <w:sz w:val="28"/>
        </w:rPr>
        <w:t>分送：中心领导，各处室、各审评部，器械长三角分中心、器械大湾区分中心。</w:t>
      </w:r>
    </w:p>
    <w:p w:rsidR="00AF5D76" w:rsidRPr="008F5D20" w:rsidRDefault="00B32C6C" w:rsidP="00B32C6C">
      <w:pPr>
        <w:spacing w:beforeLines="50" w:before="120" w:line="360" w:lineRule="exact"/>
        <w:ind w:leftChars="-56" w:left="1280" w:rightChars="-62" w:right="-198" w:hangingChars="456" w:hanging="1459"/>
        <w:rPr>
          <w:color w:val="000000"/>
          <w:sz w:val="28"/>
          <w:szCs w:val="28"/>
        </w:rPr>
      </w:pPr>
      <w:r w:rsidRPr="008F5D20">
        <w:rPr>
          <w:noProof/>
        </w:rPr>
        <mc:AlternateContent>
          <mc:Choice Requires="wps">
            <w:drawing>
              <wp:anchor distT="0" distB="0" distL="114300" distR="114300" simplePos="0" relativeHeight="251659264" behindDoc="0" locked="0" layoutInCell="1" allowOverlap="1" wp14:anchorId="38CA0155" wp14:editId="38A1FD3C">
                <wp:simplePos x="0" y="0"/>
                <wp:positionH relativeFrom="margin">
                  <wp:posOffset>1866900</wp:posOffset>
                </wp:positionH>
                <wp:positionV relativeFrom="paragraph">
                  <wp:posOffset>972185</wp:posOffset>
                </wp:positionV>
                <wp:extent cx="936625" cy="443230"/>
                <wp:effectExtent l="0" t="0" r="0" b="0"/>
                <wp:wrapNone/>
                <wp:docPr id="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625" cy="443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23D76" id="矩形 12" o:spid="_x0000_s1026" style="position:absolute;left:0;text-align:left;margin-left:147pt;margin-top:76.55pt;width:73.75pt;height:34.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" stroked="f">
                <w10:wrap anchorx="margin"/>
              </v:rect>
            </w:pict>
          </mc:Fallback>
        </mc:AlternateContent>
      </w:r>
      <w:r w:rsidRPr="008F5D20">
        <w:rPr>
          <w:noProof/>
        </w:rPr>
        <mc:AlternateContent>
          <mc:Choice Requires="wps">
            <w:drawing>
              <wp:anchor distT="0" distB="0" distL="114300" distR="114300" simplePos="0" relativeHeight="251662336" behindDoc="0" locked="0" layoutInCell="1" allowOverlap="1" wp14:anchorId="397CBB18" wp14:editId="01224876">
                <wp:simplePos x="0" y="0"/>
                <wp:positionH relativeFrom="column">
                  <wp:posOffset>-212725</wp:posOffset>
                </wp:positionH>
                <wp:positionV relativeFrom="paragraph">
                  <wp:posOffset>391795</wp:posOffset>
                </wp:positionV>
                <wp:extent cx="5965825" cy="15240"/>
                <wp:effectExtent l="0" t="0" r="34925" b="2286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5825" cy="152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F407F" id="直接连接符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30.85pt" to="453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" strokeweight="1.25pt"/>
            </w:pict>
          </mc:Fallback>
        </mc:AlternateContent>
      </w:r>
      <w:r w:rsidRPr="008F5D20">
        <w:rPr>
          <w:noProof/>
        </w:rPr>
        <mc:AlternateContent>
          <mc:Choice Requires="wps">
            <w:drawing>
              <wp:anchor distT="0" distB="0" distL="114300" distR="114300" simplePos="0" relativeHeight="251661312" behindDoc="0" locked="0" layoutInCell="1" allowOverlap="1" wp14:anchorId="1B4287F3" wp14:editId="626627C7">
                <wp:simplePos x="0" y="0"/>
                <wp:positionH relativeFrom="column">
                  <wp:posOffset>-212725</wp:posOffset>
                </wp:positionH>
                <wp:positionV relativeFrom="paragraph">
                  <wp:posOffset>25400</wp:posOffset>
                </wp:positionV>
                <wp:extent cx="5972810" cy="2540"/>
                <wp:effectExtent l="0" t="0" r="27940" b="35560"/>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810" cy="254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96241" id="直接连接符 10"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2pt" to="453.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" strokeweight=".5pt"/>
            </w:pict>
          </mc:Fallback>
        </mc:AlternateContent>
      </w:r>
      <w:r w:rsidRPr="008F5D20">
        <w:rPr>
          <w:rFonts w:eastAsia="仿宋_GB2312"/>
          <w:color w:val="000000"/>
          <w:sz w:val="28"/>
          <w:szCs w:val="28"/>
        </w:rPr>
        <w:t>国家药监</w:t>
      </w:r>
      <w:proofErr w:type="gramStart"/>
      <w:r w:rsidRPr="008F5D20">
        <w:rPr>
          <w:rFonts w:eastAsia="仿宋_GB2312"/>
          <w:color w:val="000000"/>
          <w:sz w:val="28"/>
          <w:szCs w:val="28"/>
        </w:rPr>
        <w:t>局器审中心</w:t>
      </w:r>
      <w:proofErr w:type="gramEnd"/>
      <w:r w:rsidRPr="008F5D20">
        <w:rPr>
          <w:rFonts w:eastAsia="仿宋_GB2312"/>
          <w:color w:val="000000"/>
          <w:sz w:val="28"/>
          <w:szCs w:val="28"/>
        </w:rPr>
        <w:t xml:space="preserve">                            2022</w:t>
      </w:r>
      <w:r w:rsidRPr="008F5D20">
        <w:rPr>
          <w:rFonts w:eastAsia="仿宋_GB2312"/>
          <w:color w:val="000000"/>
          <w:sz w:val="28"/>
          <w:szCs w:val="28"/>
        </w:rPr>
        <w:t>年</w:t>
      </w:r>
      <w:r w:rsidR="008F5D20" w:rsidRPr="008F5D20">
        <w:rPr>
          <w:rFonts w:eastAsia="仿宋_GB2312"/>
          <w:color w:val="000000"/>
          <w:sz w:val="28"/>
          <w:szCs w:val="28"/>
        </w:rPr>
        <w:t>8</w:t>
      </w:r>
      <w:r w:rsidRPr="008F5D20">
        <w:rPr>
          <w:rFonts w:eastAsia="仿宋_GB2312"/>
          <w:color w:val="000000"/>
          <w:sz w:val="28"/>
          <w:szCs w:val="28"/>
        </w:rPr>
        <w:t>月</w:t>
      </w:r>
      <w:r w:rsidR="008F5D20" w:rsidRPr="008F5D20">
        <w:rPr>
          <w:rFonts w:eastAsia="仿宋_GB2312"/>
          <w:color w:val="000000"/>
          <w:sz w:val="28"/>
          <w:szCs w:val="28"/>
        </w:rPr>
        <w:t>26</w:t>
      </w:r>
      <w:r w:rsidRPr="008F5D20">
        <w:rPr>
          <w:rFonts w:eastAsia="仿宋_GB2312"/>
          <w:color w:val="000000"/>
          <w:sz w:val="28"/>
          <w:szCs w:val="28"/>
        </w:rPr>
        <w:t>日印发</w:t>
      </w:r>
    </w:p>
    <w:sectPr w:rsidR="00AF5D76" w:rsidRPr="008F5D20" w:rsidSect="00A572C9">
      <w:type w:val="continuous"/>
      <w:pgSz w:w="11906" w:h="16838"/>
      <w:pgMar w:top="2098" w:right="1588" w:bottom="2098" w:left="1588" w:header="851" w:footer="992" w:gutter="0"/>
      <w:cols w:space="425"/>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579" w:rsidRDefault="00417579" w:rsidP="006C00CB">
      <w:r>
        <w:separator/>
      </w:r>
    </w:p>
  </w:endnote>
  <w:endnote w:type="continuationSeparator" w:id="0">
    <w:p w:rsidR="00417579" w:rsidRDefault="00417579" w:rsidP="006C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dobe 仿宋 Std R">
    <w:altName w:val="仿宋"/>
    <w:charset w:val="86"/>
    <w:family w:val="roman"/>
    <w:pitch w:val="default"/>
    <w:sig w:usb0="00000001" w:usb1="0A0F1810" w:usb2="00000016" w:usb3="00000000" w:csb0="00060007"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DejaVu Sans">
    <w:altName w:val="Times New Roman"/>
    <w:charset w:val="00"/>
    <w:family w:val="roman"/>
    <w:pitch w:val="default"/>
    <w:sig w:usb0="00000000"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方正小标宋_GBK">
    <w:altName w:val="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70A" w:rsidRDefault="005B570A">
    <w:pPr>
      <w:pStyle w:val="a3"/>
      <w:jc w:val="center"/>
    </w:pPr>
    <w:r>
      <w:fldChar w:fldCharType="begin"/>
    </w:r>
    <w:r>
      <w:instrText>PAGE   \* MERGEFORMAT</w:instrText>
    </w:r>
    <w:r>
      <w:fldChar w:fldCharType="separate"/>
    </w:r>
    <w:r w:rsidR="00347979" w:rsidRPr="00347979">
      <w:rPr>
        <w:noProof/>
        <w:lang w:val="zh-CN"/>
      </w:rPr>
      <w:t>36</w:t>
    </w:r>
    <w:r>
      <w:fldChar w:fldCharType="end"/>
    </w:r>
  </w:p>
  <w:p w:rsidR="005B570A" w:rsidRDefault="005B570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579" w:rsidRDefault="00417579" w:rsidP="006C00CB">
      <w:r>
        <w:separator/>
      </w:r>
    </w:p>
  </w:footnote>
  <w:footnote w:type="continuationSeparator" w:id="0">
    <w:p w:rsidR="00417579" w:rsidRDefault="00417579" w:rsidP="006C0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06AF67"/>
    <w:multiLevelType w:val="singleLevel"/>
    <w:tmpl w:val="13EA7194"/>
    <w:lvl w:ilvl="0">
      <w:start w:val="1"/>
      <w:numFmt w:val="decimal"/>
      <w:suff w:val="space"/>
      <w:lvlText w:val="%1."/>
      <w:lvlJc w:val="left"/>
      <w:pPr>
        <w:ind w:left="0" w:firstLine="0"/>
      </w:pPr>
      <w:rPr>
        <w:rFonts w:hint="eastAsia"/>
      </w:rPr>
    </w:lvl>
  </w:abstractNum>
  <w:abstractNum w:abstractNumId="1" w15:restartNumberingAfterBreak="0">
    <w:nsid w:val="E9E4C423"/>
    <w:multiLevelType w:val="singleLevel"/>
    <w:tmpl w:val="83245B42"/>
    <w:lvl w:ilvl="0">
      <w:start w:val="1"/>
      <w:numFmt w:val="decimal"/>
      <w:suff w:val="space"/>
      <w:lvlText w:val="%1."/>
      <w:lvlJc w:val="left"/>
      <w:pPr>
        <w:ind w:left="0" w:firstLine="0"/>
      </w:pPr>
      <w:rPr>
        <w:rFonts w:hint="eastAsia"/>
      </w:rPr>
    </w:lvl>
  </w:abstractNum>
  <w:abstractNum w:abstractNumId="2" w15:restartNumberingAfterBreak="0">
    <w:nsid w:val="025523D3"/>
    <w:multiLevelType w:val="multilevel"/>
    <w:tmpl w:val="F060285A"/>
    <w:lvl w:ilvl="0">
      <w:start w:val="1"/>
      <w:numFmt w:val="decimal"/>
      <w:suff w:val="space"/>
      <w:lvlText w:val="%1."/>
      <w:lvlJc w:val="left"/>
      <w:pPr>
        <w:ind w:left="0" w:firstLine="0"/>
      </w:pPr>
      <w:rPr>
        <w:rFonts w:hint="eastAsia"/>
        <w:b w:val="0"/>
        <w:i w:val="0"/>
      </w:rPr>
    </w:lvl>
    <w:lvl w:ilvl="1">
      <w:start w:val="1"/>
      <w:numFmt w:val="lowerLetter"/>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3" w15:restartNumberingAfterBreak="0">
    <w:nsid w:val="070E642B"/>
    <w:multiLevelType w:val="multilevel"/>
    <w:tmpl w:val="2E305406"/>
    <w:lvl w:ilvl="0">
      <w:start w:val="2"/>
      <w:numFmt w:val="decimal"/>
      <w:suff w:val="space"/>
      <w:lvlText w:val="%1."/>
      <w:lvlJc w:val="left"/>
      <w:pPr>
        <w:ind w:left="0" w:firstLine="0"/>
      </w:pPr>
      <w:rPr>
        <w:rFonts w:hint="eastAsia"/>
      </w:rPr>
    </w:lvl>
    <w:lvl w:ilvl="1">
      <w:start w:val="1"/>
      <w:numFmt w:val="decimal"/>
      <w:suff w:val="space"/>
      <w:lvlText w:val="1.%2"/>
      <w:lvlJc w:val="left"/>
      <w:pPr>
        <w:ind w:left="0" w:firstLine="0"/>
      </w:pPr>
      <w:rPr>
        <w:rFonts w:ascii="Times New Roman" w:hAnsi="Times New Roman" w:cs="Times New Roman" w:hint="default"/>
        <w:sz w:val="24"/>
        <w:szCs w:val="24"/>
      </w:rPr>
    </w:lvl>
    <w:lvl w:ilvl="2">
      <w:start w:val="1"/>
      <w:numFmt w:val="decimal"/>
      <w:suff w:val="space"/>
      <w:lvlText w:val="%1.%2.%3."/>
      <w:lvlJc w:val="left"/>
      <w:pPr>
        <w:ind w:left="0" w:firstLine="0"/>
      </w:pPr>
      <w:rPr>
        <w:rFonts w:ascii="Times New Roman" w:eastAsia="宋体" w:hAnsi="Times New Roman" w:cs="Times New Roman" w:hint="default"/>
        <w:caps w:val="0"/>
        <w:strike w:val="0"/>
        <w:dstrike w:val="0"/>
        <w:snapToGrid w:val="0"/>
        <w:vanish w:val="0"/>
        <w:kern w:val="0"/>
        <w:sz w:val="24"/>
        <w:szCs w:val="24"/>
        <w:vertAlign w:val="baseline"/>
      </w:rPr>
    </w:lvl>
    <w:lvl w:ilvl="3">
      <w:start w:val="1"/>
      <w:numFmt w:val="decimal"/>
      <w:suff w:val="space"/>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0A47751A"/>
    <w:multiLevelType w:val="multilevel"/>
    <w:tmpl w:val="0D2A4034"/>
    <w:lvl w:ilvl="0">
      <w:start w:val="1"/>
      <w:numFmt w:val="decimal"/>
      <w:suff w:val="space"/>
      <w:lvlText w:val="%1."/>
      <w:lvlJc w:val="left"/>
      <w:pPr>
        <w:ind w:left="0" w:firstLine="0"/>
      </w:pPr>
      <w:rPr>
        <w:rFonts w:ascii="Times New Roman" w:eastAsia="仿宋_GB2312" w:hAnsi="Times New Roman" w:hint="default"/>
        <w:b w:val="0"/>
        <w:i w:val="0"/>
        <w:color w:val="auto"/>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0B4A3842"/>
    <w:multiLevelType w:val="hybridMultilevel"/>
    <w:tmpl w:val="F6AE0B12"/>
    <w:lvl w:ilvl="0" w:tplc="2B06FD7C">
      <w:start w:val="2022"/>
      <w:numFmt w:val="bullet"/>
      <w:lvlText w:val="—"/>
      <w:lvlJc w:val="left"/>
      <w:pPr>
        <w:ind w:left="360" w:hanging="360"/>
      </w:pPr>
      <w:rPr>
        <w:rFonts w:ascii="Times New Roman" w:eastAsia="Adobe 仿宋 Std R" w:hAnsi="Times New Roman" w:cs="Times New Roman" w:hint="default"/>
        <w:sz w:val="28"/>
        <w:szCs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2852860"/>
    <w:multiLevelType w:val="multilevel"/>
    <w:tmpl w:val="39085812"/>
    <w:lvl w:ilvl="0">
      <w:start w:val="1"/>
      <w:numFmt w:val="decimal"/>
      <w:suff w:val="space"/>
      <w:lvlText w:val="%1."/>
      <w:lvlJc w:val="left"/>
      <w:pPr>
        <w:ind w:left="0" w:firstLine="0"/>
      </w:pPr>
      <w:rPr>
        <w:rFonts w:ascii="Times New Roman" w:eastAsia="仿宋_GB2312" w:hAnsi="Times New Roman" w:hint="default"/>
        <w:b w:val="0"/>
        <w:i w:val="0"/>
        <w:color w:val="auto"/>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 w15:restartNumberingAfterBreak="0">
    <w:nsid w:val="18035D0E"/>
    <w:multiLevelType w:val="multilevel"/>
    <w:tmpl w:val="990611FC"/>
    <w:lvl w:ilvl="0">
      <w:start w:val="2"/>
      <w:numFmt w:val="decimal"/>
      <w:suff w:val="space"/>
      <w:lvlText w:val="%1."/>
      <w:lvlJc w:val="left"/>
      <w:pPr>
        <w:ind w:left="0" w:firstLine="0"/>
      </w:pPr>
      <w:rPr>
        <w:rFonts w:hint="eastAsia"/>
      </w:rPr>
    </w:lvl>
    <w:lvl w:ilvl="1">
      <w:start w:val="1"/>
      <w:numFmt w:val="decimal"/>
      <w:suff w:val="space"/>
      <w:lvlText w:val="2.%2"/>
      <w:lvlJc w:val="left"/>
      <w:pPr>
        <w:ind w:left="0" w:firstLine="0"/>
      </w:pPr>
      <w:rPr>
        <w:rFonts w:ascii="Times New Roman" w:hAnsi="Times New Roman" w:cs="Times New Roman" w:hint="default"/>
        <w:sz w:val="24"/>
        <w:szCs w:val="24"/>
      </w:rPr>
    </w:lvl>
    <w:lvl w:ilvl="2">
      <w:start w:val="1"/>
      <w:numFmt w:val="decimal"/>
      <w:suff w:val="space"/>
      <w:lvlText w:val="%1.%2.%3"/>
      <w:lvlJc w:val="left"/>
      <w:pPr>
        <w:ind w:left="0" w:firstLine="0"/>
      </w:pPr>
      <w:rPr>
        <w:rFonts w:ascii="Times New Roman" w:eastAsia="宋体" w:hAnsi="Times New Roman" w:cs="Times New Roman" w:hint="default"/>
        <w:caps w:val="0"/>
        <w:strike w:val="0"/>
        <w:dstrike w:val="0"/>
        <w:snapToGrid w:val="0"/>
        <w:vanish w:val="0"/>
        <w:kern w:val="0"/>
        <w:sz w:val="24"/>
        <w:szCs w:val="24"/>
        <w:vertAlign w:val="baseline"/>
      </w:rPr>
    </w:lvl>
    <w:lvl w:ilvl="3">
      <w:start w:val="1"/>
      <w:numFmt w:val="decimal"/>
      <w:suff w:val="space"/>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 w15:restartNumberingAfterBreak="0">
    <w:nsid w:val="1A655CFB"/>
    <w:multiLevelType w:val="multilevel"/>
    <w:tmpl w:val="F060285A"/>
    <w:lvl w:ilvl="0">
      <w:start w:val="1"/>
      <w:numFmt w:val="decimal"/>
      <w:suff w:val="space"/>
      <w:lvlText w:val="%1."/>
      <w:lvlJc w:val="left"/>
      <w:pPr>
        <w:ind w:left="0" w:firstLine="0"/>
      </w:pPr>
      <w:rPr>
        <w:rFonts w:hint="eastAsia"/>
        <w:b w:val="0"/>
        <w:i w:val="0"/>
      </w:rPr>
    </w:lvl>
    <w:lvl w:ilvl="1">
      <w:start w:val="1"/>
      <w:numFmt w:val="lowerLetter"/>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9" w15:restartNumberingAfterBreak="0">
    <w:nsid w:val="1C006A1D"/>
    <w:multiLevelType w:val="multilevel"/>
    <w:tmpl w:val="1C006A1D"/>
    <w:lvl w:ilvl="0">
      <w:start w:val="1"/>
      <w:numFmt w:val="decimal"/>
      <w:suff w:val="space"/>
      <w:lvlText w:val="%1."/>
      <w:lvlJc w:val="left"/>
      <w:pPr>
        <w:ind w:left="1060" w:hanging="420"/>
      </w:pPr>
      <w:rPr>
        <w:rFonts w:ascii="Times New Roman" w:hAnsi="Times New Roman" w:cs="Times New Roman"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0" w15:restartNumberingAfterBreak="0">
    <w:nsid w:val="20157795"/>
    <w:multiLevelType w:val="multilevel"/>
    <w:tmpl w:val="1E9488FA"/>
    <w:lvl w:ilvl="0">
      <w:start w:val="3"/>
      <w:numFmt w:val="decimal"/>
      <w:lvlText w:val="%1"/>
      <w:lvlJc w:val="left"/>
      <w:pPr>
        <w:ind w:left="0" w:firstLine="0"/>
      </w:pPr>
      <w:rPr>
        <w:rFonts w:ascii="微软雅黑" w:eastAsia="微软雅黑" w:hAnsi="微软雅黑" w:cs="微软雅黑" w:hint="default"/>
      </w:rPr>
    </w:lvl>
    <w:lvl w:ilvl="1">
      <w:start w:val="1"/>
      <w:numFmt w:val="decimal"/>
      <w:suff w:val="space"/>
      <w:lvlText w:val="%1.%2"/>
      <w:lvlJc w:val="left"/>
      <w:pPr>
        <w:ind w:left="0" w:firstLine="0"/>
      </w:pPr>
      <w:rPr>
        <w:rFonts w:ascii="Times New Roman" w:eastAsia="宋体" w:hAnsi="Times New Roman" w:cs="Times New Roman" w:hint="default"/>
        <w:sz w:val="24"/>
        <w:szCs w:val="24"/>
      </w:rPr>
    </w:lvl>
    <w:lvl w:ilvl="2">
      <w:start w:val="1"/>
      <w:numFmt w:val="decimal"/>
      <w:suff w:val="space"/>
      <w:lvlText w:val="%1.%2.%3."/>
      <w:lvlJc w:val="left"/>
      <w:pPr>
        <w:ind w:left="0" w:firstLine="0"/>
      </w:pPr>
      <w:rPr>
        <w:rFonts w:ascii="Times New Roman" w:eastAsia="宋体" w:hAnsi="Times New Roman" w:cs="Times New Roman" w:hint="default"/>
      </w:rPr>
    </w:lvl>
    <w:lvl w:ilvl="3">
      <w:start w:val="1"/>
      <w:numFmt w:val="decimal"/>
      <w:suff w:val="space"/>
      <w:lvlText w:val="%1.%2.%3.%4"/>
      <w:lvlJc w:val="left"/>
      <w:pPr>
        <w:ind w:left="0" w:firstLine="0"/>
      </w:pPr>
      <w:rPr>
        <w:rFonts w:ascii="Times New Roman" w:eastAsia="微软雅黑" w:hAnsi="Times New Roman" w:cs="Times New Roman" w:hint="default"/>
      </w:rPr>
    </w:lvl>
    <w:lvl w:ilvl="4">
      <w:start w:val="1"/>
      <w:numFmt w:val="decimal"/>
      <w:lvlText w:val="%1.%2.%3.%4.%5"/>
      <w:lvlJc w:val="left"/>
      <w:pPr>
        <w:ind w:left="0" w:firstLine="0"/>
      </w:pPr>
      <w:rPr>
        <w:rFonts w:ascii="微软雅黑" w:eastAsia="微软雅黑" w:hAnsi="微软雅黑" w:cs="微软雅黑" w:hint="default"/>
      </w:rPr>
    </w:lvl>
    <w:lvl w:ilvl="5">
      <w:start w:val="1"/>
      <w:numFmt w:val="decimal"/>
      <w:lvlText w:val="%1.%2.%3.%4.%5.%6"/>
      <w:lvlJc w:val="left"/>
      <w:pPr>
        <w:ind w:left="0" w:firstLine="0"/>
      </w:pPr>
      <w:rPr>
        <w:rFonts w:ascii="微软雅黑" w:eastAsia="微软雅黑" w:hAnsi="微软雅黑" w:cs="微软雅黑" w:hint="default"/>
      </w:rPr>
    </w:lvl>
    <w:lvl w:ilvl="6">
      <w:start w:val="1"/>
      <w:numFmt w:val="decimal"/>
      <w:lvlText w:val="%1.%2.%3.%4.%5.%6.%7"/>
      <w:lvlJc w:val="left"/>
      <w:pPr>
        <w:ind w:left="0" w:firstLine="0"/>
      </w:pPr>
      <w:rPr>
        <w:rFonts w:ascii="微软雅黑" w:eastAsia="微软雅黑" w:hAnsi="微软雅黑" w:cs="微软雅黑" w:hint="default"/>
      </w:rPr>
    </w:lvl>
    <w:lvl w:ilvl="7">
      <w:start w:val="1"/>
      <w:numFmt w:val="decimal"/>
      <w:lvlText w:val="%1.%2.%3.%4.%5.%6.%7.%8"/>
      <w:lvlJc w:val="left"/>
      <w:pPr>
        <w:ind w:left="0" w:firstLine="0"/>
      </w:pPr>
      <w:rPr>
        <w:rFonts w:ascii="微软雅黑" w:eastAsia="微软雅黑" w:hAnsi="微软雅黑" w:cs="微软雅黑" w:hint="default"/>
      </w:rPr>
    </w:lvl>
    <w:lvl w:ilvl="8">
      <w:start w:val="1"/>
      <w:numFmt w:val="decimal"/>
      <w:lvlText w:val="%1.%2.%3.%4.%5.%6.%7.%8.%9"/>
      <w:lvlJc w:val="left"/>
      <w:pPr>
        <w:ind w:left="0" w:firstLine="0"/>
      </w:pPr>
      <w:rPr>
        <w:rFonts w:ascii="微软雅黑" w:eastAsia="微软雅黑" w:hAnsi="微软雅黑" w:cs="微软雅黑" w:hint="default"/>
      </w:rPr>
    </w:lvl>
  </w:abstractNum>
  <w:abstractNum w:abstractNumId="11" w15:restartNumberingAfterBreak="0">
    <w:nsid w:val="20DC3DEB"/>
    <w:multiLevelType w:val="multilevel"/>
    <w:tmpl w:val="4192F614"/>
    <w:lvl w:ilvl="0">
      <w:start w:val="1"/>
      <w:numFmt w:val="decimal"/>
      <w:suff w:val="nothing"/>
      <w:lvlText w:val="（%1）"/>
      <w:lvlJc w:val="left"/>
      <w:pPr>
        <w:ind w:left="0" w:firstLine="0"/>
      </w:pPr>
      <w:rPr>
        <w:rFonts w:ascii="Times New Roman" w:eastAsia="仿宋_GB2312" w:hAnsi="Times New Roman" w:hint="default"/>
        <w:b w:val="0"/>
        <w:i w:val="0"/>
      </w:rPr>
    </w:lvl>
    <w:lvl w:ilvl="1">
      <w:start w:val="1"/>
      <w:numFmt w:val="lowerLetter"/>
      <w:suff w:val="space"/>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2" w15:restartNumberingAfterBreak="0">
    <w:nsid w:val="2432384B"/>
    <w:multiLevelType w:val="multilevel"/>
    <w:tmpl w:val="4192F614"/>
    <w:lvl w:ilvl="0">
      <w:start w:val="1"/>
      <w:numFmt w:val="decimal"/>
      <w:suff w:val="nothing"/>
      <w:lvlText w:val="（%1）"/>
      <w:lvlJc w:val="left"/>
      <w:pPr>
        <w:ind w:left="0" w:firstLine="0"/>
      </w:pPr>
      <w:rPr>
        <w:rFonts w:ascii="Times New Roman" w:eastAsia="仿宋_GB2312" w:hAnsi="Times New Roman" w:hint="default"/>
        <w:b w:val="0"/>
        <w:i w:val="0"/>
      </w:rPr>
    </w:lvl>
    <w:lvl w:ilvl="1">
      <w:start w:val="1"/>
      <w:numFmt w:val="lowerLetter"/>
      <w:suff w:val="space"/>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13" w15:restartNumberingAfterBreak="0">
    <w:nsid w:val="28F20BCD"/>
    <w:multiLevelType w:val="hybridMultilevel"/>
    <w:tmpl w:val="35A8E034"/>
    <w:lvl w:ilvl="0" w:tplc="21143E44">
      <w:start w:val="2022"/>
      <w:numFmt w:val="bullet"/>
      <w:lvlText w:val="—"/>
      <w:lvlJc w:val="left"/>
      <w:pPr>
        <w:ind w:left="360" w:hanging="360"/>
      </w:pPr>
      <w:rPr>
        <w:rFonts w:ascii="Times New Roman" w:eastAsia="Adobe 仿宋 Std R"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90D0F99"/>
    <w:multiLevelType w:val="multilevel"/>
    <w:tmpl w:val="16C040A6"/>
    <w:lvl w:ilvl="0">
      <w:start w:val="3"/>
      <w:numFmt w:val="decimal"/>
      <w:suff w:val="space"/>
      <w:lvlText w:val="%1."/>
      <w:lvlJc w:val="left"/>
      <w:pPr>
        <w:ind w:left="0" w:firstLine="0"/>
      </w:pPr>
      <w:rPr>
        <w:rFonts w:ascii="Times New Roman" w:eastAsia="仿宋_GB2312" w:hAnsi="Times New Roman" w:hint="default"/>
        <w:b w:val="0"/>
        <w:i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 w15:restartNumberingAfterBreak="0">
    <w:nsid w:val="2C2E0A5E"/>
    <w:multiLevelType w:val="multilevel"/>
    <w:tmpl w:val="43B6EC44"/>
    <w:lvl w:ilvl="0">
      <w:start w:val="1"/>
      <w:numFmt w:val="decimal"/>
      <w:suff w:val="space"/>
      <w:lvlText w:val="%1."/>
      <w:lvlJc w:val="left"/>
      <w:pPr>
        <w:ind w:left="0" w:firstLine="0"/>
      </w:pPr>
      <w:rPr>
        <w:rFonts w:ascii="Times New Roman" w:eastAsia="仿宋_GB2312" w:hAnsi="Times New Roman" w:hint="default"/>
        <w:b w:val="0"/>
        <w:i w:val="0"/>
        <w:strike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6" w15:restartNumberingAfterBreak="0">
    <w:nsid w:val="2FEF2EA3"/>
    <w:multiLevelType w:val="multilevel"/>
    <w:tmpl w:val="36BB50DF"/>
    <w:lvl w:ilvl="0">
      <w:start w:val="1"/>
      <w:numFmt w:val="chineseCountingThousand"/>
      <w:suff w:val="nothing"/>
      <w:lvlText w:val="（%1）"/>
      <w:lvlJc w:val="left"/>
      <w:pPr>
        <w:ind w:left="1060" w:hanging="420"/>
      </w:pPr>
      <w:rPr>
        <w:rFonts w:eastAsia="楷体_GB2312"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7" w15:restartNumberingAfterBreak="0">
    <w:nsid w:val="327320AB"/>
    <w:multiLevelType w:val="hybridMultilevel"/>
    <w:tmpl w:val="075A778E"/>
    <w:lvl w:ilvl="0" w:tplc="5D2A7946">
      <w:start w:val="1"/>
      <w:numFmt w:val="decimal"/>
      <w:lvlText w:val="%1."/>
      <w:lvlJc w:val="left"/>
      <w:pPr>
        <w:ind w:left="360" w:hanging="360"/>
      </w:pPr>
      <w:rPr>
        <w:rFonts w:eastAsia="宋体" w:cs="Times New Roman"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3533B57"/>
    <w:multiLevelType w:val="multilevel"/>
    <w:tmpl w:val="36BB50DF"/>
    <w:lvl w:ilvl="0">
      <w:start w:val="1"/>
      <w:numFmt w:val="chineseCountingThousand"/>
      <w:suff w:val="nothing"/>
      <w:lvlText w:val="（%1）"/>
      <w:lvlJc w:val="left"/>
      <w:pPr>
        <w:ind w:left="1060" w:hanging="420"/>
      </w:pPr>
      <w:rPr>
        <w:rFonts w:eastAsia="楷体_GB2312"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9" w15:restartNumberingAfterBreak="0">
    <w:nsid w:val="36BB50DF"/>
    <w:multiLevelType w:val="multilevel"/>
    <w:tmpl w:val="36BB50DF"/>
    <w:lvl w:ilvl="0">
      <w:start w:val="1"/>
      <w:numFmt w:val="chineseCountingThousand"/>
      <w:suff w:val="nothing"/>
      <w:lvlText w:val="（%1）"/>
      <w:lvlJc w:val="left"/>
      <w:pPr>
        <w:ind w:left="1060" w:hanging="420"/>
      </w:pPr>
      <w:rPr>
        <w:rFonts w:eastAsia="楷体_GB2312"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0" w15:restartNumberingAfterBreak="0">
    <w:nsid w:val="39CD5B4B"/>
    <w:multiLevelType w:val="singleLevel"/>
    <w:tmpl w:val="2D02EEE8"/>
    <w:lvl w:ilvl="0">
      <w:start w:val="1"/>
      <w:numFmt w:val="decimal"/>
      <w:suff w:val="space"/>
      <w:lvlText w:val="%1."/>
      <w:lvlJc w:val="left"/>
      <w:pPr>
        <w:ind w:left="0" w:firstLine="0"/>
      </w:pPr>
      <w:rPr>
        <w:rFonts w:hint="eastAsia"/>
      </w:rPr>
    </w:lvl>
  </w:abstractNum>
  <w:abstractNum w:abstractNumId="21" w15:restartNumberingAfterBreak="0">
    <w:nsid w:val="415C23C1"/>
    <w:multiLevelType w:val="multilevel"/>
    <w:tmpl w:val="991EA8DA"/>
    <w:lvl w:ilvl="0">
      <w:start w:val="5"/>
      <w:numFmt w:val="decimal"/>
      <w:suff w:val="space"/>
      <w:lvlText w:val="%1."/>
      <w:lvlJc w:val="left"/>
      <w:pPr>
        <w:ind w:left="0" w:firstLine="0"/>
      </w:pPr>
      <w:rPr>
        <w:rFonts w:ascii="Times New Roman" w:eastAsia="仿宋_GB2312" w:hAnsi="Times New Roman" w:hint="default"/>
        <w:b w:val="0"/>
        <w:i w:val="0"/>
        <w:sz w:val="32"/>
      </w:rPr>
    </w:lvl>
    <w:lvl w:ilvl="1">
      <w:start w:val="1"/>
      <w:numFmt w:val="decimal"/>
      <w:lvlRestart w:val="0"/>
      <w:suff w:val="space"/>
      <w:lvlText w:val="4.%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2" w15:restartNumberingAfterBreak="0">
    <w:nsid w:val="43E328C7"/>
    <w:multiLevelType w:val="multilevel"/>
    <w:tmpl w:val="C64E40D6"/>
    <w:lvl w:ilvl="0">
      <w:start w:val="1"/>
      <w:numFmt w:val="decimal"/>
      <w:suff w:val="nothing"/>
      <w:lvlText w:val="（%1）"/>
      <w:lvlJc w:val="left"/>
      <w:pPr>
        <w:ind w:left="1060" w:hanging="420"/>
      </w:pPr>
      <w:rPr>
        <w:rFonts w:ascii="Times New Roman" w:eastAsia="仿宋_GB2312" w:hAnsi="Times New Roman" w:hint="default"/>
        <w:b w:val="0"/>
        <w:i w:val="0"/>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3" w15:restartNumberingAfterBreak="0">
    <w:nsid w:val="46C664D7"/>
    <w:multiLevelType w:val="hybridMultilevel"/>
    <w:tmpl w:val="9A38D918"/>
    <w:lvl w:ilvl="0" w:tplc="FE628F22">
      <w:start w:val="2022"/>
      <w:numFmt w:val="bullet"/>
      <w:lvlText w:val="—"/>
      <w:lvlJc w:val="left"/>
      <w:pPr>
        <w:ind w:left="360" w:hanging="360"/>
      </w:pPr>
      <w:rPr>
        <w:rFonts w:ascii="Times New Roman" w:eastAsia="Adobe 仿宋 Std R"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9191024"/>
    <w:multiLevelType w:val="multilevel"/>
    <w:tmpl w:val="46489164"/>
    <w:lvl w:ilvl="0">
      <w:start w:val="1"/>
      <w:numFmt w:val="chineseCountingThousand"/>
      <w:suff w:val="nothing"/>
      <w:lvlText w:val="%1、"/>
      <w:lvlJc w:val="left"/>
      <w:pPr>
        <w:ind w:left="1060" w:hanging="420"/>
      </w:pPr>
      <w:rPr>
        <w:rFonts w:eastAsia="黑体" w:hint="eastAsia"/>
        <w:sz w:val="30"/>
        <w:lang w:val="en-US"/>
      </w:rPr>
    </w:lvl>
    <w:lvl w:ilvl="1">
      <w:start w:val="1"/>
      <w:numFmt w:val="japaneseCounting"/>
      <w:lvlText w:val="（%2）"/>
      <w:lvlJc w:val="left"/>
      <w:pPr>
        <w:ind w:left="2140" w:hanging="1080"/>
      </w:pPr>
      <w:rPr>
        <w:rFonts w:eastAsia="楷体_GB2312" w:hint="default"/>
      </w:rPr>
    </w:lvl>
    <w:lvl w:ilvl="2">
      <w:start w:val="1"/>
      <w:numFmt w:val="lowerRoman"/>
      <w:lvlText w:val="%3."/>
      <w:lvlJc w:val="right"/>
      <w:pPr>
        <w:ind w:left="1900" w:hanging="420"/>
      </w:pPr>
      <w:rPr>
        <w:rFonts w:hint="eastAsia"/>
      </w:rPr>
    </w:lvl>
    <w:lvl w:ilvl="3">
      <w:start w:val="1"/>
      <w:numFmt w:val="decimal"/>
      <w:lvlText w:val="%4."/>
      <w:lvlJc w:val="left"/>
      <w:pPr>
        <w:ind w:left="2320" w:hanging="420"/>
      </w:pPr>
      <w:rPr>
        <w:rFonts w:hint="eastAsia"/>
      </w:rPr>
    </w:lvl>
    <w:lvl w:ilvl="4">
      <w:start w:val="1"/>
      <w:numFmt w:val="lowerLetter"/>
      <w:lvlText w:val="%5)"/>
      <w:lvlJc w:val="left"/>
      <w:pPr>
        <w:ind w:left="2740" w:hanging="420"/>
      </w:pPr>
      <w:rPr>
        <w:rFonts w:hint="eastAsia"/>
      </w:rPr>
    </w:lvl>
    <w:lvl w:ilvl="5">
      <w:start w:val="1"/>
      <w:numFmt w:val="lowerRoman"/>
      <w:lvlText w:val="%6."/>
      <w:lvlJc w:val="right"/>
      <w:pPr>
        <w:ind w:left="3160" w:hanging="420"/>
      </w:pPr>
      <w:rPr>
        <w:rFonts w:hint="eastAsia"/>
      </w:rPr>
    </w:lvl>
    <w:lvl w:ilvl="6">
      <w:start w:val="1"/>
      <w:numFmt w:val="decimal"/>
      <w:lvlText w:val="%7."/>
      <w:lvlJc w:val="left"/>
      <w:pPr>
        <w:ind w:left="3580" w:hanging="420"/>
      </w:pPr>
      <w:rPr>
        <w:rFonts w:hint="eastAsia"/>
      </w:rPr>
    </w:lvl>
    <w:lvl w:ilvl="7">
      <w:start w:val="1"/>
      <w:numFmt w:val="lowerLetter"/>
      <w:lvlText w:val="%8)"/>
      <w:lvlJc w:val="left"/>
      <w:pPr>
        <w:ind w:left="4000" w:hanging="420"/>
      </w:pPr>
      <w:rPr>
        <w:rFonts w:hint="eastAsia"/>
      </w:rPr>
    </w:lvl>
    <w:lvl w:ilvl="8">
      <w:start w:val="1"/>
      <w:numFmt w:val="lowerRoman"/>
      <w:lvlText w:val="%9."/>
      <w:lvlJc w:val="right"/>
      <w:pPr>
        <w:ind w:left="4420" w:hanging="420"/>
      </w:pPr>
      <w:rPr>
        <w:rFonts w:hint="eastAsia"/>
      </w:rPr>
    </w:lvl>
  </w:abstractNum>
  <w:abstractNum w:abstractNumId="25" w15:restartNumberingAfterBreak="0">
    <w:nsid w:val="4C4410F2"/>
    <w:multiLevelType w:val="hybridMultilevel"/>
    <w:tmpl w:val="786E8F7C"/>
    <w:lvl w:ilvl="0" w:tplc="B0B0FE62">
      <w:start w:val="1"/>
      <w:numFmt w:val="chineseCountingThousand"/>
      <w:suff w:val="nothing"/>
      <w:lvlText w:val="%1、"/>
      <w:lvlJc w:val="left"/>
      <w:pPr>
        <w:ind w:left="0" w:firstLine="0"/>
      </w:pPr>
      <w:rPr>
        <w:rFonts w:eastAsia="黑体"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15:restartNumberingAfterBreak="0">
    <w:nsid w:val="4DEE7BAF"/>
    <w:multiLevelType w:val="multilevel"/>
    <w:tmpl w:val="F4286C52"/>
    <w:lvl w:ilvl="0">
      <w:start w:val="1"/>
      <w:numFmt w:val="decimal"/>
      <w:suff w:val="space"/>
      <w:lvlText w:val="%1."/>
      <w:lvlJc w:val="left"/>
      <w:pPr>
        <w:ind w:left="336" w:hanging="194"/>
      </w:pPr>
      <w:rPr>
        <w:rFonts w:ascii="Times New Roman" w:eastAsia="宋体" w:hAnsi="Times New Roman" w:cs="Times New Roman" w:hint="default"/>
        <w:b w:val="0"/>
        <w:bCs/>
        <w:spacing w:val="-4"/>
        <w:w w:val="107"/>
      </w:rPr>
    </w:lvl>
    <w:lvl w:ilvl="1">
      <w:start w:val="1"/>
      <w:numFmt w:val="upperLetter"/>
      <w:lvlText w:val="%2."/>
      <w:lvlJc w:val="left"/>
      <w:pPr>
        <w:ind w:left="1054" w:hanging="328"/>
      </w:pPr>
      <w:rPr>
        <w:rFonts w:ascii="Times New Roman" w:eastAsia="宋体" w:hAnsi="Times New Roman" w:hint="default"/>
        <w:w w:val="90"/>
      </w:rPr>
    </w:lvl>
    <w:lvl w:ilvl="2">
      <w:start w:val="1"/>
      <w:numFmt w:val="bullet"/>
      <w:lvlText w:val="•"/>
      <w:lvlJc w:val="left"/>
      <w:pPr>
        <w:ind w:left="1060" w:hanging="328"/>
      </w:pPr>
      <w:rPr>
        <w:rFonts w:hint="default"/>
      </w:rPr>
    </w:lvl>
    <w:lvl w:ilvl="3">
      <w:start w:val="1"/>
      <w:numFmt w:val="bullet"/>
      <w:lvlText w:val="•"/>
      <w:lvlJc w:val="left"/>
      <w:pPr>
        <w:ind w:left="2117" w:hanging="328"/>
      </w:pPr>
      <w:rPr>
        <w:rFonts w:hint="default"/>
      </w:rPr>
    </w:lvl>
    <w:lvl w:ilvl="4">
      <w:start w:val="1"/>
      <w:numFmt w:val="bullet"/>
      <w:lvlText w:val="•"/>
      <w:lvlJc w:val="left"/>
      <w:pPr>
        <w:ind w:left="3175" w:hanging="328"/>
      </w:pPr>
      <w:rPr>
        <w:rFonts w:hint="default"/>
      </w:rPr>
    </w:lvl>
    <w:lvl w:ilvl="5">
      <w:start w:val="1"/>
      <w:numFmt w:val="bullet"/>
      <w:lvlText w:val="•"/>
      <w:lvlJc w:val="left"/>
      <w:pPr>
        <w:ind w:left="4232" w:hanging="328"/>
      </w:pPr>
      <w:rPr>
        <w:rFonts w:hint="default"/>
      </w:rPr>
    </w:lvl>
    <w:lvl w:ilvl="6">
      <w:start w:val="1"/>
      <w:numFmt w:val="bullet"/>
      <w:lvlText w:val="•"/>
      <w:lvlJc w:val="left"/>
      <w:pPr>
        <w:ind w:left="5290" w:hanging="328"/>
      </w:pPr>
      <w:rPr>
        <w:rFonts w:hint="default"/>
      </w:rPr>
    </w:lvl>
    <w:lvl w:ilvl="7">
      <w:start w:val="1"/>
      <w:numFmt w:val="bullet"/>
      <w:lvlText w:val="•"/>
      <w:lvlJc w:val="left"/>
      <w:pPr>
        <w:ind w:left="6347" w:hanging="328"/>
      </w:pPr>
      <w:rPr>
        <w:rFonts w:hint="default"/>
      </w:rPr>
    </w:lvl>
    <w:lvl w:ilvl="8">
      <w:start w:val="1"/>
      <w:numFmt w:val="bullet"/>
      <w:lvlText w:val="•"/>
      <w:lvlJc w:val="left"/>
      <w:pPr>
        <w:ind w:left="7405" w:hanging="328"/>
      </w:pPr>
      <w:rPr>
        <w:rFonts w:hint="default"/>
      </w:rPr>
    </w:lvl>
  </w:abstractNum>
  <w:abstractNum w:abstractNumId="27" w15:restartNumberingAfterBreak="0">
    <w:nsid w:val="5009342D"/>
    <w:multiLevelType w:val="multilevel"/>
    <w:tmpl w:val="0908D408"/>
    <w:lvl w:ilvl="0">
      <w:start w:val="1"/>
      <w:numFmt w:val="decimal"/>
      <w:suff w:val="space"/>
      <w:lvlText w:val="%1."/>
      <w:lvlJc w:val="left"/>
      <w:pPr>
        <w:ind w:left="0" w:firstLine="0"/>
      </w:pPr>
      <w:rPr>
        <w:rFonts w:ascii="Times New Roman" w:eastAsia="仿宋_GB2312" w:hAnsi="Times New Roman" w:hint="default"/>
        <w:b w:val="0"/>
        <w:i w:val="0"/>
        <w:strike w:val="0"/>
        <w:sz w:val="32"/>
      </w:rPr>
    </w:lvl>
    <w:lvl w:ilvl="1">
      <w:start w:val="1"/>
      <w:numFmt w:val="decimal"/>
      <w:lvlRestart w:val="0"/>
      <w:suff w:val="space"/>
      <w:lvlText w:val="%1.%2"/>
      <w:lvlJc w:val="left"/>
      <w:pPr>
        <w:ind w:left="5955"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8" w15:restartNumberingAfterBreak="0">
    <w:nsid w:val="526E0482"/>
    <w:multiLevelType w:val="multilevel"/>
    <w:tmpl w:val="27D4320E"/>
    <w:lvl w:ilvl="0">
      <w:start w:val="1"/>
      <w:numFmt w:val="decimal"/>
      <w:suff w:val="space"/>
      <w:lvlText w:val="%1."/>
      <w:lvlJc w:val="left"/>
      <w:pPr>
        <w:ind w:left="0" w:firstLine="0"/>
      </w:pPr>
      <w:rPr>
        <w:rFonts w:ascii="Times New Roman" w:eastAsia="仿宋_GB2312" w:hAnsi="Times New Roman" w:hint="default"/>
        <w:b w:val="0"/>
        <w:i w:val="0"/>
        <w:strike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9" w15:restartNumberingAfterBreak="0">
    <w:nsid w:val="569842B3"/>
    <w:multiLevelType w:val="multilevel"/>
    <w:tmpl w:val="1C006A1D"/>
    <w:lvl w:ilvl="0">
      <w:start w:val="1"/>
      <w:numFmt w:val="decimal"/>
      <w:suff w:val="space"/>
      <w:lvlText w:val="%1."/>
      <w:lvlJc w:val="left"/>
      <w:pPr>
        <w:ind w:left="1060" w:hanging="420"/>
      </w:pPr>
      <w:rPr>
        <w:rFonts w:ascii="Times New Roman" w:hAnsi="Times New Roman" w:cs="Times New Roman"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0" w15:restartNumberingAfterBreak="0">
    <w:nsid w:val="5A360F1A"/>
    <w:multiLevelType w:val="multilevel"/>
    <w:tmpl w:val="6AFCD9FA"/>
    <w:lvl w:ilvl="0">
      <w:start w:val="1"/>
      <w:numFmt w:val="chineseCountingThousand"/>
      <w:suff w:val="nothing"/>
      <w:lvlText w:val="（%1）"/>
      <w:lvlJc w:val="left"/>
      <w:pPr>
        <w:ind w:left="1060" w:hanging="420"/>
      </w:pPr>
      <w:rPr>
        <w:rFonts w:eastAsia="楷体_GB2312" w:hint="eastAsia"/>
        <w:lang w:val="en-U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1" w15:restartNumberingAfterBreak="0">
    <w:nsid w:val="61B52C32"/>
    <w:multiLevelType w:val="hybridMultilevel"/>
    <w:tmpl w:val="15442244"/>
    <w:lvl w:ilvl="0" w:tplc="D3EA39D0">
      <w:start w:val="1"/>
      <w:numFmt w:val="chineseCountingThousand"/>
      <w:suff w:val="space"/>
      <w:lvlText w:val="%1、"/>
      <w:lvlJc w:val="left"/>
      <w:pPr>
        <w:ind w:left="0" w:firstLine="0"/>
      </w:pPr>
      <w:rPr>
        <w:rFonts w:eastAsia="黑体"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2" w15:restartNumberingAfterBreak="0">
    <w:nsid w:val="699420D7"/>
    <w:multiLevelType w:val="multilevel"/>
    <w:tmpl w:val="12852860"/>
    <w:lvl w:ilvl="0">
      <w:start w:val="1"/>
      <w:numFmt w:val="decimal"/>
      <w:suff w:val="space"/>
      <w:lvlText w:val="%1."/>
      <w:lvlJc w:val="left"/>
      <w:pPr>
        <w:ind w:left="0" w:firstLine="0"/>
      </w:pPr>
      <w:rPr>
        <w:rFonts w:ascii="Times New Roman" w:eastAsia="仿宋_GB2312" w:hAnsi="Times New Roman" w:hint="default"/>
        <w:b w:val="0"/>
        <w:i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3" w15:restartNumberingAfterBreak="0">
    <w:nsid w:val="69F52593"/>
    <w:multiLevelType w:val="multilevel"/>
    <w:tmpl w:val="4192F614"/>
    <w:lvl w:ilvl="0">
      <w:start w:val="1"/>
      <w:numFmt w:val="decimal"/>
      <w:suff w:val="nothing"/>
      <w:lvlText w:val="（%1）"/>
      <w:lvlJc w:val="left"/>
      <w:pPr>
        <w:ind w:left="0" w:firstLine="0"/>
      </w:pPr>
      <w:rPr>
        <w:rFonts w:ascii="Times New Roman" w:eastAsia="仿宋_GB2312" w:hAnsi="Times New Roman" w:hint="default"/>
        <w:b w:val="0"/>
        <w:i w:val="0"/>
      </w:rPr>
    </w:lvl>
    <w:lvl w:ilvl="1">
      <w:start w:val="1"/>
      <w:numFmt w:val="lowerLetter"/>
      <w:suff w:val="space"/>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abstractNum w:abstractNumId="34" w15:restartNumberingAfterBreak="0">
    <w:nsid w:val="70BB1529"/>
    <w:multiLevelType w:val="multilevel"/>
    <w:tmpl w:val="F48A048A"/>
    <w:lvl w:ilvl="0">
      <w:start w:val="1"/>
      <w:numFmt w:val="decimal"/>
      <w:suff w:val="space"/>
      <w:lvlText w:val="%1."/>
      <w:lvlJc w:val="left"/>
      <w:pPr>
        <w:ind w:left="0" w:firstLine="0"/>
      </w:pPr>
      <w:rPr>
        <w:rFonts w:ascii="Times New Roman" w:eastAsia="仿宋_GB2312" w:hAnsi="Times New Roman" w:hint="default"/>
        <w:b w:val="0"/>
        <w:i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5" w15:restartNumberingAfterBreak="0">
    <w:nsid w:val="723079BE"/>
    <w:multiLevelType w:val="multilevel"/>
    <w:tmpl w:val="13C84588"/>
    <w:lvl w:ilvl="0">
      <w:start w:val="1"/>
      <w:numFmt w:val="decimal"/>
      <w:suff w:val="space"/>
      <w:lvlText w:val="[%1]"/>
      <w:lvlJc w:val="left"/>
      <w:pPr>
        <w:ind w:left="0" w:firstLine="0"/>
      </w:pPr>
      <w:rPr>
        <w:rFonts w:ascii="Times New Roman" w:eastAsia="宋体" w:hAnsi="Times New Roman" w:cs="Times New Roman" w:hint="default"/>
        <w:color w:val="auto"/>
        <w:lang w:val="en-US"/>
      </w:rPr>
    </w:lvl>
    <w:lvl w:ilvl="1">
      <w:start w:val="1"/>
      <w:numFmt w:val="lowerLetter"/>
      <w:lvlText w:val="%2)"/>
      <w:lvlJc w:val="left"/>
      <w:pPr>
        <w:ind w:left="1480" w:hanging="420"/>
      </w:pPr>
      <w:rPr>
        <w:rFonts w:hint="eastAsia"/>
      </w:rPr>
    </w:lvl>
    <w:lvl w:ilvl="2">
      <w:start w:val="1"/>
      <w:numFmt w:val="lowerRoman"/>
      <w:lvlText w:val="%3."/>
      <w:lvlJc w:val="right"/>
      <w:pPr>
        <w:ind w:left="1900" w:hanging="420"/>
      </w:pPr>
      <w:rPr>
        <w:rFonts w:hint="eastAsia"/>
      </w:rPr>
    </w:lvl>
    <w:lvl w:ilvl="3">
      <w:start w:val="1"/>
      <w:numFmt w:val="decimal"/>
      <w:lvlText w:val="%4."/>
      <w:lvlJc w:val="left"/>
      <w:pPr>
        <w:ind w:left="2320" w:hanging="420"/>
      </w:pPr>
      <w:rPr>
        <w:rFonts w:hint="eastAsia"/>
      </w:rPr>
    </w:lvl>
    <w:lvl w:ilvl="4">
      <w:start w:val="1"/>
      <w:numFmt w:val="lowerLetter"/>
      <w:lvlText w:val="%5)"/>
      <w:lvlJc w:val="left"/>
      <w:pPr>
        <w:ind w:left="2740" w:hanging="420"/>
      </w:pPr>
      <w:rPr>
        <w:rFonts w:hint="eastAsia"/>
      </w:rPr>
    </w:lvl>
    <w:lvl w:ilvl="5">
      <w:start w:val="1"/>
      <w:numFmt w:val="lowerRoman"/>
      <w:lvlText w:val="%6."/>
      <w:lvlJc w:val="right"/>
      <w:pPr>
        <w:ind w:left="3160" w:hanging="420"/>
      </w:pPr>
      <w:rPr>
        <w:rFonts w:hint="eastAsia"/>
      </w:rPr>
    </w:lvl>
    <w:lvl w:ilvl="6">
      <w:start w:val="1"/>
      <w:numFmt w:val="decimal"/>
      <w:lvlText w:val="%7."/>
      <w:lvlJc w:val="left"/>
      <w:pPr>
        <w:ind w:left="3580" w:hanging="420"/>
      </w:pPr>
      <w:rPr>
        <w:rFonts w:hint="eastAsia"/>
      </w:rPr>
    </w:lvl>
    <w:lvl w:ilvl="7">
      <w:start w:val="1"/>
      <w:numFmt w:val="lowerLetter"/>
      <w:lvlText w:val="%8)"/>
      <w:lvlJc w:val="left"/>
      <w:pPr>
        <w:ind w:left="4000" w:hanging="420"/>
      </w:pPr>
      <w:rPr>
        <w:rFonts w:hint="eastAsia"/>
      </w:rPr>
    </w:lvl>
    <w:lvl w:ilvl="8">
      <w:start w:val="1"/>
      <w:numFmt w:val="lowerRoman"/>
      <w:lvlText w:val="%9."/>
      <w:lvlJc w:val="right"/>
      <w:pPr>
        <w:ind w:left="4420" w:hanging="420"/>
      </w:pPr>
      <w:rPr>
        <w:rFonts w:hint="eastAsia"/>
      </w:rPr>
    </w:lvl>
  </w:abstractNum>
  <w:abstractNum w:abstractNumId="36" w15:restartNumberingAfterBreak="0">
    <w:nsid w:val="723952F1"/>
    <w:multiLevelType w:val="hybridMultilevel"/>
    <w:tmpl w:val="3468E8F0"/>
    <w:lvl w:ilvl="0" w:tplc="E1C03D80">
      <w:start w:val="2022"/>
      <w:numFmt w:val="bullet"/>
      <w:lvlText w:val="—"/>
      <w:lvlJc w:val="left"/>
      <w:pPr>
        <w:ind w:left="360" w:hanging="360"/>
      </w:pPr>
      <w:rPr>
        <w:rFonts w:ascii="Times New Roman" w:eastAsia="Adobe 仿宋 Std R" w:hAnsi="Times New Roman" w:cs="Times New Roman" w:hint="default"/>
        <w:sz w:val="28"/>
        <w:szCs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28D4986"/>
    <w:multiLevelType w:val="multilevel"/>
    <w:tmpl w:val="A3882450"/>
    <w:lvl w:ilvl="0">
      <w:start w:val="1"/>
      <w:numFmt w:val="decimal"/>
      <w:suff w:val="space"/>
      <w:lvlText w:val="%1."/>
      <w:lvlJc w:val="left"/>
      <w:pPr>
        <w:ind w:left="0" w:firstLine="0"/>
      </w:pPr>
      <w:rPr>
        <w:rFonts w:ascii="Times New Roman" w:eastAsia="仿宋_GB2312" w:hAnsi="Times New Roman" w:hint="default"/>
        <w:b w:val="0"/>
        <w:i w:val="0"/>
        <w:sz w:val="32"/>
      </w:rPr>
    </w:lvl>
    <w:lvl w:ilvl="1">
      <w:start w:val="1"/>
      <w:numFmt w:val="decimal"/>
      <w:lvlRestart w:val="0"/>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8" w15:restartNumberingAfterBreak="0">
    <w:nsid w:val="752609B8"/>
    <w:multiLevelType w:val="multilevel"/>
    <w:tmpl w:val="5D445B76"/>
    <w:lvl w:ilvl="0">
      <w:start w:val="2"/>
      <w:numFmt w:val="decimal"/>
      <w:suff w:val="space"/>
      <w:lvlText w:val="%1."/>
      <w:lvlJc w:val="left"/>
      <w:pPr>
        <w:ind w:left="0" w:firstLine="0"/>
      </w:pPr>
      <w:rPr>
        <w:rFonts w:ascii="Times New Roman" w:eastAsia="仿宋_GB2312" w:hAnsi="Times New Roman" w:hint="default"/>
        <w:b w:val="0"/>
        <w:i w:val="0"/>
        <w:strike w:val="0"/>
        <w:sz w:val="32"/>
      </w:rPr>
    </w:lvl>
    <w:lvl w:ilvl="1">
      <w:start w:val="1"/>
      <w:numFmt w:val="decimal"/>
      <w:lvlRestart w:val="0"/>
      <w:suff w:val="space"/>
      <w:lvlText w:val="%1.%2"/>
      <w:lvlJc w:val="left"/>
      <w:pPr>
        <w:ind w:left="0" w:firstLine="0"/>
      </w:pPr>
      <w:rPr>
        <w:rFonts w:ascii="Times New Roman" w:hAnsi="Times New Roman" w:cs="Times New Roman" w:hint="default"/>
      </w:rPr>
    </w:lvl>
    <w:lvl w:ilvl="2">
      <w:start w:val="1"/>
      <w:numFmt w:val="decimal"/>
      <w:suff w:val="space"/>
      <w:lvlText w:val="%1.%2.%3"/>
      <w:lvlJc w:val="left"/>
      <w:pPr>
        <w:ind w:left="0" w:firstLine="0"/>
      </w:pPr>
      <w:rPr>
        <w:rFonts w:hint="eastAsia"/>
      </w:rPr>
    </w:lvl>
    <w:lvl w:ilvl="3">
      <w:start w:val="1"/>
      <w:numFmt w:val="decimal"/>
      <w:suff w:val="space"/>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9" w15:restartNumberingAfterBreak="0">
    <w:nsid w:val="7B425B6A"/>
    <w:multiLevelType w:val="multilevel"/>
    <w:tmpl w:val="08061ABC"/>
    <w:lvl w:ilvl="0">
      <w:start w:val="1"/>
      <w:numFmt w:val="decimal"/>
      <w:suff w:val="nothing"/>
      <w:lvlText w:val="（%1）"/>
      <w:lvlJc w:val="left"/>
      <w:pPr>
        <w:ind w:left="0" w:firstLine="0"/>
      </w:pPr>
      <w:rPr>
        <w:rFonts w:hint="eastAsia"/>
        <w:b w:val="0"/>
        <w:bCs/>
        <w:spacing w:val="-4"/>
        <w:w w:val="107"/>
      </w:rPr>
    </w:lvl>
    <w:lvl w:ilvl="1">
      <w:start w:val="1"/>
      <w:numFmt w:val="upperLetter"/>
      <w:lvlText w:val="%2."/>
      <w:lvlJc w:val="left"/>
      <w:pPr>
        <w:ind w:left="0" w:firstLine="0"/>
      </w:pPr>
      <w:rPr>
        <w:rFonts w:ascii="Times New Roman" w:eastAsia="宋体" w:hAnsi="Times New Roman" w:hint="default"/>
        <w:w w:val="90"/>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num w:numId="1">
    <w:abstractNumId w:val="24"/>
  </w:num>
  <w:num w:numId="2">
    <w:abstractNumId w:val="19"/>
  </w:num>
  <w:num w:numId="3">
    <w:abstractNumId w:val="6"/>
  </w:num>
  <w:num w:numId="4">
    <w:abstractNumId w:val="22"/>
  </w:num>
  <w:num w:numId="5">
    <w:abstractNumId w:val="8"/>
  </w:num>
  <w:num w:numId="6">
    <w:abstractNumId w:val="9"/>
  </w:num>
  <w:num w:numId="7">
    <w:abstractNumId w:val="35"/>
  </w:num>
  <w:num w:numId="8">
    <w:abstractNumId w:val="39"/>
  </w:num>
  <w:num w:numId="9">
    <w:abstractNumId w:val="20"/>
  </w:num>
  <w:num w:numId="10">
    <w:abstractNumId w:val="1"/>
  </w:num>
  <w:num w:numId="11">
    <w:abstractNumId w:val="0"/>
  </w:num>
  <w:num w:numId="12">
    <w:abstractNumId w:val="32"/>
  </w:num>
  <w:num w:numId="13">
    <w:abstractNumId w:val="12"/>
  </w:num>
  <w:num w:numId="14">
    <w:abstractNumId w:val="26"/>
  </w:num>
  <w:num w:numId="15">
    <w:abstractNumId w:val="25"/>
  </w:num>
  <w:num w:numId="16">
    <w:abstractNumId w:val="31"/>
  </w:num>
  <w:num w:numId="17">
    <w:abstractNumId w:val="3"/>
  </w:num>
  <w:num w:numId="18">
    <w:abstractNumId w:val="7"/>
  </w:num>
  <w:num w:numId="19">
    <w:abstractNumId w:val="10"/>
  </w:num>
  <w:num w:numId="20">
    <w:abstractNumId w:val="30"/>
  </w:num>
  <w:num w:numId="21">
    <w:abstractNumId w:val="4"/>
  </w:num>
  <w:num w:numId="22">
    <w:abstractNumId w:val="15"/>
  </w:num>
  <w:num w:numId="23">
    <w:abstractNumId w:val="16"/>
  </w:num>
  <w:num w:numId="24">
    <w:abstractNumId w:val="37"/>
  </w:num>
  <w:num w:numId="25">
    <w:abstractNumId w:val="14"/>
  </w:num>
  <w:num w:numId="26">
    <w:abstractNumId w:val="34"/>
  </w:num>
  <w:num w:numId="27">
    <w:abstractNumId w:val="2"/>
  </w:num>
  <w:num w:numId="28">
    <w:abstractNumId w:val="28"/>
  </w:num>
  <w:num w:numId="29">
    <w:abstractNumId w:val="11"/>
  </w:num>
  <w:num w:numId="30">
    <w:abstractNumId w:val="33"/>
  </w:num>
  <w:num w:numId="31">
    <w:abstractNumId w:val="29"/>
  </w:num>
  <w:num w:numId="32">
    <w:abstractNumId w:val="27"/>
  </w:num>
  <w:num w:numId="33">
    <w:abstractNumId w:val="38"/>
  </w:num>
  <w:num w:numId="34">
    <w:abstractNumId w:val="18"/>
  </w:num>
  <w:num w:numId="35">
    <w:abstractNumId w:val="21"/>
  </w:num>
  <w:num w:numId="36">
    <w:abstractNumId w:val="36"/>
  </w:num>
  <w:num w:numId="37">
    <w:abstractNumId w:val="5"/>
  </w:num>
  <w:num w:numId="38">
    <w:abstractNumId w:val="23"/>
  </w:num>
  <w:num w:numId="39">
    <w:abstractNumId w:val="13"/>
  </w:num>
  <w:num w:numId="40">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60"/>
  <w:drawingGridVerticalSpacing w:val="435"/>
  <w:displayHorizontalDrawingGridEvery w:val="0"/>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7E"/>
    <w:rsid w:val="DEF70035"/>
    <w:rsid w:val="DFFFE17D"/>
    <w:rsid w:val="ED776AC6"/>
    <w:rsid w:val="EF9F915E"/>
    <w:rsid w:val="FBB7C68F"/>
    <w:rsid w:val="FDF752B8"/>
    <w:rsid w:val="FF7F9E8F"/>
    <w:rsid w:val="00003451"/>
    <w:rsid w:val="00020162"/>
    <w:rsid w:val="00021955"/>
    <w:rsid w:val="0002396E"/>
    <w:rsid w:val="00056A28"/>
    <w:rsid w:val="00060C10"/>
    <w:rsid w:val="00066D66"/>
    <w:rsid w:val="0007686E"/>
    <w:rsid w:val="000778E3"/>
    <w:rsid w:val="000B4C9B"/>
    <w:rsid w:val="000B5D87"/>
    <w:rsid w:val="000C48A1"/>
    <w:rsid w:val="000E5335"/>
    <w:rsid w:val="0010320F"/>
    <w:rsid w:val="00145167"/>
    <w:rsid w:val="0015622E"/>
    <w:rsid w:val="001832C0"/>
    <w:rsid w:val="00193094"/>
    <w:rsid w:val="001C3A87"/>
    <w:rsid w:val="001E0961"/>
    <w:rsid w:val="001E4E81"/>
    <w:rsid w:val="0022585F"/>
    <w:rsid w:val="00241E57"/>
    <w:rsid w:val="00242375"/>
    <w:rsid w:val="00244DF7"/>
    <w:rsid w:val="00246390"/>
    <w:rsid w:val="00275A48"/>
    <w:rsid w:val="00277473"/>
    <w:rsid w:val="00291759"/>
    <w:rsid w:val="002925B7"/>
    <w:rsid w:val="00294D2B"/>
    <w:rsid w:val="00295369"/>
    <w:rsid w:val="002B2048"/>
    <w:rsid w:val="002B24A0"/>
    <w:rsid w:val="002D3B6C"/>
    <w:rsid w:val="002F2978"/>
    <w:rsid w:val="002F309D"/>
    <w:rsid w:val="0030368E"/>
    <w:rsid w:val="003047D2"/>
    <w:rsid w:val="0031186D"/>
    <w:rsid w:val="003137C1"/>
    <w:rsid w:val="00332DE8"/>
    <w:rsid w:val="003450A4"/>
    <w:rsid w:val="00347979"/>
    <w:rsid w:val="003549E8"/>
    <w:rsid w:val="00355421"/>
    <w:rsid w:val="00365AB2"/>
    <w:rsid w:val="003948E9"/>
    <w:rsid w:val="00410598"/>
    <w:rsid w:val="0041581E"/>
    <w:rsid w:val="00417579"/>
    <w:rsid w:val="00435AC6"/>
    <w:rsid w:val="00440708"/>
    <w:rsid w:val="00440AA4"/>
    <w:rsid w:val="004410B9"/>
    <w:rsid w:val="0045151A"/>
    <w:rsid w:val="0046669C"/>
    <w:rsid w:val="00483A83"/>
    <w:rsid w:val="00493D2A"/>
    <w:rsid w:val="004B2F13"/>
    <w:rsid w:val="004C4DBC"/>
    <w:rsid w:val="004C7137"/>
    <w:rsid w:val="004E39ED"/>
    <w:rsid w:val="004E3D4B"/>
    <w:rsid w:val="004F0151"/>
    <w:rsid w:val="005041BA"/>
    <w:rsid w:val="005277E2"/>
    <w:rsid w:val="00530384"/>
    <w:rsid w:val="00534F4C"/>
    <w:rsid w:val="00545B8B"/>
    <w:rsid w:val="005609D1"/>
    <w:rsid w:val="005A1410"/>
    <w:rsid w:val="005A204F"/>
    <w:rsid w:val="005B570A"/>
    <w:rsid w:val="005D1959"/>
    <w:rsid w:val="006014D4"/>
    <w:rsid w:val="006126F6"/>
    <w:rsid w:val="0061504E"/>
    <w:rsid w:val="0062419A"/>
    <w:rsid w:val="00654011"/>
    <w:rsid w:val="0065418E"/>
    <w:rsid w:val="00670933"/>
    <w:rsid w:val="006A1165"/>
    <w:rsid w:val="006A1A01"/>
    <w:rsid w:val="006C00CB"/>
    <w:rsid w:val="006C6375"/>
    <w:rsid w:val="006E68A9"/>
    <w:rsid w:val="006E7148"/>
    <w:rsid w:val="00701D58"/>
    <w:rsid w:val="00716619"/>
    <w:rsid w:val="007206A1"/>
    <w:rsid w:val="007239DC"/>
    <w:rsid w:val="00725E46"/>
    <w:rsid w:val="00745098"/>
    <w:rsid w:val="00753D08"/>
    <w:rsid w:val="007646FC"/>
    <w:rsid w:val="00787F7E"/>
    <w:rsid w:val="007904F6"/>
    <w:rsid w:val="007B4B78"/>
    <w:rsid w:val="007D0D0B"/>
    <w:rsid w:val="007D341A"/>
    <w:rsid w:val="00815364"/>
    <w:rsid w:val="00821079"/>
    <w:rsid w:val="0083192A"/>
    <w:rsid w:val="00845C30"/>
    <w:rsid w:val="0087100E"/>
    <w:rsid w:val="00872134"/>
    <w:rsid w:val="008939CD"/>
    <w:rsid w:val="008961B3"/>
    <w:rsid w:val="008A4F25"/>
    <w:rsid w:val="008F5D20"/>
    <w:rsid w:val="00920A47"/>
    <w:rsid w:val="00937F0E"/>
    <w:rsid w:val="009437A5"/>
    <w:rsid w:val="0095790E"/>
    <w:rsid w:val="00970C99"/>
    <w:rsid w:val="0098100B"/>
    <w:rsid w:val="009C2BF6"/>
    <w:rsid w:val="009C41FF"/>
    <w:rsid w:val="009E2514"/>
    <w:rsid w:val="009F209D"/>
    <w:rsid w:val="00A23EC2"/>
    <w:rsid w:val="00A25C1A"/>
    <w:rsid w:val="00A2761C"/>
    <w:rsid w:val="00A572C9"/>
    <w:rsid w:val="00A73BFE"/>
    <w:rsid w:val="00A7566A"/>
    <w:rsid w:val="00AA4FCB"/>
    <w:rsid w:val="00AB660B"/>
    <w:rsid w:val="00AB7E5C"/>
    <w:rsid w:val="00AD08D9"/>
    <w:rsid w:val="00AF26B9"/>
    <w:rsid w:val="00AF3558"/>
    <w:rsid w:val="00AF5D76"/>
    <w:rsid w:val="00B10832"/>
    <w:rsid w:val="00B27DA2"/>
    <w:rsid w:val="00B32C6C"/>
    <w:rsid w:val="00B41578"/>
    <w:rsid w:val="00B63009"/>
    <w:rsid w:val="00B66355"/>
    <w:rsid w:val="00B85063"/>
    <w:rsid w:val="00B9118A"/>
    <w:rsid w:val="00BB2596"/>
    <w:rsid w:val="00BC2983"/>
    <w:rsid w:val="00BC7C84"/>
    <w:rsid w:val="00BD300F"/>
    <w:rsid w:val="00BE2402"/>
    <w:rsid w:val="00BE669C"/>
    <w:rsid w:val="00C0562D"/>
    <w:rsid w:val="00C151FE"/>
    <w:rsid w:val="00C25F69"/>
    <w:rsid w:val="00C40950"/>
    <w:rsid w:val="00C5010B"/>
    <w:rsid w:val="00C55908"/>
    <w:rsid w:val="00C55C2E"/>
    <w:rsid w:val="00C6613C"/>
    <w:rsid w:val="00C86C9F"/>
    <w:rsid w:val="00CA0BE6"/>
    <w:rsid w:val="00CB4CCD"/>
    <w:rsid w:val="00CB56D1"/>
    <w:rsid w:val="00CD1907"/>
    <w:rsid w:val="00CE24E2"/>
    <w:rsid w:val="00CE2A90"/>
    <w:rsid w:val="00D076F0"/>
    <w:rsid w:val="00D256A9"/>
    <w:rsid w:val="00D277BD"/>
    <w:rsid w:val="00D32614"/>
    <w:rsid w:val="00D36F91"/>
    <w:rsid w:val="00D4450D"/>
    <w:rsid w:val="00D73732"/>
    <w:rsid w:val="00D865D6"/>
    <w:rsid w:val="00D93E3E"/>
    <w:rsid w:val="00DA771D"/>
    <w:rsid w:val="00DB1CED"/>
    <w:rsid w:val="00DC3951"/>
    <w:rsid w:val="00DD6FC8"/>
    <w:rsid w:val="00DD740E"/>
    <w:rsid w:val="00DE5DEB"/>
    <w:rsid w:val="00E07E6A"/>
    <w:rsid w:val="00E113E4"/>
    <w:rsid w:val="00E11D78"/>
    <w:rsid w:val="00E72EF4"/>
    <w:rsid w:val="00E7330F"/>
    <w:rsid w:val="00E771F1"/>
    <w:rsid w:val="00EB19B3"/>
    <w:rsid w:val="00EB1A04"/>
    <w:rsid w:val="00EC523A"/>
    <w:rsid w:val="00ED0226"/>
    <w:rsid w:val="00EE261B"/>
    <w:rsid w:val="00EE3620"/>
    <w:rsid w:val="00EE4EBB"/>
    <w:rsid w:val="00EE6D79"/>
    <w:rsid w:val="00F25847"/>
    <w:rsid w:val="00F31CB3"/>
    <w:rsid w:val="00F45E55"/>
    <w:rsid w:val="00F4680C"/>
    <w:rsid w:val="00F741A3"/>
    <w:rsid w:val="00F801A1"/>
    <w:rsid w:val="00F81D1A"/>
    <w:rsid w:val="00FA36EA"/>
    <w:rsid w:val="00FB46B2"/>
    <w:rsid w:val="00FC6BE6"/>
    <w:rsid w:val="00FF0F38"/>
    <w:rsid w:val="6B7371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E160C7"/>
  <w15:docId w15:val="{1E2EE282-84FD-4250-950E-E5E95212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00CB"/>
    <w:pPr>
      <w:widowControl w:val="0"/>
      <w:jc w:val="both"/>
    </w:pPr>
    <w:rPr>
      <w:rFonts w:ascii="Times New Roman" w:eastAsia="Adobe 仿宋 Std R" w:hAnsi="Times New Roman" w:cs="Times New Roman"/>
      <w:kern w:val="2"/>
      <w:sz w:val="32"/>
      <w:szCs w:val="24"/>
    </w:rPr>
  </w:style>
  <w:style w:type="paragraph" w:styleId="1">
    <w:name w:val="heading 1"/>
    <w:basedOn w:val="a"/>
    <w:next w:val="a"/>
    <w:link w:val="10"/>
    <w:qFormat/>
    <w:rsid w:val="00725E46"/>
    <w:pPr>
      <w:spacing w:beforeLines="50" w:afterLines="50"/>
      <w:ind w:left="1429"/>
      <w:outlineLvl w:val="0"/>
    </w:pPr>
    <w:rPr>
      <w:rFonts w:ascii="Calibri" w:eastAsia="黑体" w:hAnsi="Calibri"/>
      <w:szCs w:val="22"/>
    </w:rPr>
  </w:style>
  <w:style w:type="paragraph" w:styleId="2">
    <w:name w:val="heading 2"/>
    <w:basedOn w:val="a"/>
    <w:next w:val="a"/>
    <w:link w:val="20"/>
    <w:uiPriority w:val="9"/>
    <w:qFormat/>
    <w:rsid w:val="004C7137"/>
    <w:pPr>
      <w:keepNext/>
      <w:keepLines/>
      <w:spacing w:before="120" w:after="120" w:line="360" w:lineRule="auto"/>
      <w:ind w:firstLineChars="200" w:firstLine="200"/>
      <w:outlineLvl w:val="1"/>
    </w:pPr>
    <w:rPr>
      <w:rFonts w:ascii="Cambria" w:eastAsia="黑体" w:hAnsi="Cambria"/>
      <w:b/>
      <w:bCs/>
      <w:snapToGrid w:val="0"/>
      <w:kern w:val="0"/>
      <w:szCs w:val="32"/>
      <w:lang w:val="zh-CN"/>
    </w:rPr>
  </w:style>
  <w:style w:type="paragraph" w:styleId="3">
    <w:name w:val="heading 3"/>
    <w:basedOn w:val="a"/>
    <w:next w:val="a"/>
    <w:link w:val="30"/>
    <w:unhideWhenUsed/>
    <w:qFormat/>
    <w:rsid w:val="004C7137"/>
    <w:pPr>
      <w:keepNext/>
      <w:keepLines/>
      <w:spacing w:before="260" w:after="260" w:line="416" w:lineRule="auto"/>
      <w:ind w:firstLineChars="200" w:firstLine="200"/>
      <w:outlineLvl w:val="2"/>
    </w:pPr>
    <w:rPr>
      <w:rFonts w:eastAsia="仿宋_GB2312"/>
      <w:bCs/>
      <w:snapToGrid w:val="0"/>
      <w:kern w:val="0"/>
      <w:szCs w:val="32"/>
    </w:rPr>
  </w:style>
  <w:style w:type="paragraph" w:styleId="4">
    <w:name w:val="heading 4"/>
    <w:basedOn w:val="a"/>
    <w:next w:val="a"/>
    <w:link w:val="40"/>
    <w:uiPriority w:val="9"/>
    <w:unhideWhenUsed/>
    <w:qFormat/>
    <w:rsid w:val="004C7137"/>
    <w:pPr>
      <w:keepNext/>
      <w:keepLines/>
      <w:spacing w:before="280" w:after="290" w:line="376" w:lineRule="auto"/>
      <w:ind w:firstLineChars="200" w:firstLine="200"/>
      <w:outlineLvl w:val="3"/>
    </w:pPr>
    <w:rPr>
      <w:rFonts w:asciiTheme="majorHAnsi" w:eastAsiaTheme="majorEastAsia" w:hAnsiTheme="majorHAnsi" w:cstheme="majorBidi"/>
      <w:b/>
      <w:bCs/>
      <w:snapToGrid w:val="0"/>
      <w:kern w:val="0"/>
      <w:sz w:val="28"/>
      <w:szCs w:val="28"/>
    </w:rPr>
  </w:style>
  <w:style w:type="paragraph" w:styleId="5">
    <w:name w:val="heading 5"/>
    <w:basedOn w:val="a"/>
    <w:next w:val="a"/>
    <w:link w:val="50"/>
    <w:uiPriority w:val="9"/>
    <w:unhideWhenUsed/>
    <w:qFormat/>
    <w:rsid w:val="004C7137"/>
    <w:pPr>
      <w:keepNext/>
      <w:keepLines/>
      <w:spacing w:before="280" w:after="290" w:line="376" w:lineRule="auto"/>
      <w:ind w:firstLineChars="200" w:firstLine="200"/>
      <w:outlineLvl w:val="4"/>
    </w:pPr>
    <w:rPr>
      <w:rFonts w:eastAsia="仿宋_GB2312"/>
      <w:b/>
      <w:bCs/>
      <w:snapToGrid w:val="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5E46"/>
    <w:rPr>
      <w:rFonts w:ascii="Calibri" w:eastAsia="黑体" w:hAnsi="Calibri" w:cs="Times New Roman"/>
      <w:kern w:val="2"/>
      <w:sz w:val="32"/>
      <w:szCs w:val="22"/>
    </w:rPr>
  </w:style>
  <w:style w:type="character" w:customStyle="1" w:styleId="20">
    <w:name w:val="标题 2 字符"/>
    <w:basedOn w:val="a0"/>
    <w:link w:val="2"/>
    <w:uiPriority w:val="9"/>
    <w:rsid w:val="004C7137"/>
    <w:rPr>
      <w:rFonts w:ascii="Cambria" w:eastAsia="黑体" w:hAnsi="Cambria" w:cs="Times New Roman"/>
      <w:b/>
      <w:bCs/>
      <w:snapToGrid w:val="0"/>
      <w:sz w:val="32"/>
      <w:szCs w:val="32"/>
      <w:lang w:val="zh-CN"/>
    </w:rPr>
  </w:style>
  <w:style w:type="character" w:customStyle="1" w:styleId="30">
    <w:name w:val="标题 3 字符"/>
    <w:basedOn w:val="a0"/>
    <w:link w:val="3"/>
    <w:uiPriority w:val="9"/>
    <w:rsid w:val="004C7137"/>
    <w:rPr>
      <w:rFonts w:ascii="Times New Roman" w:eastAsia="仿宋_GB2312" w:hAnsi="Times New Roman" w:cs="Times New Roman"/>
      <w:bCs/>
      <w:snapToGrid w:val="0"/>
      <w:sz w:val="32"/>
      <w:szCs w:val="32"/>
    </w:rPr>
  </w:style>
  <w:style w:type="character" w:customStyle="1" w:styleId="40">
    <w:name w:val="标题 4 字符"/>
    <w:basedOn w:val="a0"/>
    <w:link w:val="4"/>
    <w:uiPriority w:val="9"/>
    <w:rsid w:val="004C7137"/>
    <w:rPr>
      <w:rFonts w:asciiTheme="majorHAnsi" w:eastAsiaTheme="majorEastAsia" w:hAnsiTheme="majorHAnsi" w:cstheme="majorBidi"/>
      <w:b/>
      <w:bCs/>
      <w:snapToGrid w:val="0"/>
      <w:sz w:val="28"/>
      <w:szCs w:val="28"/>
    </w:rPr>
  </w:style>
  <w:style w:type="character" w:customStyle="1" w:styleId="50">
    <w:name w:val="标题 5 字符"/>
    <w:basedOn w:val="a0"/>
    <w:link w:val="5"/>
    <w:uiPriority w:val="9"/>
    <w:rsid w:val="004C7137"/>
    <w:rPr>
      <w:rFonts w:ascii="Times New Roman" w:eastAsia="仿宋_GB2312" w:hAnsi="Times New Roman" w:cs="Times New Roman"/>
      <w:b/>
      <w:bCs/>
      <w:snapToGrid w:val="0"/>
      <w:sz w:val="28"/>
      <w:szCs w:val="28"/>
    </w:rPr>
  </w:style>
  <w:style w:type="paragraph" w:styleId="a3">
    <w:name w:val="footer"/>
    <w:basedOn w:val="a"/>
    <w:link w:val="a4"/>
    <w:uiPriority w:val="99"/>
    <w:unhideWhenUsed/>
    <w:rsid w:val="006C00CB"/>
    <w:pPr>
      <w:tabs>
        <w:tab w:val="center" w:pos="4153"/>
        <w:tab w:val="right" w:pos="8306"/>
      </w:tabs>
      <w:snapToGrid w:val="0"/>
      <w:jc w:val="left"/>
    </w:pPr>
    <w:rPr>
      <w:sz w:val="18"/>
    </w:rPr>
  </w:style>
  <w:style w:type="character" w:customStyle="1" w:styleId="a4">
    <w:name w:val="页脚 字符"/>
    <w:basedOn w:val="a0"/>
    <w:link w:val="a3"/>
    <w:uiPriority w:val="99"/>
    <w:rsid w:val="00AF5D76"/>
    <w:rPr>
      <w:rFonts w:ascii="Times New Roman" w:eastAsia="Adobe 仿宋 Std R" w:hAnsi="Times New Roman" w:cs="Times New Roman"/>
      <w:kern w:val="2"/>
      <w:sz w:val="18"/>
      <w:szCs w:val="24"/>
    </w:rPr>
  </w:style>
  <w:style w:type="paragraph" w:styleId="a5">
    <w:name w:val="header"/>
    <w:basedOn w:val="a"/>
    <w:link w:val="a6"/>
    <w:uiPriority w:val="99"/>
    <w:unhideWhenUsed/>
    <w:qFormat/>
    <w:rsid w:val="006C00CB"/>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character" w:customStyle="1" w:styleId="a6">
    <w:name w:val="页眉 字符"/>
    <w:basedOn w:val="a0"/>
    <w:link w:val="a5"/>
    <w:uiPriority w:val="99"/>
    <w:rsid w:val="004C7137"/>
    <w:rPr>
      <w:rFonts w:ascii="DejaVu Sans" w:eastAsia="Adobe 仿宋 Std R" w:hAnsi="DejaVu Sans" w:cs="Times New Roman"/>
      <w:kern w:val="2"/>
      <w:sz w:val="18"/>
      <w:szCs w:val="24"/>
    </w:rPr>
  </w:style>
  <w:style w:type="paragraph" w:customStyle="1" w:styleId="11">
    <w:name w:val="列出段落1"/>
    <w:basedOn w:val="a"/>
    <w:link w:val="Char"/>
    <w:uiPriority w:val="34"/>
    <w:qFormat/>
    <w:rsid w:val="006C00CB"/>
    <w:pPr>
      <w:ind w:firstLineChars="200" w:firstLine="420"/>
    </w:pPr>
    <w:rPr>
      <w:rFonts w:eastAsia="仿宋_GB2312"/>
      <w:szCs w:val="32"/>
    </w:rPr>
  </w:style>
  <w:style w:type="character" w:customStyle="1" w:styleId="Char">
    <w:name w:val="列出段落 Char"/>
    <w:basedOn w:val="a0"/>
    <w:link w:val="11"/>
    <w:uiPriority w:val="34"/>
    <w:qFormat/>
    <w:rsid w:val="006C00CB"/>
    <w:rPr>
      <w:rFonts w:ascii="Times New Roman" w:eastAsia="仿宋_GB2312" w:hAnsi="Times New Roman" w:cs="Times New Roman"/>
      <w:sz w:val="32"/>
      <w:szCs w:val="32"/>
    </w:rPr>
  </w:style>
  <w:style w:type="paragraph" w:styleId="a7">
    <w:name w:val="Balloon Text"/>
    <w:basedOn w:val="a"/>
    <w:link w:val="a8"/>
    <w:unhideWhenUsed/>
    <w:rsid w:val="00410598"/>
    <w:rPr>
      <w:sz w:val="18"/>
      <w:szCs w:val="18"/>
    </w:rPr>
  </w:style>
  <w:style w:type="character" w:customStyle="1" w:styleId="a8">
    <w:name w:val="批注框文本 字符"/>
    <w:basedOn w:val="a0"/>
    <w:link w:val="a7"/>
    <w:rsid w:val="00410598"/>
    <w:rPr>
      <w:rFonts w:ascii="Times New Roman" w:eastAsia="Adobe 仿宋 Std R" w:hAnsi="Times New Roman" w:cs="Times New Roman"/>
      <w:kern w:val="2"/>
      <w:sz w:val="18"/>
      <w:szCs w:val="18"/>
    </w:rPr>
  </w:style>
  <w:style w:type="paragraph" w:styleId="a9">
    <w:name w:val="List Paragraph"/>
    <w:basedOn w:val="a"/>
    <w:link w:val="aa"/>
    <w:unhideWhenUsed/>
    <w:qFormat/>
    <w:rsid w:val="001C3A87"/>
    <w:pPr>
      <w:ind w:firstLineChars="200" w:firstLine="420"/>
    </w:pPr>
  </w:style>
  <w:style w:type="character" w:customStyle="1" w:styleId="aa">
    <w:name w:val="列出段落 字符"/>
    <w:link w:val="a9"/>
    <w:uiPriority w:val="34"/>
    <w:rsid w:val="00056A28"/>
    <w:rPr>
      <w:rFonts w:ascii="Times New Roman" w:eastAsia="Adobe 仿宋 Std R" w:hAnsi="Times New Roman" w:cs="Times New Roman"/>
      <w:kern w:val="2"/>
      <w:sz w:val="32"/>
      <w:szCs w:val="24"/>
    </w:rPr>
  </w:style>
  <w:style w:type="character" w:styleId="ab">
    <w:name w:val="annotation reference"/>
    <w:basedOn w:val="a0"/>
    <w:unhideWhenUsed/>
    <w:qFormat/>
    <w:rsid w:val="00FB46B2"/>
    <w:rPr>
      <w:sz w:val="21"/>
      <w:szCs w:val="21"/>
    </w:rPr>
  </w:style>
  <w:style w:type="paragraph" w:styleId="ac">
    <w:name w:val="annotation text"/>
    <w:basedOn w:val="a"/>
    <w:link w:val="ad"/>
    <w:unhideWhenUsed/>
    <w:qFormat/>
    <w:rsid w:val="00FB46B2"/>
    <w:pPr>
      <w:jc w:val="left"/>
    </w:pPr>
  </w:style>
  <w:style w:type="character" w:customStyle="1" w:styleId="ad">
    <w:name w:val="批注文字 字符"/>
    <w:basedOn w:val="a0"/>
    <w:link w:val="ac"/>
    <w:rsid w:val="00FB46B2"/>
    <w:rPr>
      <w:rFonts w:ascii="Times New Roman" w:eastAsia="Adobe 仿宋 Std R" w:hAnsi="Times New Roman" w:cs="Times New Roman"/>
      <w:kern w:val="2"/>
      <w:sz w:val="32"/>
      <w:szCs w:val="24"/>
    </w:rPr>
  </w:style>
  <w:style w:type="paragraph" w:styleId="ae">
    <w:name w:val="annotation subject"/>
    <w:basedOn w:val="ac"/>
    <w:next w:val="ac"/>
    <w:link w:val="af"/>
    <w:uiPriority w:val="99"/>
    <w:unhideWhenUsed/>
    <w:rsid w:val="00FB46B2"/>
    <w:rPr>
      <w:b/>
      <w:bCs/>
    </w:rPr>
  </w:style>
  <w:style w:type="character" w:customStyle="1" w:styleId="af">
    <w:name w:val="批注主题 字符"/>
    <w:basedOn w:val="ad"/>
    <w:link w:val="ae"/>
    <w:uiPriority w:val="99"/>
    <w:rsid w:val="00FB46B2"/>
    <w:rPr>
      <w:rFonts w:ascii="Times New Roman" w:eastAsia="Adobe 仿宋 Std R" w:hAnsi="Times New Roman" w:cs="Times New Roman"/>
      <w:b/>
      <w:bCs/>
      <w:kern w:val="2"/>
      <w:sz w:val="32"/>
      <w:szCs w:val="24"/>
    </w:rPr>
  </w:style>
  <w:style w:type="paragraph" w:customStyle="1" w:styleId="af0">
    <w:basedOn w:val="a"/>
    <w:next w:val="a9"/>
    <w:uiPriority w:val="34"/>
    <w:qFormat/>
    <w:rsid w:val="00E7330F"/>
    <w:pPr>
      <w:ind w:firstLineChars="200" w:firstLine="420"/>
    </w:pPr>
    <w:rPr>
      <w:rFonts w:eastAsia="宋体"/>
      <w:sz w:val="21"/>
    </w:rPr>
  </w:style>
  <w:style w:type="paragraph" w:styleId="af1">
    <w:name w:val="Body Text"/>
    <w:basedOn w:val="a"/>
    <w:link w:val="af2"/>
    <w:rsid w:val="004C7137"/>
    <w:pPr>
      <w:spacing w:after="120" w:line="300" w:lineRule="auto"/>
      <w:ind w:firstLineChars="200" w:firstLine="200"/>
    </w:pPr>
    <w:rPr>
      <w:rFonts w:eastAsia="仿宋_GB2312"/>
      <w:snapToGrid w:val="0"/>
      <w:kern w:val="0"/>
      <w:szCs w:val="32"/>
    </w:rPr>
  </w:style>
  <w:style w:type="character" w:customStyle="1" w:styleId="af2">
    <w:name w:val="正文文本 字符"/>
    <w:basedOn w:val="a0"/>
    <w:link w:val="af1"/>
    <w:rsid w:val="004C7137"/>
    <w:rPr>
      <w:rFonts w:ascii="Times New Roman" w:eastAsia="仿宋_GB2312" w:hAnsi="Times New Roman" w:cs="Times New Roman"/>
      <w:snapToGrid w:val="0"/>
      <w:sz w:val="32"/>
      <w:szCs w:val="32"/>
    </w:rPr>
  </w:style>
  <w:style w:type="paragraph" w:styleId="af3">
    <w:name w:val="Subtitle"/>
    <w:basedOn w:val="a"/>
    <w:next w:val="a"/>
    <w:link w:val="af4"/>
    <w:uiPriority w:val="11"/>
    <w:qFormat/>
    <w:rsid w:val="004C7137"/>
    <w:pPr>
      <w:spacing w:before="240" w:after="60" w:line="312" w:lineRule="auto"/>
      <w:ind w:firstLineChars="200" w:firstLine="200"/>
      <w:jc w:val="center"/>
      <w:outlineLvl w:val="1"/>
    </w:pPr>
    <w:rPr>
      <w:rFonts w:ascii="Cambria" w:eastAsia="仿宋_GB2312" w:hAnsi="Cambria"/>
      <w:b/>
      <w:bCs/>
      <w:snapToGrid w:val="0"/>
      <w:kern w:val="28"/>
      <w:szCs w:val="32"/>
      <w:lang w:val="zh-CN"/>
    </w:rPr>
  </w:style>
  <w:style w:type="character" w:customStyle="1" w:styleId="af4">
    <w:name w:val="副标题 字符"/>
    <w:basedOn w:val="a0"/>
    <w:link w:val="af3"/>
    <w:uiPriority w:val="11"/>
    <w:rsid w:val="004C7137"/>
    <w:rPr>
      <w:rFonts w:ascii="Cambria" w:eastAsia="仿宋_GB2312" w:hAnsi="Cambria" w:cs="Times New Roman"/>
      <w:b/>
      <w:bCs/>
      <w:snapToGrid w:val="0"/>
      <w:kern w:val="28"/>
      <w:sz w:val="32"/>
      <w:szCs w:val="32"/>
      <w:lang w:val="zh-CN"/>
    </w:rPr>
  </w:style>
  <w:style w:type="character" w:styleId="af5">
    <w:name w:val="page number"/>
    <w:basedOn w:val="a0"/>
    <w:rsid w:val="004C7137"/>
  </w:style>
  <w:style w:type="paragraph" w:customStyle="1" w:styleId="12">
    <w:name w:val="修订1"/>
    <w:hidden/>
    <w:uiPriority w:val="99"/>
    <w:semiHidden/>
    <w:qFormat/>
    <w:rsid w:val="004C7137"/>
    <w:rPr>
      <w:rFonts w:ascii="Times New Roman" w:eastAsia="仿宋_GB2312" w:hAnsi="Times New Roman" w:cs="Times New Roman"/>
      <w:snapToGrid w:val="0"/>
      <w:kern w:val="2"/>
      <w:sz w:val="21"/>
      <w:szCs w:val="32"/>
    </w:rPr>
  </w:style>
  <w:style w:type="paragraph" w:styleId="af6">
    <w:name w:val="Plain Text"/>
    <w:basedOn w:val="a"/>
    <w:link w:val="af7"/>
    <w:rsid w:val="004C7137"/>
    <w:pPr>
      <w:spacing w:line="300" w:lineRule="auto"/>
      <w:ind w:firstLineChars="200" w:firstLine="200"/>
    </w:pPr>
    <w:rPr>
      <w:rFonts w:asciiTheme="minorEastAsia" w:eastAsiaTheme="minorEastAsia" w:hAnsi="Courier New" w:cs="Courier New"/>
      <w:snapToGrid w:val="0"/>
      <w:kern w:val="0"/>
      <w:szCs w:val="32"/>
    </w:rPr>
  </w:style>
  <w:style w:type="character" w:customStyle="1" w:styleId="af7">
    <w:name w:val="纯文本 字符"/>
    <w:basedOn w:val="a0"/>
    <w:link w:val="af6"/>
    <w:rsid w:val="004C7137"/>
    <w:rPr>
      <w:rFonts w:asciiTheme="minorEastAsia" w:hAnsi="Courier New" w:cs="Courier New"/>
      <w:snapToGrid w:val="0"/>
      <w:sz w:val="32"/>
      <w:szCs w:val="32"/>
    </w:rPr>
  </w:style>
  <w:style w:type="table" w:styleId="af8">
    <w:name w:val="Table Grid"/>
    <w:basedOn w:val="a1"/>
    <w:uiPriority w:val="59"/>
    <w:qFormat/>
    <w:rsid w:val="004C7137"/>
    <w:rPr>
      <w:rFonts w:ascii="Times New Roman" w:eastAsia="仿宋_GB2312"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0"/>
    <w:uiPriority w:val="99"/>
    <w:semiHidden/>
    <w:rsid w:val="004C7137"/>
    <w:rPr>
      <w:color w:val="808080"/>
    </w:rPr>
  </w:style>
  <w:style w:type="table" w:customStyle="1" w:styleId="TableNormal1">
    <w:name w:val="Table Normal1"/>
    <w:uiPriority w:val="2"/>
    <w:semiHidden/>
    <w:unhideWhenUsed/>
    <w:qFormat/>
    <w:rsid w:val="004C7137"/>
    <w:pPr>
      <w:widowControl w:val="0"/>
      <w:autoSpaceDE w:val="0"/>
      <w:autoSpaceDN w:val="0"/>
    </w:pPr>
    <w:rPr>
      <w:rFonts w:ascii="Calibri" w:eastAsia="宋体" w:hAnsi="Calibri" w:cs="Times New Roman"/>
      <w:sz w:val="22"/>
      <w:szCs w:val="22"/>
      <w:lang w:eastAsia="en-US"/>
    </w:rPr>
    <w:tblPr>
      <w:tblInd w:w="0" w:type="dxa"/>
      <w:tblCellMar>
        <w:top w:w="0" w:type="dxa"/>
        <w:left w:w="0" w:type="dxa"/>
        <w:bottom w:w="0" w:type="dxa"/>
        <w:right w:w="0" w:type="dxa"/>
      </w:tblCellMar>
    </w:tblPr>
  </w:style>
  <w:style w:type="table" w:customStyle="1" w:styleId="13">
    <w:name w:val="网格型1"/>
    <w:basedOn w:val="a1"/>
    <w:next w:val="af8"/>
    <w:qFormat/>
    <w:rsid w:val="004C7137"/>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f8"/>
    <w:uiPriority w:val="39"/>
    <w:rsid w:val="004C7137"/>
    <w:rPr>
      <w:rFonts w:ascii="Times New Roman" w:eastAsia="宋体"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C7137"/>
    <w:pPr>
      <w:widowControl w:val="0"/>
      <w:autoSpaceDE w:val="0"/>
      <w:autoSpaceDN w:val="0"/>
    </w:pPr>
    <w:rPr>
      <w:rFonts w:ascii="Calibri" w:eastAsia="宋体" w:hAnsi="Calibri" w:cs="Angsana New"/>
      <w:sz w:val="22"/>
      <w:szCs w:val="22"/>
    </w:rPr>
    <w:tblPr>
      <w:tblInd w:w="0" w:type="dxa"/>
      <w:tblCellMar>
        <w:top w:w="0" w:type="dxa"/>
        <w:left w:w="0" w:type="dxa"/>
        <w:bottom w:w="0" w:type="dxa"/>
        <w:right w:w="0" w:type="dxa"/>
      </w:tblCellMar>
    </w:tblPr>
  </w:style>
  <w:style w:type="table" w:customStyle="1" w:styleId="31">
    <w:name w:val="网格型3"/>
    <w:basedOn w:val="a1"/>
    <w:next w:val="af8"/>
    <w:uiPriority w:val="39"/>
    <w:rsid w:val="004C7137"/>
    <w:rPr>
      <w:rFonts w:ascii="Times New Roman" w:eastAsia="宋体"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C7137"/>
    <w:pPr>
      <w:widowControl w:val="0"/>
      <w:autoSpaceDE w:val="0"/>
      <w:autoSpaceDN w:val="0"/>
    </w:pPr>
    <w:rPr>
      <w:rFonts w:ascii="Calibri" w:eastAsia="宋体" w:hAnsi="Calibri" w:cs="Angsana New"/>
      <w:sz w:val="22"/>
      <w:szCs w:val="22"/>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C7137"/>
    <w:pPr>
      <w:widowControl w:val="0"/>
      <w:autoSpaceDE w:val="0"/>
      <w:autoSpaceDN w:val="0"/>
    </w:pPr>
    <w:rPr>
      <w:rFonts w:ascii="Calibri" w:eastAsia="宋体" w:hAnsi="Calibri" w:cs="Angsana New"/>
      <w:sz w:val="22"/>
      <w:szCs w:val="22"/>
    </w:rPr>
    <w:tblPr>
      <w:tblInd w:w="0" w:type="dxa"/>
      <w:tblCellMar>
        <w:top w:w="0" w:type="dxa"/>
        <w:left w:w="0" w:type="dxa"/>
        <w:bottom w:w="0" w:type="dxa"/>
        <w:right w:w="0" w:type="dxa"/>
      </w:tblCellMar>
    </w:tblPr>
  </w:style>
  <w:style w:type="character" w:styleId="afa">
    <w:name w:val="Emphasis"/>
    <w:basedOn w:val="a0"/>
    <w:qFormat/>
    <w:rsid w:val="004C7137"/>
    <w:rPr>
      <w:i/>
      <w:iCs/>
    </w:rPr>
  </w:style>
  <w:style w:type="paragraph" w:styleId="afb">
    <w:name w:val="footnote text"/>
    <w:basedOn w:val="a"/>
    <w:link w:val="afc"/>
    <w:unhideWhenUsed/>
    <w:rsid w:val="004C7137"/>
    <w:pPr>
      <w:adjustRightInd w:val="0"/>
      <w:snapToGrid w:val="0"/>
      <w:spacing w:line="264" w:lineRule="auto"/>
      <w:jc w:val="left"/>
    </w:pPr>
    <w:rPr>
      <w:rFonts w:eastAsia="仿宋_GB2312"/>
      <w:snapToGrid w:val="0"/>
      <w:kern w:val="0"/>
      <w:sz w:val="18"/>
      <w:szCs w:val="18"/>
    </w:rPr>
  </w:style>
  <w:style w:type="character" w:customStyle="1" w:styleId="afc">
    <w:name w:val="脚注文本 字符"/>
    <w:basedOn w:val="a0"/>
    <w:link w:val="afb"/>
    <w:rsid w:val="004C7137"/>
    <w:rPr>
      <w:rFonts w:ascii="Times New Roman" w:eastAsia="仿宋_GB2312" w:hAnsi="Times New Roman" w:cs="Times New Roman"/>
      <w:snapToGrid w:val="0"/>
      <w:sz w:val="18"/>
      <w:szCs w:val="18"/>
    </w:rPr>
  </w:style>
  <w:style w:type="character" w:styleId="afd">
    <w:name w:val="footnote reference"/>
    <w:basedOn w:val="a0"/>
    <w:semiHidden/>
    <w:unhideWhenUsed/>
    <w:rsid w:val="004C7137"/>
    <w:rPr>
      <w:vertAlign w:val="superscript"/>
    </w:rPr>
  </w:style>
  <w:style w:type="paragraph" w:styleId="afe">
    <w:name w:val="endnote text"/>
    <w:basedOn w:val="a"/>
    <w:link w:val="aff"/>
    <w:semiHidden/>
    <w:unhideWhenUsed/>
    <w:rsid w:val="004C7137"/>
    <w:pPr>
      <w:snapToGrid w:val="0"/>
      <w:spacing w:line="300" w:lineRule="auto"/>
      <w:ind w:firstLineChars="200" w:firstLine="200"/>
      <w:jc w:val="left"/>
    </w:pPr>
    <w:rPr>
      <w:rFonts w:eastAsia="仿宋_GB2312"/>
      <w:snapToGrid w:val="0"/>
      <w:kern w:val="0"/>
      <w:szCs w:val="32"/>
    </w:rPr>
  </w:style>
  <w:style w:type="character" w:customStyle="1" w:styleId="aff">
    <w:name w:val="尾注文本 字符"/>
    <w:basedOn w:val="a0"/>
    <w:link w:val="afe"/>
    <w:semiHidden/>
    <w:rsid w:val="004C7137"/>
    <w:rPr>
      <w:rFonts w:ascii="Times New Roman" w:eastAsia="仿宋_GB2312" w:hAnsi="Times New Roman" w:cs="Times New Roman"/>
      <w:snapToGrid w:val="0"/>
      <w:sz w:val="32"/>
      <w:szCs w:val="32"/>
    </w:rPr>
  </w:style>
  <w:style w:type="paragraph" w:customStyle="1" w:styleId="Aff0">
    <w:name w:val="正文A"/>
    <w:qFormat/>
    <w:rsid w:val="004C7137"/>
    <w:pPr>
      <w:widowControl w:val="0"/>
      <w:spacing w:line="600" w:lineRule="exact"/>
      <w:ind w:firstLine="720"/>
      <w:jc w:val="both"/>
    </w:pPr>
    <w:rPr>
      <w:rFonts w:ascii="仿宋_GB2312" w:eastAsia="仿宋_GB2312" w:hAnsi="黑体" w:cs="Times New Roman"/>
      <w:kern w:val="2"/>
      <w:sz w:val="32"/>
      <w:szCs w:val="32"/>
    </w:rPr>
  </w:style>
  <w:style w:type="paragraph" w:styleId="aff1">
    <w:name w:val="Revision"/>
    <w:hidden/>
    <w:uiPriority w:val="99"/>
    <w:semiHidden/>
    <w:rsid w:val="004C7137"/>
    <w:rPr>
      <w:rFonts w:ascii="Times New Roman" w:eastAsia="仿宋_GB2312" w:hAnsi="Times New Roman" w:cs="Times New Roman"/>
      <w:snapToGrid w:val="0"/>
      <w:sz w:val="32"/>
      <w:szCs w:val="32"/>
    </w:rPr>
  </w:style>
  <w:style w:type="paragraph" w:styleId="aff2">
    <w:name w:val="caption"/>
    <w:basedOn w:val="a"/>
    <w:next w:val="a"/>
    <w:uiPriority w:val="35"/>
    <w:unhideWhenUsed/>
    <w:qFormat/>
    <w:rsid w:val="007B4B78"/>
    <w:rPr>
      <w:rFonts w:ascii="Cambria" w:eastAsia="黑体" w:hAnsi="Cambria"/>
      <w:sz w:val="20"/>
      <w:szCs w:val="20"/>
    </w:rPr>
  </w:style>
  <w:style w:type="character" w:customStyle="1" w:styleId="Char0">
    <w:name w:val="批注框文本 Char"/>
    <w:uiPriority w:val="99"/>
    <w:semiHidden/>
    <w:rsid w:val="00545B8B"/>
    <w:rPr>
      <w:rFonts w:ascii="Times New Roman" w:hAnsi="Times New Roman"/>
      <w:kern w:val="2"/>
      <w:sz w:val="18"/>
      <w:szCs w:val="18"/>
    </w:rPr>
  </w:style>
  <w:style w:type="character" w:customStyle="1" w:styleId="Char1">
    <w:name w:val="批注文字 Char"/>
    <w:uiPriority w:val="99"/>
    <w:rsid w:val="00545B8B"/>
    <w:rPr>
      <w:rFonts w:ascii="Times New Roman" w:hAnsi="Times New Roman"/>
      <w:kern w:val="2"/>
      <w:sz w:val="21"/>
      <w:szCs w:val="24"/>
    </w:rPr>
  </w:style>
  <w:style w:type="character" w:customStyle="1" w:styleId="aff3">
    <w:name w:val="无"/>
    <w:rsid w:val="00545B8B"/>
  </w:style>
  <w:style w:type="character" w:styleId="aff4">
    <w:name w:val="Strong"/>
    <w:qFormat/>
    <w:rsid w:val="005B570A"/>
    <w:rPr>
      <w:b/>
    </w:rPr>
  </w:style>
  <w:style w:type="character" w:customStyle="1" w:styleId="FontStyle47">
    <w:name w:val="Font Style47"/>
    <w:rsid w:val="005B570A"/>
    <w:rPr>
      <w:rFonts w:ascii="Times New Roman" w:hAnsi="Times New Roman" w:cs="Times New Roman"/>
      <w:sz w:val="22"/>
      <w:szCs w:val="22"/>
    </w:rPr>
  </w:style>
  <w:style w:type="character" w:customStyle="1" w:styleId="shorttext">
    <w:name w:val="short_text"/>
    <w:qFormat/>
    <w:rsid w:val="005B570A"/>
  </w:style>
  <w:style w:type="paragraph" w:customStyle="1" w:styleId="aff5">
    <w:name w:val="调查项目"/>
    <w:basedOn w:val="a"/>
    <w:qFormat/>
    <w:rsid w:val="005B570A"/>
    <w:pPr>
      <w:widowControl/>
      <w:jc w:val="left"/>
      <w:outlineLvl w:val="1"/>
    </w:pPr>
    <w:rPr>
      <w:rFonts w:ascii="Tahoma" w:eastAsia="黑体" w:hAnsi="Tahoma"/>
      <w:bCs/>
      <w:color w:val="333399"/>
      <w:kern w:val="0"/>
      <w:sz w:val="18"/>
      <w:szCs w:val="18"/>
    </w:rPr>
  </w:style>
  <w:style w:type="paragraph" w:customStyle="1" w:styleId="Aff6">
    <w:name w:val="正文 A"/>
    <w:rsid w:val="005B570A"/>
    <w:pPr>
      <w:widowControl w:val="0"/>
      <w:pBdr>
        <w:top w:val="none" w:sz="96" w:space="31" w:color="FFFFFF"/>
        <w:left w:val="none" w:sz="96" w:space="31" w:color="FFFFFF"/>
        <w:bottom w:val="none" w:sz="96" w:space="31" w:color="FFFFFF"/>
        <w:right w:val="none" w:sz="96" w:space="31" w:color="FFFFFF"/>
      </w:pBdr>
      <w:jc w:val="both"/>
    </w:pPr>
    <w:rPr>
      <w:rFonts w:ascii="Times New Roman" w:eastAsia="Times New Roman" w:hAnsi="Times New Roman" w:cs="Arial Unicode MS"/>
      <w:color w:val="000000"/>
      <w:kern w:val="2"/>
      <w:sz w:val="21"/>
      <w:szCs w:val="21"/>
      <w:u w:color="000000"/>
    </w:rPr>
  </w:style>
  <w:style w:type="paragraph" w:customStyle="1" w:styleId="aff7">
    <w:name w:val="列标题"/>
    <w:basedOn w:val="2"/>
    <w:qFormat/>
    <w:rsid w:val="005B570A"/>
    <w:pPr>
      <w:keepNext w:val="0"/>
      <w:keepLines w:val="0"/>
      <w:widowControl/>
      <w:spacing w:before="0" w:after="0" w:line="240" w:lineRule="auto"/>
      <w:ind w:firstLineChars="0" w:firstLine="0"/>
      <w:jc w:val="center"/>
    </w:pPr>
    <w:rPr>
      <w:rFonts w:ascii="Tahoma" w:hAnsi="Tahoma"/>
      <w:b w:val="0"/>
      <w:snapToGrid/>
      <w:color w:val="333399"/>
      <w:sz w:val="18"/>
      <w:szCs w:val="18"/>
      <w:lang w:val="en-US"/>
    </w:rPr>
  </w:style>
  <w:style w:type="paragraph" w:customStyle="1" w:styleId="Default">
    <w:name w:val="Default"/>
    <w:rsid w:val="005B570A"/>
    <w:pPr>
      <w:widowControl w:val="0"/>
      <w:autoSpaceDE w:val="0"/>
      <w:autoSpaceDN w:val="0"/>
      <w:adjustRightInd w:val="0"/>
    </w:pPr>
    <w:rPr>
      <w:rFonts w:ascii="Times New Roman" w:eastAsia="宋体" w:hAnsi="Times New Roman" w:cs="Times New Roman"/>
      <w:color w:val="000000"/>
      <w:sz w:val="24"/>
      <w:szCs w:val="24"/>
    </w:rPr>
  </w:style>
  <w:style w:type="paragraph" w:customStyle="1" w:styleId="aff8">
    <w:name w:val="表格正文文本"/>
    <w:basedOn w:val="a"/>
    <w:qFormat/>
    <w:rsid w:val="005B570A"/>
    <w:pPr>
      <w:widowControl/>
      <w:jc w:val="center"/>
    </w:pPr>
    <w:rPr>
      <w:rFonts w:ascii="Tahoma" w:eastAsia="宋体" w:hAnsi="Tahoma"/>
      <w:kern w:val="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314211">
      <w:bodyDiv w:val="1"/>
      <w:marLeft w:val="0"/>
      <w:marRight w:val="0"/>
      <w:marTop w:val="0"/>
      <w:marBottom w:val="0"/>
      <w:divBdr>
        <w:top w:val="none" w:sz="0" w:space="0" w:color="auto"/>
        <w:left w:val="none" w:sz="0" w:space="0" w:color="auto"/>
        <w:bottom w:val="none" w:sz="0" w:space="0" w:color="auto"/>
        <w:right w:val="none" w:sz="0" w:space="0" w:color="auto"/>
      </w:divBdr>
    </w:div>
    <w:div w:id="616838177">
      <w:bodyDiv w:val="1"/>
      <w:marLeft w:val="0"/>
      <w:marRight w:val="0"/>
      <w:marTop w:val="0"/>
      <w:marBottom w:val="0"/>
      <w:divBdr>
        <w:top w:val="none" w:sz="0" w:space="0" w:color="auto"/>
        <w:left w:val="none" w:sz="0" w:space="0" w:color="auto"/>
        <w:bottom w:val="none" w:sz="0" w:space="0" w:color="auto"/>
        <w:right w:val="none" w:sz="0" w:space="0" w:color="auto"/>
      </w:divBdr>
    </w:div>
    <w:div w:id="1803766271">
      <w:bodyDiv w:val="1"/>
      <w:marLeft w:val="0"/>
      <w:marRight w:val="0"/>
      <w:marTop w:val="0"/>
      <w:marBottom w:val="0"/>
      <w:divBdr>
        <w:top w:val="none" w:sz="0" w:space="0" w:color="auto"/>
        <w:left w:val="none" w:sz="0" w:space="0" w:color="auto"/>
        <w:bottom w:val="none" w:sz="0" w:space="0" w:color="auto"/>
        <w:right w:val="none" w:sz="0" w:space="0" w:color="auto"/>
      </w:divBdr>
    </w:div>
    <w:div w:id="1820340779">
      <w:bodyDiv w:val="1"/>
      <w:marLeft w:val="0"/>
      <w:marRight w:val="0"/>
      <w:marTop w:val="0"/>
      <w:marBottom w:val="0"/>
      <w:divBdr>
        <w:top w:val="none" w:sz="0" w:space="0" w:color="auto"/>
        <w:left w:val="none" w:sz="0" w:space="0" w:color="auto"/>
        <w:bottom w:val="none" w:sz="0" w:space="0" w:color="auto"/>
        <w:right w:val="none" w:sz="0" w:space="0" w:color="auto"/>
      </w:divBdr>
    </w:div>
    <w:div w:id="2084176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64193B-9077-475A-933B-141295F9E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37</Pages>
  <Words>2753</Words>
  <Characters>15696</Characters>
  <Application>Microsoft Office Word</Application>
  <DocSecurity>0</DocSecurity>
  <Lines>130</Lines>
  <Paragraphs>36</Paragraphs>
  <ScaleCrop>false</ScaleCrop>
  <Company>Microsoft</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屈贝贝</cp:lastModifiedBy>
  <cp:revision>19</cp:revision>
  <cp:lastPrinted>2022-07-18T05:28:00Z</cp:lastPrinted>
  <dcterms:created xsi:type="dcterms:W3CDTF">2022-08-26T06:14:00Z</dcterms:created>
  <dcterms:modified xsi:type="dcterms:W3CDTF">2022-08-26T07:01:00Z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