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59CE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方正小标宋_GBK"/>
          <w:color w:val="auto"/>
          <w:kern w:val="21"/>
          <w:sz w:val="44"/>
          <w:szCs w:val="44"/>
          <w:highlight w:val="none"/>
          <w:lang w:val="en-US" w:eastAsia="zh-CN"/>
        </w:rPr>
      </w:pPr>
      <w:r>
        <w:rPr>
          <w:rFonts w:hint="eastAsia" w:ascii="Times New Roman" w:hAnsi="Times New Roman" w:eastAsia="方正小标宋_GBK" w:cs="方正小标宋_GBK"/>
          <w:color w:val="auto"/>
          <w:kern w:val="21"/>
          <w:sz w:val="44"/>
          <w:szCs w:val="44"/>
          <w:highlight w:val="none"/>
          <w:lang w:val="en-US" w:eastAsia="zh-CN"/>
        </w:rPr>
        <w:t>外周血管介入类导引导丝医用耗材省际联盟</w:t>
      </w:r>
    </w:p>
    <w:p w14:paraId="042FBC11">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方正小标宋_GBK"/>
          <w:color w:val="auto"/>
          <w:kern w:val="21"/>
          <w:sz w:val="44"/>
          <w:szCs w:val="44"/>
          <w:highlight w:val="none"/>
          <w:lang w:val="en-US" w:eastAsia="zh-CN"/>
        </w:rPr>
      </w:pPr>
      <w:r>
        <w:rPr>
          <w:rFonts w:hint="eastAsia" w:ascii="Times New Roman" w:hAnsi="Times New Roman" w:eastAsia="方正小标宋_GBK" w:cs="方正小标宋_GBK"/>
          <w:color w:val="auto"/>
          <w:kern w:val="21"/>
          <w:sz w:val="44"/>
          <w:szCs w:val="44"/>
          <w:highlight w:val="none"/>
          <w:lang w:val="en-US" w:eastAsia="zh-CN"/>
        </w:rPr>
        <w:t>集中带量采购工作方案（征求意见稿）</w:t>
      </w:r>
    </w:p>
    <w:p w14:paraId="7D954FA5">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640" w:firstLineChars="200"/>
        <w:jc w:val="both"/>
        <w:textAlignment w:val="auto"/>
        <w:rPr>
          <w:rFonts w:hint="eastAsia" w:ascii="Times New Roman" w:hAnsi="Times New Roman" w:eastAsia="仿宋_GB2312" w:cs="仿宋_GB2312"/>
          <w:color w:val="auto"/>
          <w:kern w:val="21"/>
          <w:sz w:val="32"/>
          <w:szCs w:val="32"/>
          <w:highlight w:val="none"/>
          <w:lang w:bidi="ar"/>
        </w:rPr>
      </w:pPr>
    </w:p>
    <w:p w14:paraId="038D73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lang w:val="en-US" w:eastAsia="zh-CN" w:bidi="ar"/>
        </w:rPr>
      </w:pPr>
      <w:r>
        <w:rPr>
          <w:rFonts w:hint="eastAsia" w:ascii="仿宋_GB2312" w:hAnsi="仿宋_GB2312" w:eastAsia="仿宋_GB2312" w:cs="仿宋_GB2312"/>
          <w:color w:val="auto"/>
          <w:kern w:val="21"/>
          <w:sz w:val="32"/>
          <w:szCs w:val="32"/>
          <w:highlight w:val="none"/>
          <w:lang w:val="en-US" w:eastAsia="zh-CN" w:bidi="ar"/>
        </w:rPr>
        <w:t>为</w:t>
      </w:r>
      <w:r>
        <w:rPr>
          <w:rFonts w:hint="default" w:ascii="仿宋_GB2312" w:hAnsi="仿宋_GB2312" w:eastAsia="仿宋_GB2312" w:cs="仿宋_GB2312"/>
          <w:color w:val="auto"/>
          <w:kern w:val="21"/>
          <w:sz w:val="32"/>
          <w:szCs w:val="32"/>
          <w:highlight w:val="none"/>
          <w:lang w:val="en-US" w:eastAsia="zh-CN" w:bidi="ar"/>
        </w:rPr>
        <w:t>贯彻落实</w:t>
      </w:r>
      <w:r>
        <w:rPr>
          <w:rFonts w:hint="eastAsia" w:ascii="仿宋_GB2312" w:hAnsi="仿宋_GB2312" w:eastAsia="仿宋_GB2312" w:cs="仿宋_GB2312"/>
          <w:color w:val="auto"/>
          <w:kern w:val="21"/>
          <w:sz w:val="32"/>
          <w:szCs w:val="32"/>
          <w:highlight w:val="none"/>
          <w:lang w:val="en-US" w:eastAsia="zh-CN" w:bidi="ar"/>
        </w:rPr>
        <w:t>《中共中央国务院关于深化医疗保障制度改革的意见》（中发〔2020〕5号）、《国家医保局 国家发展改革委等8部门关于开展国家组织高值医用耗材集中带量采购和使用的指导意见》（医保发〔2021〕31号）等文件精神，深入推进高值医用耗材集中带量采购改革，坚持“稳临床、保质量、防围标、反内卷”的原则，结合外周血管介入类导引导丝医用耗材特点，制定外周血管介入类导引导丝医用耗材省际联盟集中带量采购工作方案。</w:t>
      </w:r>
    </w:p>
    <w:p w14:paraId="77A4A0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黑体_GBK" w:hAnsi="方正黑体_GBK" w:eastAsia="方正黑体_GBK" w:cs="方正黑体_GBK"/>
          <w:color w:val="auto"/>
          <w:kern w:val="21"/>
          <w:sz w:val="32"/>
          <w:szCs w:val="32"/>
          <w:highlight w:val="none"/>
          <w:lang w:val="en-US" w:eastAsia="zh-CN" w:bidi="ar"/>
        </w:rPr>
      </w:pPr>
      <w:r>
        <w:rPr>
          <w:rFonts w:hint="eastAsia" w:ascii="方正黑体_GBK" w:hAnsi="方正黑体_GBK" w:eastAsia="方正黑体_GBK" w:cs="方正黑体_GBK"/>
          <w:color w:val="auto"/>
          <w:kern w:val="21"/>
          <w:sz w:val="32"/>
          <w:szCs w:val="32"/>
          <w:highlight w:val="none"/>
          <w:lang w:val="en-US" w:eastAsia="zh-CN"/>
        </w:rPr>
        <w:t>一、组织机构</w:t>
      </w:r>
    </w:p>
    <w:p w14:paraId="2233FF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kern w:val="21"/>
          <w:sz w:val="32"/>
          <w:szCs w:val="32"/>
          <w:highlight w:val="none"/>
          <w:lang w:val="en-US" w:eastAsia="zh-CN" w:bidi="ar"/>
        </w:rPr>
      </w:pPr>
      <w:r>
        <w:rPr>
          <w:rFonts w:hint="default" w:ascii="仿宋_GB2312" w:hAnsi="仿宋_GB2312" w:eastAsia="仿宋_GB2312" w:cs="仿宋_GB2312"/>
          <w:color w:val="auto"/>
          <w:kern w:val="21"/>
          <w:sz w:val="32"/>
          <w:szCs w:val="32"/>
          <w:highlight w:val="none"/>
          <w:lang w:val="en-US" w:eastAsia="zh-CN" w:bidi="ar"/>
        </w:rPr>
        <w:t>全国各省份组成采购联盟，委派代表组成外周血管介入类导引导丝省际联盟集中带量采购工作办公室（以下简称“联采办”），由新疆维吾尔自治区医疗保障局和新疆生产建设兵团</w:t>
      </w:r>
      <w:r>
        <w:rPr>
          <w:rFonts w:hint="eastAsia" w:ascii="仿宋_GB2312" w:hAnsi="仿宋_GB2312" w:eastAsia="仿宋_GB2312" w:cs="仿宋_GB2312"/>
          <w:color w:val="auto"/>
          <w:kern w:val="21"/>
          <w:sz w:val="32"/>
          <w:szCs w:val="32"/>
          <w:highlight w:val="none"/>
          <w:lang w:val="en-US" w:eastAsia="zh-CN" w:bidi="ar"/>
        </w:rPr>
        <w:t>医疗保障局</w:t>
      </w:r>
      <w:r>
        <w:rPr>
          <w:rFonts w:hint="default" w:ascii="仿宋_GB2312" w:hAnsi="仿宋_GB2312" w:eastAsia="仿宋_GB2312" w:cs="仿宋_GB2312"/>
          <w:color w:val="auto"/>
          <w:kern w:val="21"/>
          <w:sz w:val="32"/>
          <w:szCs w:val="32"/>
          <w:highlight w:val="none"/>
          <w:lang w:val="en-US" w:eastAsia="zh-CN" w:bidi="ar"/>
        </w:rPr>
        <w:t>承担日常工作并负责具体实施。</w:t>
      </w:r>
    </w:p>
    <w:p w14:paraId="63D18E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黑体_GBK" w:hAnsi="方正黑体_GBK" w:eastAsia="方正黑体_GBK" w:cs="方正黑体_GBK"/>
          <w:color w:val="auto"/>
          <w:kern w:val="21"/>
          <w:sz w:val="32"/>
          <w:szCs w:val="32"/>
          <w:highlight w:val="none"/>
          <w:lang w:val="en-US" w:eastAsia="zh-CN"/>
        </w:rPr>
      </w:pPr>
      <w:r>
        <w:rPr>
          <w:rFonts w:hint="eastAsia" w:ascii="方正黑体_GBK" w:hAnsi="方正黑体_GBK" w:eastAsia="方正黑体_GBK" w:cs="方正黑体_GBK"/>
          <w:color w:val="auto"/>
          <w:kern w:val="21"/>
          <w:sz w:val="32"/>
          <w:szCs w:val="32"/>
          <w:highlight w:val="none"/>
          <w:lang w:val="en-US" w:eastAsia="zh-CN"/>
        </w:rPr>
        <w:t>二、采购主体</w:t>
      </w:r>
    </w:p>
    <w:p w14:paraId="20D11E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kern w:val="21"/>
          <w:sz w:val="32"/>
          <w:szCs w:val="32"/>
          <w:highlight w:val="none"/>
          <w:lang w:val="en-US" w:eastAsia="zh-CN" w:bidi="ar"/>
        </w:rPr>
      </w:pPr>
      <w:r>
        <w:rPr>
          <w:rFonts w:hint="eastAsia" w:ascii="仿宋_GB2312" w:hAnsi="仿宋_GB2312" w:eastAsia="仿宋_GB2312" w:cs="仿宋_GB2312"/>
          <w:color w:val="auto"/>
          <w:kern w:val="21"/>
          <w:sz w:val="32"/>
          <w:szCs w:val="32"/>
          <w:highlight w:val="none"/>
          <w:lang w:val="en-US" w:eastAsia="zh-CN" w:bidi="ar"/>
        </w:rPr>
        <w:t>联盟各地区医疗机构（含军队医疗机构，下同）及积极参加的医保定点社会办医疗机构。</w:t>
      </w:r>
    </w:p>
    <w:p w14:paraId="764B596A">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firstLine="640" w:firstLineChars="200"/>
        <w:jc w:val="both"/>
        <w:textAlignment w:val="auto"/>
        <w:outlineLvl w:val="9"/>
        <w:rPr>
          <w:rFonts w:hint="default" w:ascii="宋体" w:hAnsi="宋体" w:eastAsia="黑体" w:cs="宋体"/>
          <w:b w:val="0"/>
          <w:bCs w:val="0"/>
          <w:color w:val="auto"/>
          <w:sz w:val="32"/>
          <w:szCs w:val="36"/>
          <w:highlight w:val="none"/>
          <w:u w:val="none" w:color="000000"/>
          <w:lang w:val="en-US" w:eastAsia="zh-CN" w:bidi="zh-CN"/>
        </w:rPr>
      </w:pPr>
      <w:bookmarkStart w:id="0" w:name="_Toc13802"/>
      <w:bookmarkStart w:id="1" w:name="_Toc20659"/>
      <w:bookmarkStart w:id="2" w:name="_Toc9461"/>
      <w:r>
        <w:rPr>
          <w:rFonts w:hint="eastAsia" w:ascii="宋体" w:hAnsi="宋体" w:eastAsia="黑体" w:cs="宋体"/>
          <w:b w:val="0"/>
          <w:bCs w:val="0"/>
          <w:color w:val="auto"/>
          <w:sz w:val="32"/>
          <w:szCs w:val="36"/>
          <w:highlight w:val="none"/>
          <w:u w:val="none" w:color="000000"/>
          <w:lang w:val="en-US" w:eastAsia="zh-CN" w:bidi="zh-CN"/>
        </w:rPr>
        <w:t>三、采购品种、</w:t>
      </w:r>
      <w:bookmarkEnd w:id="0"/>
      <w:r>
        <w:rPr>
          <w:rFonts w:hint="eastAsia" w:ascii="宋体" w:hAnsi="宋体" w:eastAsia="黑体" w:cs="宋体"/>
          <w:b w:val="0"/>
          <w:bCs w:val="0"/>
          <w:color w:val="auto"/>
          <w:sz w:val="32"/>
          <w:szCs w:val="36"/>
          <w:highlight w:val="none"/>
          <w:u w:val="none" w:color="000000"/>
          <w:lang w:val="en-US" w:eastAsia="zh-CN" w:bidi="zh-CN"/>
        </w:rPr>
        <w:t>采购需求量</w:t>
      </w:r>
      <w:bookmarkEnd w:id="1"/>
      <w:bookmarkEnd w:id="2"/>
    </w:p>
    <w:p w14:paraId="4456F2B6">
      <w:pPr>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楷体_GB2312" w:hAnsi="楷体_GB2312" w:eastAsia="楷体_GB2312" w:cs="楷体_GB2312"/>
          <w:b w:val="0"/>
          <w:bCs w:val="0"/>
          <w:color w:val="auto"/>
          <w:kern w:val="0"/>
          <w:sz w:val="32"/>
          <w:szCs w:val="32"/>
          <w:highlight w:val="none"/>
          <w:lang w:val="en-US" w:eastAsia="zh-CN" w:bidi="zh-CN"/>
        </w:rPr>
      </w:pPr>
      <w:r>
        <w:rPr>
          <w:rFonts w:hint="eastAsia" w:ascii="楷体_GB2312" w:hAnsi="楷体_GB2312" w:eastAsia="楷体_GB2312" w:cs="楷体_GB2312"/>
          <w:b w:val="0"/>
          <w:bCs w:val="0"/>
          <w:color w:val="auto"/>
          <w:kern w:val="0"/>
          <w:sz w:val="32"/>
          <w:szCs w:val="32"/>
          <w:highlight w:val="none"/>
          <w:lang w:val="en-US" w:eastAsia="zh-CN" w:bidi="zh-CN"/>
        </w:rPr>
        <w:t>（一）采购品种</w:t>
      </w:r>
    </w:p>
    <w:p w14:paraId="016AA0B2">
      <w:pPr>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bidi="zh-CN"/>
        </w:rPr>
        <w:t>本次集中带量采购品种为外周血管介入类导引导丝医用耗材，</w:t>
      </w:r>
      <w:r>
        <w:rPr>
          <w:rFonts w:hint="eastAsia" w:ascii="仿宋_GB2312" w:hAnsi="仿宋_GB2312" w:eastAsia="仿宋_GB2312" w:cs="仿宋_GB2312"/>
          <w:color w:val="auto"/>
          <w:sz w:val="32"/>
          <w:szCs w:val="32"/>
          <w:highlight w:val="none"/>
          <w:lang w:val="en-US" w:eastAsia="zh-CN"/>
        </w:rPr>
        <w:t>仅用于造影的导引导丝不在本次采购范围内</w:t>
      </w:r>
      <w:r>
        <w:rPr>
          <w:rFonts w:hint="eastAsia" w:ascii="仿宋_GB2312" w:hAnsi="仿宋_GB2312" w:eastAsia="仿宋_GB2312" w:cs="仿宋_GB2312"/>
          <w:color w:val="auto"/>
          <w:sz w:val="32"/>
          <w:szCs w:val="32"/>
          <w:highlight w:val="none"/>
          <w:lang w:val="en-US" w:eastAsia="zh-CN"/>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28"/>
        <w:gridCol w:w="5102"/>
      </w:tblGrid>
      <w:tr w14:paraId="7679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28" w:type="dxa"/>
            <w:vAlign w:val="center"/>
          </w:tcPr>
          <w:p w14:paraId="627BA68E">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exact"/>
              <w:ind w:right="0"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采购品种</w:t>
            </w:r>
          </w:p>
        </w:tc>
        <w:tc>
          <w:tcPr>
            <w:tcW w:w="5102" w:type="dxa"/>
            <w:vAlign w:val="center"/>
          </w:tcPr>
          <w:p w14:paraId="2292168B">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exact"/>
              <w:ind w:right="0"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采购产品组</w:t>
            </w:r>
          </w:p>
        </w:tc>
      </w:tr>
      <w:tr w14:paraId="214F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28" w:type="dxa"/>
            <w:vMerge w:val="restart"/>
            <w:vAlign w:val="center"/>
          </w:tcPr>
          <w:p w14:paraId="0E49D44B">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exact"/>
              <w:ind w:right="-113"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外周血管介入类导引导丝</w:t>
            </w:r>
          </w:p>
        </w:tc>
        <w:tc>
          <w:tcPr>
            <w:tcW w:w="5102" w:type="dxa"/>
            <w:vAlign w:val="center"/>
          </w:tcPr>
          <w:p w14:paraId="47E1FBCC">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exact"/>
              <w:ind w:right="-113"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default" w:ascii="仿宋_GB2312" w:hAnsi="仿宋_GB2312" w:eastAsia="仿宋_GB2312" w:cs="仿宋_GB2312"/>
                <w:color w:val="auto"/>
                <w:sz w:val="28"/>
                <w:szCs w:val="28"/>
                <w:highlight w:val="none"/>
                <w:vertAlign w:val="baseline"/>
                <w:lang w:val="en-US" w:eastAsia="zh-CN"/>
              </w:rPr>
              <w:t>直径0.014英寸</w:t>
            </w:r>
            <w:r>
              <w:rPr>
                <w:rFonts w:hint="eastAsia" w:ascii="仿宋_GB2312" w:hAnsi="仿宋_GB2312" w:eastAsia="仿宋_GB2312" w:cs="仿宋_GB2312"/>
                <w:color w:val="auto"/>
                <w:sz w:val="28"/>
                <w:szCs w:val="28"/>
                <w:highlight w:val="none"/>
                <w:vertAlign w:val="baseline"/>
                <w:lang w:val="en-US" w:eastAsia="zh-CN"/>
              </w:rPr>
              <w:t>组</w:t>
            </w:r>
          </w:p>
        </w:tc>
      </w:tr>
      <w:tr w14:paraId="6BF8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28" w:type="dxa"/>
            <w:vMerge w:val="continue"/>
            <w:vAlign w:val="center"/>
          </w:tcPr>
          <w:p w14:paraId="5827F7D0">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exact"/>
              <w:ind w:right="-113"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p>
        </w:tc>
        <w:tc>
          <w:tcPr>
            <w:tcW w:w="5102" w:type="dxa"/>
            <w:vAlign w:val="center"/>
          </w:tcPr>
          <w:p w14:paraId="29E07C70">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exact"/>
              <w:ind w:right="-113"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default" w:ascii="仿宋_GB2312" w:hAnsi="仿宋_GB2312" w:eastAsia="仿宋_GB2312" w:cs="仿宋_GB2312"/>
                <w:color w:val="auto"/>
                <w:sz w:val="28"/>
                <w:szCs w:val="28"/>
                <w:highlight w:val="none"/>
                <w:vertAlign w:val="baseline"/>
                <w:lang w:val="en-US" w:eastAsia="zh-CN"/>
              </w:rPr>
              <w:t>直径0.01</w:t>
            </w:r>
            <w:r>
              <w:rPr>
                <w:rFonts w:hint="eastAsia" w:ascii="仿宋_GB2312" w:hAnsi="仿宋_GB2312" w:eastAsia="仿宋_GB2312" w:cs="仿宋_GB2312"/>
                <w:color w:val="auto"/>
                <w:sz w:val="28"/>
                <w:szCs w:val="28"/>
                <w:highlight w:val="none"/>
                <w:vertAlign w:val="baseline"/>
                <w:lang w:val="en-US" w:eastAsia="zh-CN"/>
              </w:rPr>
              <w:t>8</w:t>
            </w:r>
            <w:r>
              <w:rPr>
                <w:rFonts w:hint="default" w:ascii="仿宋_GB2312" w:hAnsi="仿宋_GB2312" w:eastAsia="仿宋_GB2312" w:cs="仿宋_GB2312"/>
                <w:color w:val="auto"/>
                <w:sz w:val="28"/>
                <w:szCs w:val="28"/>
                <w:highlight w:val="none"/>
                <w:vertAlign w:val="baseline"/>
                <w:lang w:val="en-US" w:eastAsia="zh-CN"/>
              </w:rPr>
              <w:t>英寸</w:t>
            </w:r>
            <w:r>
              <w:rPr>
                <w:rFonts w:hint="eastAsia" w:ascii="仿宋_GB2312" w:hAnsi="仿宋_GB2312" w:eastAsia="仿宋_GB2312" w:cs="仿宋_GB2312"/>
                <w:color w:val="auto"/>
                <w:sz w:val="28"/>
                <w:szCs w:val="28"/>
                <w:highlight w:val="none"/>
                <w:vertAlign w:val="baseline"/>
                <w:lang w:val="en-US" w:eastAsia="zh-CN"/>
              </w:rPr>
              <w:t>组</w:t>
            </w:r>
          </w:p>
        </w:tc>
      </w:tr>
      <w:tr w14:paraId="30D2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28" w:type="dxa"/>
            <w:vMerge w:val="continue"/>
            <w:vAlign w:val="center"/>
          </w:tcPr>
          <w:p w14:paraId="56BB2C33">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exact"/>
              <w:ind w:right="-113"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p>
        </w:tc>
        <w:tc>
          <w:tcPr>
            <w:tcW w:w="5102" w:type="dxa"/>
            <w:vAlign w:val="center"/>
          </w:tcPr>
          <w:p w14:paraId="4D52B44D">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360" w:lineRule="exact"/>
              <w:ind w:right="-113"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default" w:ascii="仿宋_GB2312" w:hAnsi="仿宋_GB2312" w:eastAsia="仿宋_GB2312" w:cs="仿宋_GB2312"/>
                <w:color w:val="auto"/>
                <w:sz w:val="28"/>
                <w:szCs w:val="28"/>
                <w:highlight w:val="none"/>
                <w:vertAlign w:val="baseline"/>
                <w:lang w:val="en-US" w:eastAsia="zh-CN"/>
              </w:rPr>
              <w:t>直径‌0.0</w:t>
            </w:r>
            <w:r>
              <w:rPr>
                <w:rFonts w:hint="eastAsia" w:ascii="仿宋_GB2312" w:hAnsi="仿宋_GB2312" w:eastAsia="仿宋_GB2312" w:cs="仿宋_GB2312"/>
                <w:color w:val="auto"/>
                <w:sz w:val="28"/>
                <w:szCs w:val="28"/>
                <w:highlight w:val="none"/>
                <w:vertAlign w:val="baseline"/>
                <w:lang w:val="en-US" w:eastAsia="zh-CN"/>
              </w:rPr>
              <w:t>35</w:t>
            </w:r>
            <w:r>
              <w:rPr>
                <w:rFonts w:hint="default" w:ascii="仿宋_GB2312" w:hAnsi="仿宋_GB2312" w:eastAsia="仿宋_GB2312" w:cs="仿宋_GB2312"/>
                <w:color w:val="auto"/>
                <w:sz w:val="28"/>
                <w:szCs w:val="28"/>
                <w:highlight w:val="none"/>
                <w:vertAlign w:val="baseline"/>
                <w:lang w:val="en-US" w:eastAsia="zh-CN"/>
              </w:rPr>
              <w:t>英寸</w:t>
            </w:r>
            <w:r>
              <w:rPr>
                <w:rFonts w:hint="eastAsia" w:ascii="仿宋_GB2312" w:hAnsi="仿宋_GB2312" w:eastAsia="仿宋_GB2312" w:cs="仿宋_GB2312"/>
                <w:color w:val="auto"/>
                <w:sz w:val="28"/>
                <w:szCs w:val="28"/>
                <w:highlight w:val="none"/>
                <w:vertAlign w:val="baseline"/>
                <w:lang w:val="en-US" w:eastAsia="zh-CN"/>
              </w:rPr>
              <w:t>组</w:t>
            </w:r>
          </w:p>
        </w:tc>
      </w:tr>
    </w:tbl>
    <w:p w14:paraId="792DBCBB">
      <w:pPr>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560" w:firstLineChars="200"/>
        <w:jc w:val="both"/>
        <w:textAlignment w:val="auto"/>
        <w:outlineLvl w:val="9"/>
        <w:rPr>
          <w:rFonts w:hint="eastAsia" w:ascii="楷体_GB2312" w:hAnsi="楷体_GB2312" w:eastAsia="楷体_GB2312" w:cs="楷体_GB2312"/>
          <w:b w:val="0"/>
          <w:bCs w:val="0"/>
          <w:color w:val="auto"/>
          <w:kern w:val="0"/>
          <w:sz w:val="28"/>
          <w:szCs w:val="28"/>
          <w:highlight w:val="none"/>
          <w:lang w:val="en-US" w:eastAsia="zh-CN" w:bidi="zh-CN"/>
        </w:rPr>
      </w:pPr>
      <w:r>
        <w:rPr>
          <w:rFonts w:hint="eastAsia" w:ascii="楷体_GB2312" w:hAnsi="楷体_GB2312" w:eastAsia="楷体_GB2312" w:cs="楷体_GB2312"/>
          <w:b w:val="0"/>
          <w:bCs w:val="0"/>
          <w:color w:val="auto"/>
          <w:kern w:val="0"/>
          <w:sz w:val="28"/>
          <w:szCs w:val="28"/>
          <w:highlight w:val="none"/>
          <w:lang w:val="en-US" w:eastAsia="zh-CN" w:bidi="zh-CN"/>
        </w:rPr>
        <w:t>注：直径≤0.016英寸的产品属于“直径0.014英寸组”；0.016英寸＜直径≤‌0.025英寸的产品属于“直径0.018英寸组”；直径＞0.025英寸的产品属于“直径‌0.035英寸组”。</w:t>
      </w:r>
    </w:p>
    <w:p w14:paraId="3832F466">
      <w:pPr>
        <w:keepNext w:val="0"/>
        <w:keepLines w:val="0"/>
        <w:pageBreakBefore w:val="0"/>
        <w:widowControl w:val="0"/>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default" w:ascii="楷体_GB2312" w:hAnsi="楷体_GB2312" w:eastAsia="楷体_GB2312" w:cs="楷体_GB2312"/>
          <w:b w:val="0"/>
          <w:bCs w:val="0"/>
          <w:color w:val="auto"/>
          <w:kern w:val="0"/>
          <w:sz w:val="32"/>
          <w:szCs w:val="32"/>
          <w:highlight w:val="none"/>
          <w:lang w:val="en-US" w:eastAsia="zh-CN" w:bidi="zh-CN"/>
        </w:rPr>
      </w:pPr>
      <w:r>
        <w:rPr>
          <w:rFonts w:hint="eastAsia" w:ascii="楷体_GB2312" w:hAnsi="楷体_GB2312" w:eastAsia="楷体_GB2312" w:cs="楷体_GB2312"/>
          <w:b w:val="0"/>
          <w:bCs w:val="0"/>
          <w:color w:val="auto"/>
          <w:kern w:val="0"/>
          <w:sz w:val="32"/>
          <w:szCs w:val="32"/>
          <w:highlight w:val="none"/>
          <w:lang w:val="en-US" w:eastAsia="zh-CN" w:bidi="zh-CN"/>
        </w:rPr>
        <w:t>（二）采购需求量</w:t>
      </w:r>
    </w:p>
    <w:p w14:paraId="005DC586">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bidi="zh-CN"/>
        </w:rPr>
      </w:pPr>
      <w:r>
        <w:rPr>
          <w:rFonts w:hint="eastAsia" w:ascii="仿宋_GB2312" w:hAnsi="仿宋_GB2312" w:eastAsia="仿宋_GB2312" w:cs="仿宋_GB2312"/>
          <w:color w:val="auto"/>
          <w:sz w:val="32"/>
          <w:szCs w:val="32"/>
          <w:highlight w:val="none"/>
          <w:lang w:val="en-US" w:eastAsia="zh-CN" w:bidi="zh-CN"/>
        </w:rPr>
        <w:t>外周血管介入类导引导丝医用耗材的年度采购需求量由参加本次集中带量采购的所有医疗机构报送的各产品采购需求量累加得出。</w:t>
      </w:r>
    </w:p>
    <w:p w14:paraId="3B8F996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1"/>
        <w:rPr>
          <w:rFonts w:ascii="黑体" w:hAnsi="黑体" w:eastAsia="黑体" w:cs="黑体"/>
          <w:color w:val="auto"/>
          <w:kern w:val="0"/>
          <w:sz w:val="32"/>
          <w:szCs w:val="32"/>
          <w:highlight w:val="none"/>
          <w:lang w:bidi="ar"/>
        </w:rPr>
      </w:pPr>
      <w:bookmarkStart w:id="3" w:name="_Toc23174"/>
      <w:bookmarkStart w:id="4" w:name="_Toc23781"/>
      <w:r>
        <w:rPr>
          <w:rFonts w:hint="eastAsia" w:ascii="黑体" w:hAnsi="黑体" w:eastAsia="黑体" w:cs="黑体"/>
          <w:color w:val="auto"/>
          <w:kern w:val="0"/>
          <w:sz w:val="32"/>
          <w:szCs w:val="32"/>
          <w:highlight w:val="none"/>
          <w:lang w:val="en-US" w:eastAsia="zh-CN" w:bidi="ar"/>
        </w:rPr>
        <w:t>四</w:t>
      </w:r>
      <w:r>
        <w:rPr>
          <w:rFonts w:hint="eastAsia" w:ascii="黑体" w:hAnsi="黑体" w:eastAsia="黑体" w:cs="黑体"/>
          <w:color w:val="auto"/>
          <w:kern w:val="0"/>
          <w:sz w:val="32"/>
          <w:szCs w:val="32"/>
          <w:highlight w:val="none"/>
          <w:lang w:bidi="ar"/>
        </w:rPr>
        <w:t>、申报要求</w:t>
      </w:r>
      <w:bookmarkEnd w:id="3"/>
      <w:bookmarkEnd w:id="4"/>
    </w:p>
    <w:p w14:paraId="37315C7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楷体_GB2312" w:hAnsi="楷体_GB2312" w:eastAsia="楷体_GB2312" w:cs="楷体_GB2312"/>
          <w:color w:val="auto"/>
          <w:kern w:val="0"/>
          <w:sz w:val="32"/>
          <w:szCs w:val="32"/>
          <w:highlight w:val="none"/>
          <w:lang w:bidi="ar"/>
        </w:rPr>
      </w:pPr>
      <w:r>
        <w:rPr>
          <w:rFonts w:hint="eastAsia" w:ascii="楷体_GB2312" w:hAnsi="楷体_GB2312" w:eastAsia="楷体_GB2312" w:cs="楷体_GB2312"/>
          <w:color w:val="auto"/>
          <w:kern w:val="0"/>
          <w:sz w:val="32"/>
          <w:szCs w:val="32"/>
          <w:highlight w:val="none"/>
          <w:lang w:bidi="ar"/>
        </w:rPr>
        <w:t>（一）申报企业资格要求</w:t>
      </w:r>
    </w:p>
    <w:p w14:paraId="1101193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color w:val="auto"/>
          <w:kern w:val="0"/>
          <w:sz w:val="32"/>
          <w:szCs w:val="32"/>
          <w:highlight w:val="none"/>
          <w:lang w:bidi="ar"/>
        </w:rPr>
      </w:pPr>
      <w:r>
        <w:rPr>
          <w:rFonts w:hint="eastAsia" w:ascii="仿宋_GB2312" w:hAnsi="宋体" w:eastAsia="仿宋_GB2312" w:cs="仿宋_GB2312"/>
          <w:color w:val="auto"/>
          <w:kern w:val="0"/>
          <w:sz w:val="32"/>
          <w:szCs w:val="32"/>
          <w:highlight w:val="none"/>
          <w:lang w:bidi="ar"/>
        </w:rPr>
        <w:t>1.申报企业为已取得本次集中带量采购品种合法资质的医疗器械注册人（</w:t>
      </w:r>
      <w:r>
        <w:rPr>
          <w:rFonts w:hint="eastAsia" w:ascii="仿宋_GB2312" w:hAnsi="宋体" w:eastAsia="仿宋_GB2312" w:cs="仿宋_GB2312"/>
          <w:color w:val="auto"/>
          <w:kern w:val="0"/>
          <w:sz w:val="32"/>
          <w:szCs w:val="32"/>
          <w:highlight w:val="none"/>
          <w:lang w:val="en-US" w:eastAsia="zh-CN" w:bidi="ar"/>
        </w:rPr>
        <w:t>含备案人，下同</w:t>
      </w:r>
      <w:r>
        <w:rPr>
          <w:rFonts w:hint="eastAsia" w:ascii="仿宋_GB2312" w:hAnsi="宋体" w:eastAsia="仿宋_GB2312" w:cs="仿宋_GB2312"/>
          <w:color w:val="auto"/>
          <w:kern w:val="0"/>
          <w:sz w:val="32"/>
          <w:szCs w:val="32"/>
          <w:highlight w:val="none"/>
          <w:lang w:bidi="ar"/>
        </w:rPr>
        <w:t>）。其中，境外医疗器械注册</w:t>
      </w:r>
      <w:r>
        <w:rPr>
          <w:rFonts w:hint="eastAsia" w:ascii="仿宋_GB2312" w:hAnsi="宋体" w:eastAsia="仿宋_GB2312" w:cs="仿宋_GB2312"/>
          <w:color w:val="auto"/>
          <w:kern w:val="0"/>
          <w:sz w:val="32"/>
          <w:szCs w:val="32"/>
          <w:highlight w:val="none"/>
          <w:lang w:val="en-US" w:eastAsia="zh-CN" w:bidi="ar"/>
        </w:rPr>
        <w:t>人应当</w:t>
      </w:r>
      <w:r>
        <w:rPr>
          <w:rFonts w:hint="eastAsia" w:ascii="仿宋_GB2312" w:hAnsi="宋体" w:eastAsia="仿宋_GB2312" w:cs="仿宋_GB2312"/>
          <w:color w:val="auto"/>
          <w:kern w:val="0"/>
          <w:sz w:val="32"/>
          <w:szCs w:val="32"/>
          <w:highlight w:val="none"/>
          <w:lang w:bidi="ar"/>
        </w:rPr>
        <w:t>指定我国境内企业法人协助其履行相应的法律义务</w:t>
      </w:r>
      <w:r>
        <w:rPr>
          <w:rFonts w:hint="eastAsia" w:ascii="仿宋_GB2312" w:hAnsi="宋体" w:eastAsia="仿宋_GB2312" w:cs="仿宋_GB2312"/>
          <w:color w:val="auto"/>
          <w:kern w:val="0"/>
          <w:sz w:val="32"/>
          <w:szCs w:val="32"/>
          <w:highlight w:val="none"/>
          <w:lang w:eastAsia="zh-CN" w:bidi="ar"/>
        </w:rPr>
        <w:t>，</w:t>
      </w:r>
      <w:r>
        <w:rPr>
          <w:rFonts w:hint="eastAsia" w:ascii="仿宋_GB2312" w:hAnsi="宋体" w:eastAsia="仿宋_GB2312" w:cs="仿宋_GB2312"/>
          <w:color w:val="auto"/>
          <w:kern w:val="0"/>
          <w:sz w:val="32"/>
          <w:szCs w:val="32"/>
          <w:highlight w:val="none"/>
          <w:lang w:val="en-US" w:eastAsia="zh-CN" w:bidi="ar"/>
        </w:rPr>
        <w:t>委托其作为申报企业开展申报。</w:t>
      </w:r>
      <w:r>
        <w:rPr>
          <w:rFonts w:hint="eastAsia" w:ascii="仿宋_GB2312" w:hAnsi="宋体" w:eastAsia="仿宋_GB2312" w:cs="仿宋_GB2312"/>
          <w:color w:val="auto"/>
          <w:kern w:val="0"/>
          <w:sz w:val="32"/>
          <w:szCs w:val="32"/>
          <w:highlight w:val="none"/>
          <w:lang w:bidi="ar"/>
        </w:rPr>
        <w:t>同一</w:t>
      </w:r>
      <w:r>
        <w:rPr>
          <w:rFonts w:hint="eastAsia" w:ascii="仿宋_GB2312" w:hAnsi="宋体" w:eastAsia="仿宋_GB2312" w:cs="仿宋_GB2312"/>
          <w:color w:val="auto"/>
          <w:kern w:val="0"/>
          <w:sz w:val="32"/>
          <w:szCs w:val="32"/>
          <w:highlight w:val="none"/>
          <w:lang w:val="en-US" w:eastAsia="zh-CN" w:bidi="ar"/>
        </w:rPr>
        <w:t>境外</w:t>
      </w:r>
      <w:r>
        <w:rPr>
          <w:rFonts w:hint="eastAsia" w:ascii="仿宋_GB2312" w:hAnsi="宋体" w:eastAsia="仿宋_GB2312" w:cs="仿宋_GB2312"/>
          <w:color w:val="auto"/>
          <w:kern w:val="0"/>
          <w:sz w:val="32"/>
          <w:szCs w:val="32"/>
          <w:highlight w:val="none"/>
          <w:lang w:bidi="ar"/>
        </w:rPr>
        <w:t>医疗器械注册人的同一</w:t>
      </w:r>
      <w:r>
        <w:rPr>
          <w:rFonts w:hint="eastAsia" w:ascii="仿宋_GB2312" w:hAnsi="宋体" w:eastAsia="仿宋_GB2312" w:cs="仿宋_GB2312"/>
          <w:color w:val="auto"/>
          <w:kern w:val="0"/>
          <w:sz w:val="32"/>
          <w:szCs w:val="32"/>
          <w:highlight w:val="none"/>
          <w:lang w:val="en-US" w:eastAsia="zh-CN" w:bidi="ar"/>
        </w:rPr>
        <w:t>品种应当委托同一家</w:t>
      </w:r>
      <w:r>
        <w:rPr>
          <w:rFonts w:hint="eastAsia" w:ascii="仿宋_GB2312" w:hAnsi="宋体" w:eastAsia="仿宋_GB2312" w:cs="仿宋_GB2312"/>
          <w:color w:val="auto"/>
          <w:kern w:val="0"/>
          <w:sz w:val="32"/>
          <w:szCs w:val="32"/>
          <w:highlight w:val="none"/>
          <w:lang w:bidi="ar"/>
        </w:rPr>
        <w:t>企业申报。</w:t>
      </w:r>
    </w:p>
    <w:p w14:paraId="659BF50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宋体" w:eastAsia="仿宋_GB2312" w:cs="仿宋_GB2312"/>
          <w:color w:val="auto"/>
          <w:kern w:val="0"/>
          <w:sz w:val="32"/>
          <w:szCs w:val="32"/>
          <w:highlight w:val="none"/>
          <w:lang w:val="en-US" w:eastAsia="zh-CN" w:bidi="ar"/>
        </w:rPr>
      </w:pPr>
      <w:r>
        <w:rPr>
          <w:rFonts w:hint="eastAsia" w:ascii="仿宋_GB2312" w:hAnsi="宋体" w:eastAsia="仿宋_GB2312" w:cs="仿宋_GB2312"/>
          <w:color w:val="auto"/>
          <w:kern w:val="0"/>
          <w:sz w:val="32"/>
          <w:szCs w:val="32"/>
          <w:highlight w:val="none"/>
          <w:lang w:val="en-US" w:eastAsia="zh-CN" w:bidi="ar"/>
        </w:rPr>
        <w:t>2.同采购产品组存在以下情形的，相关企业视为存在关联关系。</w:t>
      </w:r>
    </w:p>
    <w:p w14:paraId="7679358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color w:val="auto"/>
          <w:kern w:val="0"/>
          <w:sz w:val="32"/>
          <w:szCs w:val="32"/>
          <w:highlight w:val="none"/>
          <w:lang w:val="en-US" w:eastAsia="zh-CN" w:bidi="ar"/>
        </w:rPr>
      </w:pPr>
      <w:r>
        <w:rPr>
          <w:rFonts w:hint="eastAsia" w:ascii="仿宋_GB2312" w:hAnsi="宋体" w:eastAsia="仿宋_GB2312" w:cs="仿宋_GB2312"/>
          <w:color w:val="auto"/>
          <w:kern w:val="0"/>
          <w:sz w:val="32"/>
          <w:szCs w:val="32"/>
          <w:highlight w:val="none"/>
          <w:lang w:val="en-US" w:eastAsia="zh-CN" w:bidi="ar"/>
        </w:rPr>
        <w:t>（1）不同医疗器械注册人，为同一实际控制人或存在控股关系（直接或间接控股超过50%的情形，下同）；</w:t>
      </w:r>
    </w:p>
    <w:p w14:paraId="63295410">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宋体" w:eastAsia="仿宋_GB2312" w:cs="仿宋_GB2312"/>
          <w:color w:val="auto"/>
          <w:kern w:val="0"/>
          <w:sz w:val="32"/>
          <w:szCs w:val="32"/>
          <w:highlight w:val="none"/>
          <w:lang w:val="en-US" w:eastAsia="zh-CN" w:bidi="ar"/>
        </w:rPr>
      </w:pPr>
      <w:r>
        <w:rPr>
          <w:rFonts w:hint="eastAsia" w:ascii="仿宋_GB2312" w:hAnsi="宋体" w:eastAsia="仿宋_GB2312" w:cs="仿宋_GB2312"/>
          <w:color w:val="auto"/>
          <w:kern w:val="0"/>
          <w:sz w:val="32"/>
          <w:szCs w:val="32"/>
          <w:highlight w:val="none"/>
          <w:lang w:val="en-US" w:eastAsia="zh-CN" w:bidi="ar"/>
        </w:rPr>
        <w:t>（2）不同申报企业，为同一实际控制人或存在控股关系；</w:t>
      </w:r>
    </w:p>
    <w:p w14:paraId="737B0E6C">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color w:val="auto"/>
          <w:kern w:val="0"/>
          <w:sz w:val="32"/>
          <w:szCs w:val="32"/>
          <w:highlight w:val="none"/>
          <w:lang w:val="en-US" w:eastAsia="zh-CN" w:bidi="ar"/>
        </w:rPr>
      </w:pPr>
      <w:r>
        <w:rPr>
          <w:rFonts w:hint="eastAsia" w:ascii="仿宋_GB2312" w:hAnsi="宋体" w:eastAsia="仿宋_GB2312" w:cs="仿宋_GB2312"/>
          <w:color w:val="auto"/>
          <w:kern w:val="0"/>
          <w:sz w:val="32"/>
          <w:szCs w:val="32"/>
          <w:highlight w:val="none"/>
          <w:lang w:val="en-US" w:eastAsia="zh-CN" w:bidi="ar"/>
        </w:rPr>
        <w:t>（3）医疗器械注册人与其他医疗器械注册人的申报企业，为同一实际控制人或存在控股关系；</w:t>
      </w:r>
    </w:p>
    <w:p w14:paraId="37EEF71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color w:val="auto"/>
          <w:kern w:val="0"/>
          <w:sz w:val="32"/>
          <w:szCs w:val="32"/>
          <w:highlight w:val="none"/>
          <w:lang w:val="en-US" w:eastAsia="zh-CN" w:bidi="ar"/>
        </w:rPr>
      </w:pPr>
      <w:r>
        <w:rPr>
          <w:rFonts w:hint="eastAsia" w:ascii="仿宋_GB2312" w:hAnsi="宋体" w:eastAsia="仿宋_GB2312" w:cs="仿宋_GB2312"/>
          <w:color w:val="auto"/>
          <w:kern w:val="0"/>
          <w:sz w:val="32"/>
          <w:szCs w:val="32"/>
          <w:highlight w:val="none"/>
          <w:lang w:val="en-US" w:eastAsia="zh-CN" w:bidi="ar"/>
        </w:rPr>
        <w:t>（4）同一申报企业代表不同医疗器械注册人申报。</w:t>
      </w:r>
    </w:p>
    <w:p w14:paraId="47FCAAB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宋体" w:eastAsia="仿宋_GB2312" w:cs="仿宋_GB2312"/>
          <w:color w:val="auto"/>
          <w:kern w:val="0"/>
          <w:sz w:val="32"/>
          <w:szCs w:val="32"/>
          <w:highlight w:val="none"/>
          <w:lang w:val="en-US" w:eastAsia="zh-CN" w:bidi="ar"/>
        </w:rPr>
      </w:pPr>
      <w:r>
        <w:rPr>
          <w:rFonts w:hint="eastAsia" w:ascii="仿宋_GB2312" w:hAnsi="宋体" w:eastAsia="仿宋_GB2312" w:cs="仿宋_GB2312"/>
          <w:color w:val="auto"/>
          <w:kern w:val="0"/>
          <w:sz w:val="32"/>
          <w:szCs w:val="32"/>
          <w:highlight w:val="none"/>
          <w:lang w:val="en-US" w:eastAsia="zh-CN" w:bidi="ar"/>
        </w:rPr>
        <w:t>3.</w:t>
      </w:r>
      <w:r>
        <w:rPr>
          <w:rFonts w:hint="default" w:ascii="仿宋_GB2312" w:hAnsi="宋体" w:eastAsia="仿宋_GB2312" w:cs="仿宋_GB2312"/>
          <w:color w:val="auto"/>
          <w:kern w:val="0"/>
          <w:sz w:val="32"/>
          <w:szCs w:val="32"/>
          <w:highlight w:val="none"/>
          <w:lang w:val="en-US" w:eastAsia="zh-CN" w:bidi="ar"/>
        </w:rPr>
        <w:t>申报企业和医疗器械注册人未被联采办列入当前“违规名单”。</w:t>
      </w:r>
    </w:p>
    <w:p w14:paraId="6F951DB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4</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val="en-US" w:eastAsia="zh-CN" w:bidi="ar"/>
        </w:rPr>
        <w:t>申报企业和医疗器械注册人应遵守包括但不限于《中华人民共和国专利法》《中华人民共和国反不正当竞争法》《中华人民共和国反垄断法》等相关法律法规，并承担相应法律责任。</w:t>
      </w:r>
    </w:p>
    <w:p w14:paraId="0FB4A67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5.申报企业须承诺申报的各规格型号产品在采购周期内满足联盟地区实际采购需求。</w:t>
      </w:r>
    </w:p>
    <w:p w14:paraId="3167D44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楷体_GB2312" w:hAnsi="楷体_GB2312" w:eastAsia="楷体_GB2312" w:cs="楷体_GB2312"/>
          <w:color w:val="auto"/>
          <w:kern w:val="0"/>
          <w:sz w:val="32"/>
          <w:szCs w:val="32"/>
          <w:highlight w:val="none"/>
          <w:lang w:bidi="ar"/>
        </w:rPr>
      </w:pPr>
      <w:r>
        <w:rPr>
          <w:rFonts w:hint="eastAsia" w:ascii="楷体_GB2312" w:hAnsi="楷体_GB2312" w:eastAsia="楷体_GB2312" w:cs="楷体_GB2312"/>
          <w:color w:val="auto"/>
          <w:kern w:val="0"/>
          <w:sz w:val="32"/>
          <w:szCs w:val="32"/>
          <w:highlight w:val="none"/>
          <w:lang w:bidi="ar"/>
        </w:rPr>
        <w:t>（</w:t>
      </w:r>
      <w:r>
        <w:rPr>
          <w:rFonts w:hint="eastAsia" w:ascii="楷体_GB2312" w:hAnsi="楷体_GB2312" w:eastAsia="楷体_GB2312" w:cs="楷体_GB2312"/>
          <w:color w:val="auto"/>
          <w:kern w:val="0"/>
          <w:sz w:val="32"/>
          <w:szCs w:val="32"/>
          <w:highlight w:val="none"/>
          <w:lang w:val="en-US" w:eastAsia="zh-CN" w:bidi="ar"/>
        </w:rPr>
        <w:t>二</w:t>
      </w:r>
      <w:r>
        <w:rPr>
          <w:rFonts w:hint="eastAsia" w:ascii="楷体_GB2312" w:hAnsi="楷体_GB2312" w:eastAsia="楷体_GB2312" w:cs="楷体_GB2312"/>
          <w:color w:val="auto"/>
          <w:kern w:val="0"/>
          <w:sz w:val="32"/>
          <w:szCs w:val="32"/>
          <w:highlight w:val="none"/>
          <w:lang w:bidi="ar"/>
        </w:rPr>
        <w:t>）申报</w:t>
      </w:r>
      <w:r>
        <w:rPr>
          <w:rFonts w:hint="eastAsia" w:ascii="楷体_GB2312" w:hAnsi="楷体_GB2312" w:eastAsia="楷体_GB2312" w:cs="楷体_GB2312"/>
          <w:color w:val="auto"/>
          <w:kern w:val="0"/>
          <w:sz w:val="32"/>
          <w:szCs w:val="32"/>
          <w:highlight w:val="none"/>
          <w:lang w:val="en-US" w:eastAsia="zh-CN" w:bidi="ar"/>
        </w:rPr>
        <w:t>产品</w:t>
      </w:r>
      <w:r>
        <w:rPr>
          <w:rFonts w:hint="eastAsia" w:ascii="楷体_GB2312" w:hAnsi="楷体_GB2312" w:eastAsia="楷体_GB2312" w:cs="楷体_GB2312"/>
          <w:color w:val="auto"/>
          <w:kern w:val="0"/>
          <w:sz w:val="32"/>
          <w:szCs w:val="32"/>
          <w:highlight w:val="none"/>
          <w:lang w:bidi="ar"/>
        </w:rPr>
        <w:t>资格要求</w:t>
      </w:r>
    </w:p>
    <w:p w14:paraId="7F84D24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val="en-US" w:eastAsia="zh-CN" w:bidi="ar"/>
        </w:rPr>
        <w:t>1.申报产品属于本次集中带量采购品种范围，并于采购文件正式发布前获得有效中华人民共和国</w:t>
      </w:r>
      <w:r>
        <w:rPr>
          <w:rFonts w:hint="eastAsia" w:ascii="仿宋_GB2312" w:hAnsi="仿宋_GB2312" w:eastAsia="仿宋_GB2312" w:cs="仿宋_GB2312"/>
          <w:color w:val="auto"/>
          <w:kern w:val="0"/>
          <w:sz w:val="32"/>
          <w:szCs w:val="32"/>
          <w:highlight w:val="none"/>
          <w:lang w:bidi="ar"/>
        </w:rPr>
        <w:t>医疗器械注册证。</w:t>
      </w:r>
    </w:p>
    <w:p w14:paraId="61964EB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val="en-US" w:eastAsia="zh-CN" w:bidi="ar"/>
        </w:rPr>
        <w:t>2.申报产品须于采购文件正式发布前完成国家医保编码申请。</w:t>
      </w:r>
    </w:p>
    <w:p w14:paraId="4718246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3</w:t>
      </w:r>
      <w:r>
        <w:rPr>
          <w:rFonts w:hint="eastAsia" w:ascii="仿宋_GB2312" w:hAnsi="仿宋_GB2312" w:eastAsia="仿宋_GB2312" w:cs="仿宋_GB2312"/>
          <w:color w:val="auto"/>
          <w:kern w:val="0"/>
          <w:sz w:val="32"/>
          <w:szCs w:val="32"/>
          <w:highlight w:val="none"/>
          <w:lang w:bidi="ar"/>
        </w:rPr>
        <w:t>.申报产品应符合国家有关部门的质量标准要求，并按国家有关部门要求组织生产。</w:t>
      </w:r>
      <w:r>
        <w:rPr>
          <w:rFonts w:hint="eastAsia" w:ascii="仿宋_GB2312" w:hAnsi="仿宋_GB2312" w:eastAsia="仿宋_GB2312" w:cs="仿宋_GB2312"/>
          <w:color w:val="auto"/>
          <w:kern w:val="0"/>
          <w:sz w:val="32"/>
          <w:szCs w:val="32"/>
          <w:highlight w:val="none"/>
          <w:lang w:val="en-US" w:eastAsia="zh-CN" w:bidi="ar"/>
        </w:rPr>
        <w:t>申报产品在本次集中带量采购产品申报截止时间前两年内，不存在被省级（含）以上药品监督管理部门质量检验不合格情况，不存在因不符合医疗器械生产质量管理规范被药品监督管理部门处以暂停生产、进口、经营和使用等控制措施的情况。</w:t>
      </w:r>
    </w:p>
    <w:p w14:paraId="6DD28CD3">
      <w:pPr>
        <w:pStyle w:val="8"/>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outlineLvl w:val="1"/>
        <w:rPr>
          <w:rFonts w:hint="eastAsia" w:ascii="仿宋_GB2312" w:hAnsi="宋体" w:eastAsia="黑体" w:cs="仿宋_GB2312"/>
          <w:color w:val="auto"/>
          <w:kern w:val="0"/>
          <w:sz w:val="32"/>
          <w:szCs w:val="32"/>
          <w:highlight w:val="none"/>
          <w:lang w:val="en-US" w:eastAsia="zh-CN" w:bidi="ar"/>
        </w:rPr>
      </w:pPr>
      <w:bookmarkStart w:id="5" w:name="_Toc7388"/>
      <w:bookmarkStart w:id="6" w:name="_Toc23574"/>
      <w:r>
        <w:rPr>
          <w:rFonts w:hint="eastAsia" w:ascii="黑体" w:hAnsi="黑体" w:eastAsia="黑体" w:cs="黑体"/>
          <w:color w:val="auto"/>
          <w:kern w:val="0"/>
          <w:sz w:val="32"/>
          <w:szCs w:val="32"/>
          <w:highlight w:val="none"/>
          <w:lang w:val="en-US" w:eastAsia="zh-CN" w:bidi="ar"/>
        </w:rPr>
        <w:t>五</w:t>
      </w:r>
      <w:r>
        <w:rPr>
          <w:rFonts w:hint="eastAsia" w:ascii="黑体" w:hAnsi="黑体" w:eastAsia="黑体" w:cs="黑体"/>
          <w:color w:val="auto"/>
          <w:kern w:val="0"/>
          <w:sz w:val="32"/>
          <w:szCs w:val="32"/>
          <w:highlight w:val="none"/>
          <w:lang w:bidi="ar"/>
        </w:rPr>
        <w:t>、</w:t>
      </w:r>
      <w:bookmarkEnd w:id="5"/>
      <w:bookmarkEnd w:id="6"/>
      <w:r>
        <w:rPr>
          <w:rFonts w:hint="eastAsia" w:ascii="黑体" w:hAnsi="黑体" w:eastAsia="黑体" w:cs="黑体"/>
          <w:color w:val="auto"/>
          <w:kern w:val="0"/>
          <w:sz w:val="32"/>
          <w:szCs w:val="32"/>
          <w:highlight w:val="none"/>
          <w:lang w:val="en-US" w:eastAsia="zh-CN" w:bidi="ar"/>
        </w:rPr>
        <w:t>报价要求</w:t>
      </w:r>
    </w:p>
    <w:p w14:paraId="72C7074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（一）企业报价时，</w:t>
      </w:r>
      <w:r>
        <w:rPr>
          <w:rFonts w:hint="eastAsia" w:ascii="仿宋_GB2312" w:hAnsi="仿宋_GB2312" w:eastAsia="仿宋_GB2312" w:cs="仿宋_GB2312"/>
          <w:color w:val="auto"/>
          <w:kern w:val="0"/>
          <w:sz w:val="32"/>
          <w:szCs w:val="32"/>
          <w:highlight w:val="none"/>
          <w:lang w:bidi="ar"/>
        </w:rPr>
        <w:t>以</w:t>
      </w:r>
      <w:r>
        <w:rPr>
          <w:rFonts w:hint="eastAsia" w:ascii="仿宋_GB2312" w:hAnsi="仿宋_GB2312" w:eastAsia="仿宋_GB2312" w:cs="仿宋_GB2312"/>
          <w:color w:val="auto"/>
          <w:kern w:val="0"/>
          <w:sz w:val="32"/>
          <w:szCs w:val="32"/>
          <w:highlight w:val="none"/>
          <w:lang w:val="en-US" w:eastAsia="zh-CN" w:bidi="ar"/>
        </w:rPr>
        <w:t>采购产品组为</w:t>
      </w:r>
      <w:r>
        <w:rPr>
          <w:rFonts w:hint="eastAsia" w:ascii="仿宋_GB2312" w:hAnsi="仿宋_GB2312" w:eastAsia="仿宋_GB2312" w:cs="仿宋_GB2312"/>
          <w:color w:val="auto"/>
          <w:kern w:val="0"/>
          <w:sz w:val="32"/>
          <w:szCs w:val="32"/>
          <w:highlight w:val="none"/>
          <w:lang w:bidi="ar"/>
        </w:rPr>
        <w:t>单位进行报价，</w:t>
      </w:r>
      <w:r>
        <w:rPr>
          <w:rFonts w:hint="eastAsia" w:ascii="仿宋_GB2312" w:hAnsi="仿宋_GB2312" w:eastAsia="仿宋_GB2312" w:cs="仿宋_GB2312"/>
          <w:color w:val="auto"/>
          <w:kern w:val="0"/>
          <w:sz w:val="32"/>
          <w:szCs w:val="32"/>
          <w:highlight w:val="none"/>
          <w:lang w:val="en-US" w:eastAsia="zh-CN" w:bidi="ar"/>
        </w:rPr>
        <w:t>一个采购产品组申报一个价格，作为企业申报价。企业按正整数申报价格，</w:t>
      </w:r>
      <w:r>
        <w:rPr>
          <w:rFonts w:hint="eastAsia" w:ascii="仿宋_GB2312" w:hAnsi="仿宋_GB2312" w:eastAsia="仿宋_GB2312" w:cs="仿宋_GB2312"/>
          <w:color w:val="auto"/>
          <w:kern w:val="0"/>
          <w:sz w:val="32"/>
          <w:szCs w:val="32"/>
          <w:highlight w:val="none"/>
          <w:lang w:bidi="ar"/>
        </w:rPr>
        <w:t>以人民</w:t>
      </w:r>
      <w:r>
        <w:rPr>
          <w:rFonts w:hint="eastAsia" w:ascii="仿宋_GB2312" w:hAnsi="仿宋_GB2312" w:eastAsia="仿宋_GB2312" w:cs="仿宋_GB2312"/>
          <w:color w:val="auto"/>
          <w:kern w:val="0"/>
          <w:sz w:val="32"/>
          <w:szCs w:val="32"/>
          <w:highlight w:val="none"/>
          <w:lang w:val="en-US" w:eastAsia="zh-CN" w:bidi="ar"/>
        </w:rPr>
        <w:t>币填报，单位为“元”</w:t>
      </w:r>
      <w:r>
        <w:rPr>
          <w:rFonts w:hint="eastAsia" w:ascii="仿宋_GB2312" w:hAnsi="仿宋_GB2312" w:eastAsia="仿宋_GB2312" w:cs="仿宋_GB2312"/>
          <w:color w:val="auto"/>
          <w:kern w:val="0"/>
          <w:sz w:val="32"/>
          <w:szCs w:val="32"/>
          <w:highlight w:val="none"/>
          <w:lang w:bidi="ar"/>
        </w:rPr>
        <w:t>，</w:t>
      </w:r>
      <w:r>
        <w:rPr>
          <w:rFonts w:hint="eastAsia" w:ascii="仿宋_GB2312" w:hAnsi="仿宋_GB2312" w:eastAsia="仿宋_GB2312" w:cs="仿宋_GB2312"/>
          <w:color w:val="auto"/>
          <w:kern w:val="0"/>
          <w:sz w:val="32"/>
          <w:szCs w:val="32"/>
          <w:highlight w:val="none"/>
          <w:lang w:val="en-US" w:eastAsia="zh-CN" w:bidi="ar"/>
        </w:rPr>
        <w:t>如遇小数，向下取整至个位。以最小使用单位为计价单位。</w:t>
      </w:r>
    </w:p>
    <w:p w14:paraId="1A6B5130">
      <w:pPr>
        <w:keepNext w:val="0"/>
        <w:keepLines w:val="0"/>
        <w:pageBreakBefore w:val="0"/>
        <w:kinsoku/>
        <w:wordWrap/>
        <w:topLinePunct w:val="0"/>
        <w:bidi w:val="0"/>
        <w:snapToGrid/>
        <w:spacing w:line="560" w:lineRule="exact"/>
        <w:ind w:firstLine="640" w:firstLineChars="200"/>
        <w:jc w:val="both"/>
        <w:rPr>
          <w:rFonts w:hint="eastAsia" w:ascii="仿宋_GB2312" w:hAnsi="宋体"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val="en-US" w:eastAsia="zh-CN" w:bidi="ar"/>
        </w:rPr>
        <w:t>二</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bidi="ar"/>
        </w:rPr>
        <w:t>企业申报价即申报产品的实际供应价，应包括</w:t>
      </w:r>
      <w:r>
        <w:rPr>
          <w:rFonts w:hint="eastAsia" w:ascii="仿宋_GB2312" w:hAnsi="仿宋_GB2312" w:eastAsia="仿宋_GB2312" w:cs="仿宋_GB2312"/>
          <w:color w:val="auto"/>
          <w:kern w:val="0"/>
          <w:sz w:val="32"/>
          <w:szCs w:val="32"/>
          <w:highlight w:val="none"/>
          <w:lang w:val="en-US" w:eastAsia="zh-CN" w:bidi="ar"/>
        </w:rPr>
        <w:t>产品价格</w:t>
      </w:r>
      <w:r>
        <w:rPr>
          <w:rFonts w:hint="eastAsia" w:ascii="仿宋_GB2312" w:hAnsi="仿宋_GB2312" w:eastAsia="仿宋_GB2312" w:cs="仿宋_GB2312"/>
          <w:color w:val="auto"/>
          <w:kern w:val="0"/>
          <w:sz w:val="32"/>
          <w:szCs w:val="32"/>
          <w:highlight w:val="none"/>
          <w:lang w:bidi="ar"/>
        </w:rPr>
        <w:t>、</w:t>
      </w:r>
      <w:r>
        <w:rPr>
          <w:rFonts w:hint="eastAsia" w:ascii="仿宋_GB2312" w:hAnsi="仿宋_GB2312" w:eastAsia="仿宋_GB2312" w:cs="仿宋_GB2312"/>
          <w:color w:val="auto"/>
          <w:kern w:val="0"/>
          <w:sz w:val="32"/>
          <w:szCs w:val="32"/>
          <w:highlight w:val="none"/>
          <w:lang w:val="en-US" w:eastAsia="zh-CN" w:bidi="ar"/>
        </w:rPr>
        <w:t>税费、</w:t>
      </w:r>
      <w:r>
        <w:rPr>
          <w:rFonts w:hint="eastAsia" w:ascii="仿宋_GB2312" w:hAnsi="仿宋_GB2312" w:eastAsia="仿宋_GB2312" w:cs="仿宋_GB2312"/>
          <w:color w:val="auto"/>
          <w:kern w:val="0"/>
          <w:sz w:val="32"/>
          <w:szCs w:val="32"/>
          <w:highlight w:val="none"/>
          <w:lang w:bidi="ar"/>
        </w:rPr>
        <w:t>配送费</w:t>
      </w:r>
      <w:r>
        <w:rPr>
          <w:rFonts w:hint="eastAsia" w:ascii="仿宋_GB2312" w:hAnsi="仿宋_GB2312" w:eastAsia="仿宋_GB2312" w:cs="仿宋_GB2312"/>
          <w:color w:val="auto"/>
          <w:kern w:val="0"/>
          <w:sz w:val="32"/>
          <w:szCs w:val="32"/>
          <w:highlight w:val="none"/>
          <w:lang w:val="en-US" w:eastAsia="zh-CN" w:bidi="ar"/>
        </w:rPr>
        <w:t>用</w:t>
      </w:r>
      <w:r>
        <w:rPr>
          <w:rFonts w:hint="eastAsia" w:ascii="仿宋_GB2312" w:hAnsi="仿宋_GB2312" w:eastAsia="仿宋_GB2312" w:cs="仿宋_GB2312"/>
          <w:color w:val="auto"/>
          <w:kern w:val="0"/>
          <w:sz w:val="32"/>
          <w:szCs w:val="32"/>
          <w:highlight w:val="none"/>
          <w:lang w:bidi="ar"/>
        </w:rPr>
        <w:t>、伴随服务等在内的所有费用。</w:t>
      </w:r>
    </w:p>
    <w:p w14:paraId="15E7817D">
      <w:pPr>
        <w:pStyle w:val="8"/>
        <w:keepNext w:val="0"/>
        <w:keepLines w:val="0"/>
        <w:pageBreakBefore w:val="0"/>
        <w:kinsoku/>
        <w:wordWrap/>
        <w:topLinePunct w:val="0"/>
        <w:bidi w:val="0"/>
        <w:snapToGrid/>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bidi="ar"/>
        </w:rPr>
        <w:t>（三）企业申报价不得高于各采购产品组的</w:t>
      </w:r>
      <w:r>
        <w:rPr>
          <w:rFonts w:hint="eastAsia" w:ascii="仿宋_GB2312" w:hAnsi="仿宋_GB2312" w:eastAsia="仿宋_GB2312" w:cs="仿宋_GB2312"/>
          <w:color w:val="auto"/>
          <w:kern w:val="0"/>
          <w:sz w:val="32"/>
          <w:szCs w:val="32"/>
          <w:highlight w:val="none"/>
          <w:lang w:bidi="ar"/>
        </w:rPr>
        <w:t>最高有效申报价</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val="en-US" w:eastAsia="zh-CN" w:bidi="ar"/>
        </w:rPr>
        <w:t>且不高于对应采购产品组下本企业所有申报产品在全国各省级医药采购</w:t>
      </w:r>
      <w:r>
        <w:rPr>
          <w:rFonts w:hint="eastAsia" w:ascii="仿宋_GB2312" w:hAnsi="仿宋_GB2312" w:eastAsia="仿宋_GB2312" w:cs="仿宋_GB2312"/>
          <w:color w:val="auto"/>
          <w:sz w:val="32"/>
          <w:szCs w:val="32"/>
          <w:highlight w:val="none"/>
          <w:lang w:bidi="ar"/>
        </w:rPr>
        <w:t>平台上的最低挂</w:t>
      </w:r>
      <w:r>
        <w:rPr>
          <w:rFonts w:hint="eastAsia" w:ascii="仿宋_GB2312" w:hAnsi="仿宋_GB2312" w:eastAsia="仿宋_GB2312" w:cs="仿宋_GB2312"/>
          <w:color w:val="auto"/>
          <w:sz w:val="32"/>
          <w:szCs w:val="32"/>
          <w:highlight w:val="none"/>
          <w:lang w:val="en-US" w:eastAsia="zh-CN" w:bidi="ar"/>
        </w:rPr>
        <w:t>网</w:t>
      </w:r>
      <w:r>
        <w:rPr>
          <w:rFonts w:hint="eastAsia" w:ascii="仿宋_GB2312" w:hAnsi="仿宋_GB2312" w:eastAsia="仿宋_GB2312" w:cs="仿宋_GB2312"/>
          <w:color w:val="auto"/>
          <w:sz w:val="32"/>
          <w:szCs w:val="32"/>
          <w:highlight w:val="none"/>
          <w:lang w:bidi="ar"/>
        </w:rPr>
        <w:t>价和全国各</w:t>
      </w:r>
      <w:r>
        <w:rPr>
          <w:rFonts w:hint="eastAsia" w:ascii="仿宋_GB2312" w:hAnsi="仿宋_GB2312" w:eastAsia="仿宋_GB2312" w:cs="仿宋_GB2312"/>
          <w:color w:val="auto"/>
          <w:sz w:val="32"/>
          <w:szCs w:val="32"/>
          <w:highlight w:val="none"/>
          <w:lang w:val="en-US" w:eastAsia="zh-CN" w:bidi="ar"/>
        </w:rPr>
        <w:t>省</w:t>
      </w:r>
      <w:r>
        <w:rPr>
          <w:rFonts w:hint="eastAsia" w:ascii="仿宋_GB2312" w:hAnsi="仿宋_GB2312" w:eastAsia="仿宋_GB2312" w:cs="仿宋_GB2312"/>
          <w:color w:val="auto"/>
          <w:sz w:val="32"/>
          <w:szCs w:val="32"/>
          <w:highlight w:val="none"/>
          <w:lang w:bidi="ar"/>
        </w:rPr>
        <w:t>级集中带量采购（含联盟）最低中选价格之间的低值</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val="en-US" w:eastAsia="zh-CN" w:bidi="ar"/>
        </w:rPr>
        <w:t>视为有效申报</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val="en-US" w:eastAsia="zh-CN" w:bidi="ar"/>
        </w:rPr>
        <w:t>如企业申</w:t>
      </w:r>
      <w:r>
        <w:rPr>
          <w:rFonts w:hint="eastAsia" w:ascii="仿宋_GB2312" w:hAnsi="仿宋_GB2312" w:eastAsia="仿宋_GB2312" w:cs="仿宋_GB2312"/>
          <w:color w:val="auto"/>
          <w:sz w:val="32"/>
          <w:szCs w:val="32"/>
          <w:highlight w:val="none"/>
          <w:lang w:val="en-US" w:eastAsia="zh-CN"/>
        </w:rPr>
        <w:t>报价为负数、“0”、空白或高于最高有效申报价的，则该企业为实际申报企业，但相应的企业申报价无效。</w:t>
      </w:r>
    </w:p>
    <w:p w14:paraId="33FD4AC7">
      <w:pPr>
        <w:pStyle w:val="8"/>
        <w:keepNext w:val="0"/>
        <w:keepLines w:val="0"/>
        <w:pageBreakBefore w:val="0"/>
        <w:kinsoku/>
        <w:wordWrap/>
        <w:topLinePunct w:val="0"/>
        <w:bidi w:val="0"/>
        <w:snapToGrid/>
        <w:spacing w:line="560" w:lineRule="exact"/>
        <w:ind w:firstLine="640" w:firstLineChars="200"/>
        <w:jc w:val="both"/>
        <w:outlineLvl w:val="1"/>
        <w:rPr>
          <w:rFonts w:hint="default" w:ascii="黑体" w:hAnsi="黑体" w:eastAsia="黑体" w:cs="黑体"/>
          <w:color w:val="auto"/>
          <w:sz w:val="32"/>
          <w:szCs w:val="32"/>
          <w:highlight w:val="none"/>
          <w:lang w:val="en-US" w:eastAsia="zh-CN" w:bidi="ar"/>
        </w:rPr>
      </w:pPr>
      <w:r>
        <w:rPr>
          <w:rFonts w:hint="eastAsia" w:ascii="黑体" w:hAnsi="黑体" w:eastAsia="黑体" w:cs="黑体"/>
          <w:color w:val="auto"/>
          <w:sz w:val="32"/>
          <w:szCs w:val="32"/>
          <w:highlight w:val="none"/>
          <w:lang w:val="en-US" w:eastAsia="zh-CN" w:bidi="ar"/>
        </w:rPr>
        <w:t>六、关联关系企业报价</w:t>
      </w:r>
    </w:p>
    <w:p w14:paraId="2DE1FC7C">
      <w:pPr>
        <w:pStyle w:val="8"/>
        <w:keepNext w:val="0"/>
        <w:keepLines w:val="0"/>
        <w:pageBreakBefore w:val="0"/>
        <w:kinsoku/>
        <w:wordWrap/>
        <w:topLinePunct w:val="0"/>
        <w:bidi w:val="0"/>
        <w:snapToGrid/>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（一）联合申报。</w:t>
      </w:r>
      <w:r>
        <w:rPr>
          <w:rFonts w:hint="eastAsia" w:ascii="仿宋_GB2312" w:hAnsi="仿宋_GB2312" w:eastAsia="仿宋_GB2312" w:cs="仿宋_GB2312"/>
          <w:color w:val="auto"/>
          <w:sz w:val="32"/>
          <w:szCs w:val="32"/>
          <w:highlight w:val="none"/>
          <w:lang w:val="en-US" w:eastAsia="zh-CN"/>
        </w:rPr>
        <w:t>存在符合关联关系条件的医疗器械注册人可采取联合申报的方式，组成联合体参与本次集中带量采购。</w:t>
      </w:r>
    </w:p>
    <w:p w14:paraId="44CB7BD3">
      <w:pPr>
        <w:pStyle w:val="8"/>
        <w:keepNext w:val="0"/>
        <w:keepLines w:val="0"/>
        <w:pageBreakBefore w:val="0"/>
        <w:kinsoku/>
        <w:wordWrap/>
        <w:topLinePunct w:val="0"/>
        <w:bidi w:val="0"/>
        <w:snapToGrid/>
        <w:spacing w:line="560" w:lineRule="exact"/>
        <w:ind w:firstLine="640" w:firstLineChars="200"/>
        <w:jc w:val="both"/>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1.联合体的组成。相关医疗器械注册人在</w:t>
      </w:r>
      <w:r>
        <w:rPr>
          <w:rFonts w:hint="eastAsia" w:ascii="仿宋_GB2312" w:hAnsi="宋体" w:eastAsia="仿宋_GB2312" w:cs="仿宋_GB2312"/>
          <w:color w:val="auto"/>
          <w:kern w:val="0"/>
          <w:sz w:val="32"/>
          <w:szCs w:val="32"/>
          <w:highlight w:val="none"/>
          <w:lang w:val="en-US" w:eastAsia="zh-CN" w:bidi="ar"/>
        </w:rPr>
        <w:t>招采管理子系统</w:t>
      </w:r>
      <w:r>
        <w:rPr>
          <w:rFonts w:hint="eastAsia" w:ascii="仿宋_GB2312" w:hAnsi="仿宋_GB2312" w:eastAsia="仿宋_GB2312" w:cs="仿宋_GB2312"/>
          <w:color w:val="auto"/>
          <w:sz w:val="32"/>
          <w:szCs w:val="32"/>
          <w:highlight w:val="none"/>
          <w:lang w:val="en-US" w:eastAsia="zh-CN"/>
        </w:rPr>
        <w:t>完成联合申报确认的，即视为联合体组成。联合体中选后，各成员企业共享中选资格，执行同一中选价格，按各成员企业的填报需求量分别获得协议采购量。</w:t>
      </w:r>
    </w:p>
    <w:p w14:paraId="7E69ED3E">
      <w:pPr>
        <w:pStyle w:val="8"/>
        <w:keepNext w:val="0"/>
        <w:keepLines w:val="0"/>
        <w:pageBreakBefore w:val="0"/>
        <w:kinsoku/>
        <w:wordWrap/>
        <w:topLinePunct w:val="0"/>
        <w:bidi w:val="0"/>
        <w:snapToGrid/>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2.联合体的报价。组成联合体申报的，由联合体各成员企业共同指定 1 家成员企业作为报价的授权代表，现场递交报价材料。非授权代表企业无需递交报价材料，自行递交的视为无效材料。</w:t>
      </w:r>
    </w:p>
    <w:p w14:paraId="7DC66FF3">
      <w:pPr>
        <w:pStyle w:val="8"/>
        <w:keepNext w:val="0"/>
        <w:keepLines w:val="0"/>
        <w:pageBreakBefore w:val="0"/>
        <w:kinsoku/>
        <w:wordWrap/>
        <w:topLinePunct w:val="0"/>
        <w:bidi w:val="0"/>
        <w:snapToGrid/>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组成联合体后，成员企业退出联合体的，该成员单位按照蓄意扰乱集中带量采购秩序处理，列入“违规名单”。该成员企业的医疗机构首年采购需求量仍计入联合体的医疗机构首年采购需求量，本联合体中选的，该成员企业的医疗机构首年采购需求量的80%作为剩余量由医疗机构按分量规则分配；其他成员企业继续以原联合体参与本次集中带量采购，涉及原指定授权代表退出联合体的，其他成员企业可在现场递交报价材料时另行指定授权代表参与本次集中带量采购。</w:t>
      </w:r>
    </w:p>
    <w:p w14:paraId="7629A164">
      <w:pPr>
        <w:pStyle w:val="8"/>
        <w:keepNext w:val="0"/>
        <w:keepLines w:val="0"/>
        <w:pageBreakBefore w:val="0"/>
        <w:kinsoku/>
        <w:wordWrap/>
        <w:topLinePunct w:val="0"/>
        <w:bidi w:val="0"/>
        <w:snapToGrid/>
        <w:spacing w:line="560" w:lineRule="exact"/>
        <w:ind w:firstLine="640" w:firstLineChars="200"/>
        <w:jc w:val="both"/>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（二）联合申报相关情形的说明。</w:t>
      </w:r>
    </w:p>
    <w:p w14:paraId="12DA158C">
      <w:pPr>
        <w:pStyle w:val="8"/>
        <w:keepNext w:val="0"/>
        <w:keepLines w:val="0"/>
        <w:pageBreakBefore w:val="0"/>
        <w:kinsoku/>
        <w:wordWrap/>
        <w:topLinePunct w:val="0"/>
        <w:bidi w:val="0"/>
        <w:snapToGrid/>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1.存在关联关系的企业，同一采购产品组内，医疗器械注册人为同一实际控制人或存在控股关系的可自主决定是否联合申报，如联合申报，则与其相关的同一实际控制人或存在控股关系的企业均应联合申报。</w:t>
      </w:r>
    </w:p>
    <w:p w14:paraId="5541D180">
      <w:pPr>
        <w:pStyle w:val="8"/>
        <w:keepNext w:val="0"/>
        <w:keepLines w:val="0"/>
        <w:pageBreakBefore w:val="0"/>
        <w:kinsoku/>
        <w:wordWrap/>
        <w:topLinePunct w:val="0"/>
        <w:bidi w:val="0"/>
        <w:snapToGrid/>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2.存在关联关系的企业，医疗器械注册人非同一实际控制人且不存在控股关系的，如委托同一家企业申报，视为不同申报企业，不接受医疗器械注册人联合申报，相关采购产品组分别提交报价材料。</w:t>
      </w:r>
    </w:p>
    <w:p w14:paraId="571C2E2D">
      <w:pPr>
        <w:pStyle w:val="8"/>
        <w:keepNext w:val="0"/>
        <w:keepLines w:val="0"/>
        <w:pageBreakBefore w:val="0"/>
        <w:kinsoku/>
        <w:wordWrap/>
        <w:topLinePunct w:val="0"/>
        <w:bidi w:val="0"/>
        <w:snapToGrid/>
        <w:spacing w:line="560" w:lineRule="exact"/>
        <w:ind w:firstLine="640" w:firstLineChars="200"/>
        <w:jc w:val="both"/>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3.国产医疗器械注册证备注栏中，载明已获准注册的进口产品的医疗器械注册证号的，该国产产品与进口产品视为同一产品，提交一份唯一报价的报价材料。</w:t>
      </w:r>
    </w:p>
    <w:p w14:paraId="430D11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黑体" w:hAnsi="黑体" w:eastAsia="黑体" w:cs="黑体"/>
          <w:color w:val="auto"/>
          <w:kern w:val="0"/>
          <w:sz w:val="32"/>
          <w:szCs w:val="32"/>
          <w:highlight w:val="none"/>
          <w:lang w:val="en-US" w:eastAsia="zh-CN" w:bidi="ar"/>
        </w:rPr>
      </w:pPr>
      <w:r>
        <w:rPr>
          <w:rFonts w:hint="eastAsia" w:ascii="方正黑体_GBK" w:hAnsi="方正黑体_GBK" w:eastAsia="方正黑体_GBK" w:cs="方正黑体_GBK"/>
          <w:color w:val="auto"/>
          <w:kern w:val="21"/>
          <w:sz w:val="32"/>
          <w:szCs w:val="32"/>
          <w:highlight w:val="none"/>
          <w:lang w:val="en-US" w:eastAsia="zh-CN"/>
        </w:rPr>
        <w:t>六、</w:t>
      </w:r>
      <w:r>
        <w:rPr>
          <w:rFonts w:hint="eastAsia" w:ascii="黑体" w:hAnsi="黑体" w:eastAsia="黑体" w:cs="黑体"/>
          <w:color w:val="auto"/>
          <w:kern w:val="0"/>
          <w:sz w:val="32"/>
          <w:szCs w:val="32"/>
          <w:highlight w:val="none"/>
          <w:lang w:bidi="ar"/>
        </w:rPr>
        <w:t>申报</w:t>
      </w:r>
      <w:r>
        <w:rPr>
          <w:rFonts w:hint="eastAsia" w:ascii="黑体" w:hAnsi="黑体" w:eastAsia="黑体" w:cs="黑体"/>
          <w:color w:val="auto"/>
          <w:kern w:val="0"/>
          <w:sz w:val="32"/>
          <w:szCs w:val="32"/>
          <w:highlight w:val="none"/>
          <w:lang w:val="en-US" w:eastAsia="zh-CN" w:bidi="ar"/>
        </w:rPr>
        <w:t>方式、确认报名、报价方式</w:t>
      </w:r>
    </w:p>
    <w:p w14:paraId="7C7828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黑体" w:hAnsi="黑体" w:eastAsia="黑体" w:cs="黑体"/>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bidi="ar"/>
        </w:rPr>
        <w:t>本次</w:t>
      </w:r>
      <w:r>
        <w:rPr>
          <w:rFonts w:hint="eastAsia" w:ascii="仿宋_GB2312" w:hAnsi="仿宋_GB2312" w:eastAsia="仿宋_GB2312" w:cs="仿宋_GB2312"/>
          <w:color w:val="auto"/>
          <w:kern w:val="0"/>
          <w:sz w:val="32"/>
          <w:szCs w:val="32"/>
          <w:highlight w:val="none"/>
          <w:lang w:val="en-US" w:eastAsia="zh-CN" w:bidi="ar"/>
        </w:rPr>
        <w:t>省际联盟</w:t>
      </w:r>
      <w:r>
        <w:rPr>
          <w:rFonts w:hint="eastAsia" w:ascii="仿宋_GB2312" w:hAnsi="仿宋_GB2312" w:eastAsia="仿宋_GB2312" w:cs="仿宋_GB2312"/>
          <w:color w:val="auto"/>
          <w:kern w:val="0"/>
          <w:sz w:val="32"/>
          <w:szCs w:val="32"/>
          <w:highlight w:val="none"/>
          <w:lang w:bidi="ar"/>
        </w:rPr>
        <w:t>集中带量采购采</w:t>
      </w:r>
      <w:r>
        <w:rPr>
          <w:rFonts w:hint="eastAsia" w:ascii="仿宋_GB2312" w:hAnsi="仿宋_GB2312" w:eastAsia="仿宋_GB2312" w:cs="仿宋_GB2312"/>
          <w:color w:val="auto"/>
          <w:kern w:val="0"/>
          <w:sz w:val="32"/>
          <w:szCs w:val="32"/>
          <w:highlight w:val="none"/>
          <w:lang w:val="en-US" w:eastAsia="zh-CN" w:bidi="ar"/>
        </w:rPr>
        <w:t>取</w:t>
      </w:r>
      <w:r>
        <w:rPr>
          <w:rFonts w:hint="eastAsia" w:ascii="仿宋_GB2312" w:hAnsi="仿宋_GB2312" w:eastAsia="仿宋_GB2312" w:cs="仿宋_GB2312"/>
          <w:color w:val="auto"/>
          <w:kern w:val="0"/>
          <w:sz w:val="32"/>
          <w:szCs w:val="32"/>
          <w:highlight w:val="none"/>
          <w:lang w:bidi="ar"/>
        </w:rPr>
        <w:t>网上申报</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val="en-US" w:eastAsia="zh-CN" w:bidi="ar"/>
        </w:rPr>
        <w:t>现场报价</w:t>
      </w:r>
      <w:r>
        <w:rPr>
          <w:rFonts w:hint="eastAsia" w:ascii="仿宋_GB2312" w:hAnsi="仿宋_GB2312" w:eastAsia="仿宋_GB2312" w:cs="仿宋_GB2312"/>
          <w:color w:val="auto"/>
          <w:kern w:val="0"/>
          <w:sz w:val="32"/>
          <w:szCs w:val="32"/>
          <w:highlight w:val="none"/>
          <w:lang w:bidi="ar"/>
        </w:rPr>
        <w:t>的方式进行</w:t>
      </w:r>
      <w:r>
        <w:rPr>
          <w:rFonts w:hint="eastAsia" w:ascii="仿宋_GB2312" w:hAnsi="仿宋_GB2312" w:eastAsia="仿宋_GB2312" w:cs="仿宋_GB2312"/>
          <w:color w:val="auto"/>
          <w:kern w:val="0"/>
          <w:sz w:val="32"/>
          <w:szCs w:val="32"/>
          <w:highlight w:val="none"/>
          <w:lang w:eastAsia="zh-CN" w:bidi="ar"/>
        </w:rPr>
        <w:t>。</w:t>
      </w:r>
    </w:p>
    <w:p w14:paraId="2F377A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bidi="ar"/>
        </w:rPr>
      </w:pPr>
      <w:r>
        <w:rPr>
          <w:rFonts w:hint="eastAsia" w:ascii="楷体_GB2312" w:hAnsi="楷体_GB2312" w:eastAsia="楷体_GB2312" w:cs="楷体_GB2312"/>
          <w:color w:val="auto"/>
          <w:kern w:val="0"/>
          <w:sz w:val="32"/>
          <w:szCs w:val="32"/>
          <w:highlight w:val="none"/>
          <w:lang w:val="en-US" w:eastAsia="zh-CN" w:bidi="ar"/>
        </w:rPr>
        <w:t>（一）申报方式：</w:t>
      </w:r>
      <w:r>
        <w:rPr>
          <w:rFonts w:hint="eastAsia" w:ascii="仿宋_GB2312" w:hAnsi="仿宋_GB2312" w:eastAsia="仿宋_GB2312" w:cs="仿宋_GB2312"/>
          <w:color w:val="auto"/>
          <w:kern w:val="0"/>
          <w:sz w:val="32"/>
          <w:szCs w:val="32"/>
          <w:highlight w:val="none"/>
          <w:lang w:val="en-US" w:eastAsia="zh-CN" w:bidi="ar"/>
        </w:rPr>
        <w:t>申报企业在规定时间内</w:t>
      </w:r>
      <w:r>
        <w:rPr>
          <w:rFonts w:hint="eastAsia" w:ascii="仿宋_GB2312" w:hAnsi="仿宋_GB2312" w:eastAsia="仿宋_GB2312" w:cs="仿宋_GB2312"/>
          <w:color w:val="auto"/>
          <w:kern w:val="0"/>
          <w:sz w:val="32"/>
          <w:szCs w:val="32"/>
          <w:highlight w:val="none"/>
          <w:lang w:bidi="ar"/>
        </w:rPr>
        <w:t>登录</w:t>
      </w:r>
      <w:r>
        <w:rPr>
          <w:rFonts w:hint="eastAsia" w:ascii="仿宋_GB2312" w:hAnsi="宋体" w:eastAsia="仿宋_GB2312" w:cs="仿宋_GB2312"/>
          <w:color w:val="auto"/>
          <w:kern w:val="0"/>
          <w:sz w:val="32"/>
          <w:szCs w:val="32"/>
          <w:highlight w:val="none"/>
          <w:lang w:val="en-US" w:eastAsia="zh-CN" w:bidi="ar"/>
        </w:rPr>
        <w:t>新疆维吾尔自治区药品和医用耗材招采管理子系统</w:t>
      </w:r>
      <w:r>
        <w:rPr>
          <w:rFonts w:hint="eastAsia" w:ascii="仿宋_GB2312" w:hAnsi="仿宋_GB2312" w:eastAsia="仿宋_GB2312" w:cs="仿宋_GB2312"/>
          <w:color w:val="auto"/>
          <w:kern w:val="0"/>
          <w:sz w:val="32"/>
          <w:szCs w:val="32"/>
          <w:highlight w:val="none"/>
          <w:lang w:bidi="ar"/>
        </w:rPr>
        <w:t>进行</w:t>
      </w:r>
      <w:r>
        <w:rPr>
          <w:rFonts w:hint="eastAsia" w:ascii="仿宋_GB2312" w:hAnsi="仿宋_GB2312" w:eastAsia="仿宋_GB2312" w:cs="仿宋_GB2312"/>
          <w:color w:val="auto"/>
          <w:kern w:val="0"/>
          <w:sz w:val="32"/>
          <w:szCs w:val="32"/>
          <w:highlight w:val="none"/>
          <w:lang w:val="en-US" w:eastAsia="zh-CN" w:bidi="ar"/>
        </w:rPr>
        <w:t>企业及产品信息申报、</w:t>
      </w:r>
      <w:r>
        <w:rPr>
          <w:rFonts w:hint="eastAsia" w:ascii="仿宋_GB2312" w:hAnsi="仿宋_GB2312" w:eastAsia="仿宋_GB2312" w:cs="仿宋_GB2312"/>
          <w:color w:val="auto"/>
          <w:kern w:val="0"/>
          <w:sz w:val="32"/>
          <w:szCs w:val="32"/>
          <w:highlight w:val="none"/>
          <w:lang w:bidi="ar"/>
        </w:rPr>
        <w:t>资料提交等相关操作。</w:t>
      </w:r>
    </w:p>
    <w:p w14:paraId="5EA4E9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kern w:val="0"/>
          <w:sz w:val="32"/>
          <w:szCs w:val="32"/>
          <w:highlight w:val="none"/>
          <w:lang w:val="en-US" w:eastAsia="zh-CN" w:bidi="ar"/>
        </w:rPr>
      </w:pPr>
      <w:r>
        <w:rPr>
          <w:rFonts w:hint="eastAsia" w:ascii="楷体_GB2312" w:hAnsi="楷体_GB2312" w:eastAsia="楷体_GB2312" w:cs="楷体_GB2312"/>
          <w:color w:val="auto"/>
          <w:kern w:val="0"/>
          <w:sz w:val="32"/>
          <w:szCs w:val="32"/>
          <w:highlight w:val="none"/>
          <w:lang w:val="en-US" w:eastAsia="zh-CN" w:bidi="ar"/>
        </w:rPr>
        <w:t>（二）确认报名：</w:t>
      </w:r>
      <w:r>
        <w:rPr>
          <w:rFonts w:hint="eastAsia" w:ascii="仿宋_GB2312" w:hAnsi="仿宋_GB2312" w:eastAsia="仿宋_GB2312" w:cs="仿宋_GB2312"/>
          <w:color w:val="auto"/>
          <w:kern w:val="0"/>
          <w:sz w:val="32"/>
          <w:szCs w:val="32"/>
          <w:highlight w:val="none"/>
          <w:lang w:val="en-US" w:eastAsia="zh-CN" w:bidi="ar"/>
        </w:rPr>
        <w:t>申报企业在规定时间内登录系统，确认参加本次集中带量采购的采购产品组。以采购产品组勾选，采购产品组下的注册证及产品均需参加。</w:t>
      </w:r>
    </w:p>
    <w:p w14:paraId="45E9A8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kern w:val="0"/>
          <w:sz w:val="32"/>
          <w:szCs w:val="32"/>
          <w:highlight w:val="none"/>
          <w:lang w:val="en-US" w:eastAsia="zh-CN" w:bidi="ar"/>
        </w:rPr>
        <w:t>（三）报价方式：</w:t>
      </w:r>
      <w:r>
        <w:rPr>
          <w:rFonts w:hint="eastAsia" w:ascii="仿宋_GB2312" w:hAnsi="仿宋_GB2312" w:eastAsia="仿宋_GB2312" w:cs="仿宋_GB2312"/>
          <w:color w:val="auto"/>
          <w:kern w:val="0"/>
          <w:sz w:val="32"/>
          <w:szCs w:val="32"/>
          <w:highlight w:val="none"/>
          <w:lang w:val="en-US" w:eastAsia="zh-CN" w:bidi="ar"/>
        </w:rPr>
        <w:t>企业和产品信息审核通过，申报企业确认报名后，方可参与报价。本次集中带量采购采取现场报价的方式，各企业代表须按要求携带相应资料至现场报价。</w:t>
      </w:r>
    </w:p>
    <w:p w14:paraId="10D4E3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方正黑体_GBK" w:hAnsi="方正黑体_GBK" w:eastAsia="方正黑体_GBK" w:cs="方正黑体_GBK"/>
          <w:color w:val="auto"/>
          <w:kern w:val="21"/>
          <w:sz w:val="32"/>
          <w:szCs w:val="32"/>
          <w:highlight w:val="none"/>
          <w:lang w:val="en-US" w:eastAsia="zh-CN"/>
        </w:rPr>
      </w:pPr>
      <w:r>
        <w:rPr>
          <w:rFonts w:hint="eastAsia" w:ascii="方正黑体_GBK" w:hAnsi="方正黑体_GBK" w:eastAsia="方正黑体_GBK" w:cs="方正黑体_GBK"/>
          <w:color w:val="auto"/>
          <w:kern w:val="21"/>
          <w:sz w:val="32"/>
          <w:szCs w:val="32"/>
          <w:highlight w:val="none"/>
          <w:lang w:val="en-US" w:eastAsia="zh-CN"/>
        </w:rPr>
        <w:t>七、拟中选规则</w:t>
      </w:r>
    </w:p>
    <w:p w14:paraId="77C563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方正楷体_GBK" w:hAnsi="方正楷体_GBK" w:eastAsia="方正楷体_GBK" w:cs="方正楷体_GBK"/>
          <w:color w:val="auto"/>
          <w:kern w:val="21"/>
          <w:sz w:val="32"/>
          <w:szCs w:val="32"/>
          <w:highlight w:val="none"/>
          <w:lang w:val="en-US" w:eastAsia="zh-CN"/>
        </w:rPr>
      </w:pPr>
      <w:r>
        <w:rPr>
          <w:rFonts w:hint="eastAsia" w:ascii="方正楷体_GBK" w:hAnsi="方正楷体_GBK" w:eastAsia="方正楷体_GBK" w:cs="方正楷体_GBK"/>
          <w:color w:val="auto"/>
          <w:kern w:val="21"/>
          <w:sz w:val="32"/>
          <w:szCs w:val="32"/>
          <w:highlight w:val="none"/>
          <w:lang w:val="en-US" w:eastAsia="zh-CN"/>
        </w:rPr>
        <w:t>（一）竞价单元</w:t>
      </w:r>
    </w:p>
    <w:p w14:paraId="048C4842">
      <w:pPr>
        <w:keepNext w:val="0"/>
        <w:keepLines w:val="0"/>
        <w:pageBreakBefore w:val="0"/>
        <w:widowControl w:val="0"/>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同采购产品组，满足以下条件之一的申报企业进入A竞价单元，其他申报企业进入B竞价单元，医疗器械注册人如联合申报，则合并统计首年采购需求量：</w:t>
      </w:r>
    </w:p>
    <w:p w14:paraId="0F0D38B8">
      <w:pPr>
        <w:keepNext w:val="0"/>
        <w:keepLines w:val="0"/>
        <w:pageBreakBefore w:val="0"/>
        <w:widowControl w:val="0"/>
        <w:numPr>
          <w:ilvl w:val="0"/>
          <w:numId w:val="0"/>
        </w:numPr>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1.根据医疗机构首年需求量由多到少依次排序，累计需求量前80%（含）且能供应联盟所有地区的企业进入A竞价单元。</w:t>
      </w:r>
    </w:p>
    <w:p w14:paraId="015F3840">
      <w:pPr>
        <w:keepNext w:val="0"/>
        <w:keepLines w:val="0"/>
        <w:pageBreakBefore w:val="0"/>
        <w:widowControl w:val="0"/>
        <w:numPr>
          <w:ilvl w:val="0"/>
          <w:numId w:val="0"/>
        </w:numPr>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2.医疗机构报送的企业首年需求量</w:t>
      </w:r>
      <w:r>
        <w:rPr>
          <w:rFonts w:hint="default" w:ascii="仿宋_GB2312" w:hAnsi="仿宋_GB2312" w:eastAsia="仿宋_GB2312" w:cs="仿宋_GB2312"/>
          <w:color w:val="auto"/>
          <w:sz w:val="28"/>
          <w:szCs w:val="28"/>
          <w:highlight w:val="none"/>
          <w:vertAlign w:val="baseline"/>
          <w:lang w:val="en-US" w:eastAsia="zh-CN"/>
        </w:rPr>
        <w:t>‌≥</w:t>
      </w:r>
      <w:r>
        <w:rPr>
          <w:rFonts w:hint="eastAsia" w:ascii="仿宋_GB2312" w:hAnsi="仿宋_GB2312" w:eastAsia="仿宋_GB2312" w:cs="仿宋_GB2312"/>
          <w:color w:val="auto"/>
          <w:sz w:val="28"/>
          <w:szCs w:val="28"/>
          <w:highlight w:val="none"/>
          <w:vertAlign w:val="baseline"/>
          <w:lang w:val="en-US" w:eastAsia="zh-CN"/>
        </w:rPr>
        <w:t>1%。</w:t>
      </w:r>
    </w:p>
    <w:p w14:paraId="1A9117B8">
      <w:pPr>
        <w:pStyle w:val="9"/>
        <w:keepNext w:val="0"/>
        <w:keepLines w:val="0"/>
        <w:pageBreakBefore w:val="0"/>
        <w:widowControl w:val="0"/>
        <w:kinsoku/>
        <w:wordWrap/>
        <w:topLinePunct w:val="0"/>
        <w:bidi w:val="0"/>
        <w:snapToGrid/>
        <w:spacing w:line="560" w:lineRule="exact"/>
        <w:ind w:firstLine="704" w:firstLineChars="200"/>
        <w:jc w:val="both"/>
        <w:rPr>
          <w:rFonts w:ascii="楷体_GB2312" w:eastAsia="楷体_GB2312"/>
          <w:bCs/>
          <w:color w:val="auto"/>
          <w:spacing w:val="16"/>
          <w:kern w:val="32"/>
          <w:sz w:val="32"/>
          <w:szCs w:val="32"/>
          <w:highlight w:val="none"/>
        </w:rPr>
      </w:pPr>
      <w:r>
        <w:rPr>
          <w:rFonts w:hint="eastAsia" w:ascii="楷体_GB2312" w:eastAsia="楷体_GB2312"/>
          <w:bCs/>
          <w:color w:val="auto"/>
          <w:spacing w:val="16"/>
          <w:kern w:val="32"/>
          <w:sz w:val="32"/>
          <w:szCs w:val="32"/>
          <w:highlight w:val="none"/>
        </w:rPr>
        <w:t>（</w:t>
      </w:r>
      <w:r>
        <w:rPr>
          <w:rFonts w:hint="eastAsia" w:ascii="楷体_GB2312" w:eastAsia="楷体_GB2312"/>
          <w:bCs/>
          <w:color w:val="auto"/>
          <w:spacing w:val="16"/>
          <w:kern w:val="32"/>
          <w:sz w:val="32"/>
          <w:szCs w:val="32"/>
          <w:highlight w:val="none"/>
          <w:lang w:val="en-US" w:eastAsia="zh-CN"/>
        </w:rPr>
        <w:t>二</w:t>
      </w:r>
      <w:r>
        <w:rPr>
          <w:rFonts w:hint="eastAsia" w:ascii="楷体_GB2312" w:eastAsia="楷体_GB2312"/>
          <w:bCs/>
          <w:color w:val="auto"/>
          <w:spacing w:val="16"/>
          <w:kern w:val="32"/>
          <w:sz w:val="32"/>
          <w:szCs w:val="32"/>
          <w:highlight w:val="none"/>
        </w:rPr>
        <w:t>）企业排名</w:t>
      </w:r>
    </w:p>
    <w:p w14:paraId="2F3AE099">
      <w:pPr>
        <w:keepNext w:val="0"/>
        <w:keepLines w:val="0"/>
        <w:pageBreakBefore w:val="0"/>
        <w:widowControl w:val="0"/>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同一竞价单元内，按照企业申报价由低到高的顺序确定排名，企业申报价最低的为第一名，次低的为第二名，依此类推。联合体在排名中只占一个名额。当出现企业申报价相同的情况时，按照以下规则依次确定排名：</w:t>
      </w:r>
    </w:p>
    <w:p w14:paraId="3311CCCB">
      <w:pPr>
        <w:keepNext w:val="0"/>
        <w:keepLines w:val="0"/>
        <w:pageBreakBefore w:val="0"/>
        <w:widowControl w:val="0"/>
        <w:numPr>
          <w:ilvl w:val="0"/>
          <w:numId w:val="0"/>
        </w:numPr>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1.当前未被联盟任一省（区、市）依据医药价格和招采信用评价制度评定为“严重失信”或“特别严重失信”等级的企业优先；如均被评定失信等级，失信等级严重程度低的企业优先；如失信等级相同，被评定次数少的企业优先。</w:t>
      </w:r>
    </w:p>
    <w:p w14:paraId="7CE522D3">
      <w:pPr>
        <w:keepNext w:val="0"/>
        <w:keepLines w:val="0"/>
        <w:pageBreakBefore w:val="0"/>
        <w:widowControl w:val="0"/>
        <w:numPr>
          <w:ilvl w:val="0"/>
          <w:numId w:val="0"/>
        </w:numPr>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2.医疗机构首年采购需求量大的企业优先。</w:t>
      </w:r>
    </w:p>
    <w:p w14:paraId="05C5E88D">
      <w:pPr>
        <w:keepNext w:val="0"/>
        <w:keepLines w:val="0"/>
        <w:pageBreakBefore w:val="0"/>
        <w:widowControl w:val="0"/>
        <w:kinsoku/>
        <w:wordWrap/>
        <w:topLinePunct w:val="0"/>
        <w:bidi w:val="0"/>
        <w:snapToGrid/>
        <w:spacing w:line="560" w:lineRule="exact"/>
        <w:ind w:firstLine="640" w:firstLineChars="200"/>
        <w:jc w:val="both"/>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3.申报的产品获得药品监督管理部门首次医疗器械注册证时间在前的企业优先（以药品监督管理部门首次批准日期为准）。</w:t>
      </w:r>
    </w:p>
    <w:p w14:paraId="344A36C6">
      <w:pPr>
        <w:pStyle w:val="9"/>
        <w:keepNext w:val="0"/>
        <w:keepLines w:val="0"/>
        <w:pageBreakBefore w:val="0"/>
        <w:widowControl w:val="0"/>
        <w:kinsoku/>
        <w:wordWrap/>
        <w:topLinePunct w:val="0"/>
        <w:bidi w:val="0"/>
        <w:snapToGrid/>
        <w:spacing w:line="560" w:lineRule="exact"/>
        <w:ind w:firstLine="704" w:firstLineChars="200"/>
        <w:jc w:val="both"/>
        <w:rPr>
          <w:rFonts w:ascii="楷体_GB2312" w:eastAsia="楷体_GB2312"/>
          <w:bCs/>
          <w:color w:val="auto"/>
          <w:spacing w:val="16"/>
          <w:kern w:val="32"/>
          <w:sz w:val="32"/>
          <w:szCs w:val="32"/>
          <w:highlight w:val="none"/>
        </w:rPr>
      </w:pPr>
      <w:r>
        <w:rPr>
          <w:rFonts w:hint="eastAsia" w:ascii="楷体_GB2312" w:eastAsia="楷体_GB2312"/>
          <w:bCs/>
          <w:color w:val="auto"/>
          <w:spacing w:val="16"/>
          <w:kern w:val="32"/>
          <w:sz w:val="32"/>
          <w:szCs w:val="32"/>
          <w:highlight w:val="none"/>
        </w:rPr>
        <w:t>（</w:t>
      </w:r>
      <w:r>
        <w:rPr>
          <w:rFonts w:hint="eastAsia" w:ascii="楷体_GB2312" w:eastAsia="楷体_GB2312"/>
          <w:bCs/>
          <w:color w:val="auto"/>
          <w:spacing w:val="16"/>
          <w:kern w:val="32"/>
          <w:sz w:val="32"/>
          <w:szCs w:val="32"/>
          <w:highlight w:val="none"/>
          <w:lang w:val="en-US" w:eastAsia="zh-CN"/>
        </w:rPr>
        <w:t>三</w:t>
      </w:r>
      <w:r>
        <w:rPr>
          <w:rFonts w:hint="eastAsia" w:ascii="楷体_GB2312" w:eastAsia="楷体_GB2312"/>
          <w:bCs/>
          <w:color w:val="auto"/>
          <w:spacing w:val="16"/>
          <w:kern w:val="32"/>
          <w:sz w:val="32"/>
          <w:szCs w:val="32"/>
          <w:highlight w:val="none"/>
        </w:rPr>
        <w:t>）拟中选规则</w:t>
      </w:r>
    </w:p>
    <w:p w14:paraId="08E573A6">
      <w:pPr>
        <w:keepNext w:val="0"/>
        <w:keepLines w:val="0"/>
        <w:pageBreakBefore w:val="0"/>
        <w:widowControl w:val="0"/>
        <w:kinsoku/>
        <w:wordWrap/>
        <w:topLinePunct w:val="0"/>
        <w:bidi w:val="0"/>
        <w:snapToGrid/>
        <w:spacing w:line="560" w:lineRule="exact"/>
        <w:ind w:firstLine="643"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b/>
          <w:bCs/>
          <w:color w:val="auto"/>
          <w:kern w:val="0"/>
          <w:sz w:val="32"/>
          <w:szCs w:val="32"/>
          <w:highlight w:val="none"/>
          <w:lang w:val="en-US" w:eastAsia="zh-CN" w:bidi="ar"/>
        </w:rPr>
        <w:t>1.确定入围企业。</w:t>
      </w:r>
      <w:r>
        <w:rPr>
          <w:rFonts w:hint="eastAsia" w:ascii="仿宋_GB2312" w:hAnsi="仿宋_GB2312" w:eastAsia="仿宋_GB2312" w:cs="仿宋_GB2312"/>
          <w:color w:val="auto"/>
          <w:kern w:val="0"/>
          <w:sz w:val="32"/>
          <w:szCs w:val="32"/>
          <w:highlight w:val="none"/>
          <w:lang w:val="en-US" w:eastAsia="zh-CN" w:bidi="ar"/>
        </w:rPr>
        <w:t>A、B竞价单元内，根据企业排名由低到高排序，分别确定入围企业。入围企业名额详见下表。同一竞价单元内，若存在关联关系的企业排名连续，且按下表分别属于拟入围企业和非入围企业的，则排名末位的拟入围企业视为非入围。</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1457"/>
        <w:gridCol w:w="1533"/>
        <w:gridCol w:w="1535"/>
        <w:gridCol w:w="1537"/>
        <w:gridCol w:w="1539"/>
      </w:tblGrid>
      <w:tr w14:paraId="77DB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803" w:type="pct"/>
            <w:noWrap w:val="0"/>
            <w:vAlign w:val="center"/>
          </w:tcPr>
          <w:p w14:paraId="1598BAD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实际申报</w:t>
            </w:r>
          </w:p>
          <w:p w14:paraId="7F6366D4">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企业数量</w:t>
            </w:r>
          </w:p>
        </w:tc>
        <w:tc>
          <w:tcPr>
            <w:tcW w:w="804" w:type="pct"/>
            <w:noWrap w:val="0"/>
            <w:vAlign w:val="center"/>
          </w:tcPr>
          <w:p w14:paraId="5FC4D0B4">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入围企业名额</w:t>
            </w:r>
          </w:p>
        </w:tc>
        <w:tc>
          <w:tcPr>
            <w:tcW w:w="846" w:type="pct"/>
            <w:noWrap w:val="0"/>
            <w:vAlign w:val="center"/>
          </w:tcPr>
          <w:p w14:paraId="4485F4A7">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实际申报</w:t>
            </w:r>
          </w:p>
          <w:p w14:paraId="06A73FB2">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黑体" w:hAnsi="黑体" w:eastAsia="黑体" w:cs="黑体"/>
                <w:color w:val="auto"/>
                <w:sz w:val="28"/>
                <w:szCs w:val="28"/>
                <w:highlight w:val="none"/>
                <w:vertAlign w:val="baseline"/>
                <w:lang w:val="en-US" w:eastAsia="zh-CN" w:bidi="ar-SA"/>
              </w:rPr>
            </w:pPr>
            <w:r>
              <w:rPr>
                <w:rFonts w:hint="eastAsia" w:ascii="黑体" w:hAnsi="黑体" w:eastAsia="黑体" w:cs="黑体"/>
                <w:color w:val="auto"/>
                <w:sz w:val="28"/>
                <w:szCs w:val="28"/>
                <w:highlight w:val="none"/>
                <w:vertAlign w:val="baseline"/>
                <w:lang w:val="en-US" w:eastAsia="zh-CN"/>
              </w:rPr>
              <w:t>企业数量</w:t>
            </w:r>
          </w:p>
        </w:tc>
        <w:tc>
          <w:tcPr>
            <w:tcW w:w="847" w:type="pct"/>
            <w:noWrap w:val="0"/>
            <w:vAlign w:val="center"/>
          </w:tcPr>
          <w:p w14:paraId="06B9CD0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黑体" w:hAnsi="黑体" w:eastAsia="黑体" w:cs="黑体"/>
                <w:color w:val="auto"/>
                <w:sz w:val="28"/>
                <w:szCs w:val="28"/>
                <w:highlight w:val="none"/>
                <w:vertAlign w:val="baseline"/>
                <w:lang w:val="en-US" w:eastAsia="zh-CN" w:bidi="ar-SA"/>
              </w:rPr>
            </w:pPr>
            <w:r>
              <w:rPr>
                <w:rFonts w:hint="eastAsia" w:ascii="黑体" w:hAnsi="黑体" w:eastAsia="黑体" w:cs="黑体"/>
                <w:color w:val="auto"/>
                <w:sz w:val="28"/>
                <w:szCs w:val="28"/>
                <w:highlight w:val="none"/>
                <w:vertAlign w:val="baseline"/>
                <w:lang w:val="en-US" w:eastAsia="zh-CN"/>
              </w:rPr>
              <w:t>入围企业名额</w:t>
            </w:r>
          </w:p>
        </w:tc>
        <w:tc>
          <w:tcPr>
            <w:tcW w:w="848" w:type="pct"/>
            <w:shd w:val="clear" w:color="auto" w:fill="auto"/>
            <w:noWrap w:val="0"/>
            <w:vAlign w:val="center"/>
          </w:tcPr>
          <w:p w14:paraId="6B8A387B">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黑体" w:hAnsi="黑体" w:eastAsia="黑体" w:cs="黑体"/>
                <w:color w:val="auto"/>
                <w:sz w:val="28"/>
                <w:szCs w:val="28"/>
                <w:highlight w:val="none"/>
                <w:vertAlign w:val="baseline"/>
                <w:lang w:val="en-US" w:eastAsia="zh-CN"/>
              </w:rPr>
            </w:pPr>
            <w:r>
              <w:rPr>
                <w:rFonts w:hint="eastAsia" w:ascii="黑体" w:hAnsi="黑体" w:eastAsia="黑体" w:cs="黑体"/>
                <w:color w:val="auto"/>
                <w:sz w:val="28"/>
                <w:szCs w:val="28"/>
                <w:highlight w:val="none"/>
                <w:vertAlign w:val="baseline"/>
                <w:lang w:val="en-US" w:eastAsia="zh-CN"/>
              </w:rPr>
              <w:t>实际申报</w:t>
            </w:r>
          </w:p>
          <w:p w14:paraId="7F75290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黑体" w:hAnsi="黑体" w:eastAsia="黑体" w:cs="黑体"/>
                <w:color w:val="auto"/>
                <w:sz w:val="28"/>
                <w:szCs w:val="28"/>
                <w:highlight w:val="none"/>
                <w:vertAlign w:val="baseline"/>
                <w:lang w:val="en-US" w:eastAsia="zh-CN" w:bidi="ar-SA"/>
              </w:rPr>
            </w:pPr>
            <w:r>
              <w:rPr>
                <w:rFonts w:hint="eastAsia" w:ascii="黑体" w:hAnsi="黑体" w:eastAsia="黑体" w:cs="黑体"/>
                <w:color w:val="auto"/>
                <w:sz w:val="28"/>
                <w:szCs w:val="28"/>
                <w:highlight w:val="none"/>
                <w:vertAlign w:val="baseline"/>
                <w:lang w:val="en-US" w:eastAsia="zh-CN"/>
              </w:rPr>
              <w:t>企业数量</w:t>
            </w:r>
          </w:p>
        </w:tc>
        <w:tc>
          <w:tcPr>
            <w:tcW w:w="849" w:type="pct"/>
            <w:shd w:val="clear" w:color="auto" w:fill="auto"/>
            <w:noWrap w:val="0"/>
            <w:vAlign w:val="center"/>
          </w:tcPr>
          <w:p w14:paraId="77E35A6D">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黑体" w:hAnsi="黑体" w:eastAsia="黑体" w:cs="黑体"/>
                <w:color w:val="auto"/>
                <w:sz w:val="28"/>
                <w:szCs w:val="28"/>
                <w:highlight w:val="none"/>
                <w:vertAlign w:val="baseline"/>
                <w:lang w:val="en-US" w:eastAsia="zh-CN" w:bidi="ar-SA"/>
              </w:rPr>
            </w:pPr>
            <w:r>
              <w:rPr>
                <w:rFonts w:hint="eastAsia" w:ascii="黑体" w:hAnsi="黑体" w:eastAsia="黑体" w:cs="黑体"/>
                <w:color w:val="auto"/>
                <w:sz w:val="28"/>
                <w:szCs w:val="28"/>
                <w:highlight w:val="none"/>
                <w:vertAlign w:val="baseline"/>
                <w:lang w:val="en-US" w:eastAsia="zh-CN"/>
              </w:rPr>
              <w:t>入围企业名额</w:t>
            </w:r>
          </w:p>
        </w:tc>
      </w:tr>
      <w:tr w14:paraId="6A89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14:paraId="3189F07F">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w:t>
            </w:r>
          </w:p>
        </w:tc>
        <w:tc>
          <w:tcPr>
            <w:tcW w:w="804" w:type="pct"/>
            <w:noWrap w:val="0"/>
            <w:vAlign w:val="center"/>
          </w:tcPr>
          <w:p w14:paraId="60C0407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w:t>
            </w:r>
          </w:p>
        </w:tc>
        <w:tc>
          <w:tcPr>
            <w:tcW w:w="846" w:type="pct"/>
            <w:noWrap w:val="0"/>
            <w:vAlign w:val="center"/>
          </w:tcPr>
          <w:p w14:paraId="67B98D1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11</w:t>
            </w:r>
          </w:p>
        </w:tc>
        <w:tc>
          <w:tcPr>
            <w:tcW w:w="847" w:type="pct"/>
            <w:noWrap w:val="0"/>
            <w:vAlign w:val="center"/>
          </w:tcPr>
          <w:p w14:paraId="3C8DBF6F">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7</w:t>
            </w:r>
          </w:p>
        </w:tc>
        <w:tc>
          <w:tcPr>
            <w:tcW w:w="848" w:type="pct"/>
            <w:shd w:val="clear" w:color="auto" w:fill="auto"/>
            <w:noWrap w:val="0"/>
            <w:vAlign w:val="center"/>
          </w:tcPr>
          <w:p w14:paraId="53DF8646">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21</w:t>
            </w:r>
          </w:p>
        </w:tc>
        <w:tc>
          <w:tcPr>
            <w:tcW w:w="849" w:type="pct"/>
            <w:shd w:val="clear" w:color="auto" w:fill="auto"/>
            <w:noWrap w:val="0"/>
            <w:vAlign w:val="center"/>
          </w:tcPr>
          <w:p w14:paraId="78D93E0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14</w:t>
            </w:r>
          </w:p>
        </w:tc>
      </w:tr>
      <w:tr w14:paraId="1E26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14:paraId="6439F4C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w:t>
            </w:r>
          </w:p>
        </w:tc>
        <w:tc>
          <w:tcPr>
            <w:tcW w:w="804" w:type="pct"/>
            <w:noWrap w:val="0"/>
            <w:vAlign w:val="center"/>
          </w:tcPr>
          <w:p w14:paraId="005DEE54">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w:t>
            </w:r>
          </w:p>
        </w:tc>
        <w:tc>
          <w:tcPr>
            <w:tcW w:w="846" w:type="pct"/>
            <w:noWrap w:val="0"/>
            <w:vAlign w:val="center"/>
          </w:tcPr>
          <w:p w14:paraId="64727327">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12</w:t>
            </w:r>
          </w:p>
        </w:tc>
        <w:tc>
          <w:tcPr>
            <w:tcW w:w="847" w:type="pct"/>
            <w:noWrap w:val="0"/>
            <w:vAlign w:val="center"/>
          </w:tcPr>
          <w:p w14:paraId="2960FFC7">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8</w:t>
            </w:r>
          </w:p>
        </w:tc>
        <w:tc>
          <w:tcPr>
            <w:tcW w:w="848" w:type="pct"/>
            <w:shd w:val="clear" w:color="auto" w:fill="auto"/>
            <w:noWrap w:val="0"/>
            <w:vAlign w:val="center"/>
          </w:tcPr>
          <w:p w14:paraId="1575BE89">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22</w:t>
            </w:r>
          </w:p>
        </w:tc>
        <w:tc>
          <w:tcPr>
            <w:tcW w:w="849" w:type="pct"/>
            <w:shd w:val="clear" w:color="auto" w:fill="auto"/>
            <w:noWrap w:val="0"/>
            <w:vAlign w:val="center"/>
          </w:tcPr>
          <w:p w14:paraId="6B8202E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14</w:t>
            </w:r>
          </w:p>
        </w:tc>
      </w:tr>
      <w:tr w14:paraId="134C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14:paraId="52E36B82">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3</w:t>
            </w:r>
          </w:p>
        </w:tc>
        <w:tc>
          <w:tcPr>
            <w:tcW w:w="804" w:type="pct"/>
            <w:noWrap w:val="0"/>
            <w:vAlign w:val="center"/>
          </w:tcPr>
          <w:p w14:paraId="33CED97F">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w:t>
            </w:r>
          </w:p>
        </w:tc>
        <w:tc>
          <w:tcPr>
            <w:tcW w:w="846" w:type="pct"/>
            <w:noWrap w:val="0"/>
            <w:vAlign w:val="center"/>
          </w:tcPr>
          <w:p w14:paraId="51FE66D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13</w:t>
            </w:r>
          </w:p>
        </w:tc>
        <w:tc>
          <w:tcPr>
            <w:tcW w:w="847" w:type="pct"/>
            <w:noWrap w:val="0"/>
            <w:vAlign w:val="center"/>
          </w:tcPr>
          <w:p w14:paraId="7B32335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8</w:t>
            </w:r>
          </w:p>
        </w:tc>
        <w:tc>
          <w:tcPr>
            <w:tcW w:w="848" w:type="pct"/>
            <w:shd w:val="clear" w:color="auto" w:fill="auto"/>
            <w:noWrap w:val="0"/>
            <w:vAlign w:val="center"/>
          </w:tcPr>
          <w:p w14:paraId="672FB87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23</w:t>
            </w:r>
          </w:p>
        </w:tc>
        <w:tc>
          <w:tcPr>
            <w:tcW w:w="849" w:type="pct"/>
            <w:shd w:val="clear" w:color="auto" w:fill="auto"/>
            <w:noWrap w:val="0"/>
            <w:vAlign w:val="center"/>
          </w:tcPr>
          <w:p w14:paraId="45D4D7A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15</w:t>
            </w:r>
          </w:p>
        </w:tc>
      </w:tr>
      <w:tr w14:paraId="2CB1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14:paraId="6BC886D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4</w:t>
            </w:r>
          </w:p>
        </w:tc>
        <w:tc>
          <w:tcPr>
            <w:tcW w:w="804" w:type="pct"/>
            <w:noWrap w:val="0"/>
            <w:vAlign w:val="center"/>
          </w:tcPr>
          <w:p w14:paraId="45FD5CBB">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3</w:t>
            </w:r>
          </w:p>
        </w:tc>
        <w:tc>
          <w:tcPr>
            <w:tcW w:w="846" w:type="pct"/>
            <w:noWrap w:val="0"/>
            <w:vAlign w:val="center"/>
          </w:tcPr>
          <w:p w14:paraId="3B8DDA28">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14</w:t>
            </w:r>
          </w:p>
        </w:tc>
        <w:tc>
          <w:tcPr>
            <w:tcW w:w="847" w:type="pct"/>
            <w:noWrap w:val="0"/>
            <w:vAlign w:val="center"/>
          </w:tcPr>
          <w:p w14:paraId="1ED69324">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9</w:t>
            </w:r>
          </w:p>
        </w:tc>
        <w:tc>
          <w:tcPr>
            <w:tcW w:w="848" w:type="pct"/>
            <w:shd w:val="clear" w:color="auto" w:fill="auto"/>
            <w:noWrap w:val="0"/>
            <w:vAlign w:val="center"/>
          </w:tcPr>
          <w:p w14:paraId="4411917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24</w:t>
            </w:r>
          </w:p>
        </w:tc>
        <w:tc>
          <w:tcPr>
            <w:tcW w:w="849" w:type="pct"/>
            <w:shd w:val="clear" w:color="auto" w:fill="auto"/>
            <w:noWrap w:val="0"/>
            <w:vAlign w:val="center"/>
          </w:tcPr>
          <w:p w14:paraId="7C18B55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16</w:t>
            </w:r>
          </w:p>
        </w:tc>
      </w:tr>
      <w:tr w14:paraId="4B1F8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14:paraId="07FE321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5</w:t>
            </w:r>
          </w:p>
        </w:tc>
        <w:tc>
          <w:tcPr>
            <w:tcW w:w="804" w:type="pct"/>
            <w:noWrap w:val="0"/>
            <w:vAlign w:val="center"/>
          </w:tcPr>
          <w:p w14:paraId="55A0ECD5">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3</w:t>
            </w:r>
          </w:p>
        </w:tc>
        <w:tc>
          <w:tcPr>
            <w:tcW w:w="846" w:type="pct"/>
            <w:noWrap w:val="0"/>
            <w:vAlign w:val="center"/>
          </w:tcPr>
          <w:p w14:paraId="0C7FD32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15</w:t>
            </w:r>
          </w:p>
        </w:tc>
        <w:tc>
          <w:tcPr>
            <w:tcW w:w="847" w:type="pct"/>
            <w:noWrap w:val="0"/>
            <w:vAlign w:val="center"/>
          </w:tcPr>
          <w:p w14:paraId="3477F4B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10</w:t>
            </w:r>
          </w:p>
        </w:tc>
        <w:tc>
          <w:tcPr>
            <w:tcW w:w="848" w:type="pct"/>
            <w:shd w:val="clear" w:color="auto" w:fill="auto"/>
            <w:noWrap w:val="0"/>
            <w:vAlign w:val="center"/>
          </w:tcPr>
          <w:p w14:paraId="0A88F6C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25</w:t>
            </w:r>
          </w:p>
        </w:tc>
        <w:tc>
          <w:tcPr>
            <w:tcW w:w="849" w:type="pct"/>
            <w:shd w:val="clear" w:color="auto" w:fill="auto"/>
            <w:noWrap w:val="0"/>
            <w:vAlign w:val="center"/>
          </w:tcPr>
          <w:p w14:paraId="78B9A82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16</w:t>
            </w:r>
          </w:p>
        </w:tc>
      </w:tr>
      <w:tr w14:paraId="74FA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14:paraId="5772F564">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6</w:t>
            </w:r>
          </w:p>
        </w:tc>
        <w:tc>
          <w:tcPr>
            <w:tcW w:w="804" w:type="pct"/>
            <w:noWrap w:val="0"/>
            <w:vAlign w:val="center"/>
          </w:tcPr>
          <w:p w14:paraId="7A9EE2B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4</w:t>
            </w:r>
          </w:p>
        </w:tc>
        <w:tc>
          <w:tcPr>
            <w:tcW w:w="846" w:type="pct"/>
            <w:noWrap w:val="0"/>
            <w:vAlign w:val="center"/>
          </w:tcPr>
          <w:p w14:paraId="4255205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16</w:t>
            </w:r>
          </w:p>
        </w:tc>
        <w:tc>
          <w:tcPr>
            <w:tcW w:w="847" w:type="pct"/>
            <w:noWrap w:val="0"/>
            <w:vAlign w:val="center"/>
          </w:tcPr>
          <w:p w14:paraId="22C91A4D">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10</w:t>
            </w:r>
          </w:p>
        </w:tc>
        <w:tc>
          <w:tcPr>
            <w:tcW w:w="848" w:type="pct"/>
            <w:shd w:val="clear" w:color="auto" w:fill="auto"/>
            <w:noWrap w:val="0"/>
            <w:vAlign w:val="center"/>
          </w:tcPr>
          <w:p w14:paraId="7CB5B8F5">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26</w:t>
            </w:r>
          </w:p>
        </w:tc>
        <w:tc>
          <w:tcPr>
            <w:tcW w:w="849" w:type="pct"/>
            <w:shd w:val="clear" w:color="auto" w:fill="auto"/>
            <w:noWrap w:val="0"/>
            <w:vAlign w:val="center"/>
          </w:tcPr>
          <w:p w14:paraId="099B8539">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17</w:t>
            </w:r>
          </w:p>
        </w:tc>
      </w:tr>
      <w:tr w14:paraId="21D2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14:paraId="648CE302">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7</w:t>
            </w:r>
          </w:p>
        </w:tc>
        <w:tc>
          <w:tcPr>
            <w:tcW w:w="804" w:type="pct"/>
            <w:noWrap w:val="0"/>
            <w:vAlign w:val="center"/>
          </w:tcPr>
          <w:p w14:paraId="7E48F9EB">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5</w:t>
            </w:r>
          </w:p>
        </w:tc>
        <w:tc>
          <w:tcPr>
            <w:tcW w:w="846" w:type="pct"/>
            <w:noWrap w:val="0"/>
            <w:vAlign w:val="center"/>
          </w:tcPr>
          <w:p w14:paraId="4D69FD24">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17</w:t>
            </w:r>
          </w:p>
        </w:tc>
        <w:tc>
          <w:tcPr>
            <w:tcW w:w="847" w:type="pct"/>
            <w:noWrap w:val="0"/>
            <w:vAlign w:val="center"/>
          </w:tcPr>
          <w:p w14:paraId="7C956348">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11</w:t>
            </w:r>
          </w:p>
        </w:tc>
        <w:tc>
          <w:tcPr>
            <w:tcW w:w="848" w:type="pct"/>
            <w:shd w:val="clear" w:color="auto" w:fill="auto"/>
            <w:noWrap w:val="0"/>
            <w:vAlign w:val="center"/>
          </w:tcPr>
          <w:p w14:paraId="5CC01995">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27</w:t>
            </w:r>
          </w:p>
        </w:tc>
        <w:tc>
          <w:tcPr>
            <w:tcW w:w="849" w:type="pct"/>
            <w:shd w:val="clear" w:color="auto" w:fill="auto"/>
            <w:noWrap w:val="0"/>
            <w:vAlign w:val="center"/>
          </w:tcPr>
          <w:p w14:paraId="05A7B3F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18</w:t>
            </w:r>
          </w:p>
        </w:tc>
      </w:tr>
      <w:tr w14:paraId="4180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14:paraId="1C30127F">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8</w:t>
            </w:r>
          </w:p>
        </w:tc>
        <w:tc>
          <w:tcPr>
            <w:tcW w:w="804" w:type="pct"/>
            <w:noWrap w:val="0"/>
            <w:vAlign w:val="center"/>
          </w:tcPr>
          <w:p w14:paraId="0E403A7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5</w:t>
            </w:r>
          </w:p>
        </w:tc>
        <w:tc>
          <w:tcPr>
            <w:tcW w:w="846" w:type="pct"/>
            <w:noWrap w:val="0"/>
            <w:vAlign w:val="center"/>
          </w:tcPr>
          <w:p w14:paraId="2A828BF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18</w:t>
            </w:r>
          </w:p>
        </w:tc>
        <w:tc>
          <w:tcPr>
            <w:tcW w:w="847" w:type="pct"/>
            <w:noWrap w:val="0"/>
            <w:vAlign w:val="center"/>
          </w:tcPr>
          <w:p w14:paraId="09FFEE2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12</w:t>
            </w:r>
          </w:p>
        </w:tc>
        <w:tc>
          <w:tcPr>
            <w:tcW w:w="848" w:type="pct"/>
            <w:shd w:val="clear" w:color="auto" w:fill="auto"/>
            <w:noWrap w:val="0"/>
            <w:vAlign w:val="center"/>
          </w:tcPr>
          <w:p w14:paraId="4606AA6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28</w:t>
            </w:r>
          </w:p>
        </w:tc>
        <w:tc>
          <w:tcPr>
            <w:tcW w:w="849" w:type="pct"/>
            <w:shd w:val="clear" w:color="auto" w:fill="auto"/>
            <w:noWrap w:val="0"/>
            <w:vAlign w:val="center"/>
          </w:tcPr>
          <w:p w14:paraId="1E65FDE5">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18</w:t>
            </w:r>
          </w:p>
        </w:tc>
      </w:tr>
      <w:tr w14:paraId="3259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14:paraId="24A3885D">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9</w:t>
            </w:r>
          </w:p>
        </w:tc>
        <w:tc>
          <w:tcPr>
            <w:tcW w:w="804" w:type="pct"/>
            <w:noWrap w:val="0"/>
            <w:vAlign w:val="center"/>
          </w:tcPr>
          <w:p w14:paraId="440F3B2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6</w:t>
            </w:r>
          </w:p>
        </w:tc>
        <w:tc>
          <w:tcPr>
            <w:tcW w:w="846" w:type="pct"/>
            <w:noWrap w:val="0"/>
            <w:vAlign w:val="center"/>
          </w:tcPr>
          <w:p w14:paraId="415B0E38">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19</w:t>
            </w:r>
          </w:p>
        </w:tc>
        <w:tc>
          <w:tcPr>
            <w:tcW w:w="847" w:type="pct"/>
            <w:noWrap w:val="0"/>
            <w:vAlign w:val="center"/>
          </w:tcPr>
          <w:p w14:paraId="46F4FEE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12</w:t>
            </w:r>
          </w:p>
        </w:tc>
        <w:tc>
          <w:tcPr>
            <w:tcW w:w="848" w:type="pct"/>
            <w:shd w:val="clear" w:color="auto" w:fill="auto"/>
            <w:noWrap w:val="0"/>
            <w:vAlign w:val="center"/>
          </w:tcPr>
          <w:p w14:paraId="6F089FBD">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29</w:t>
            </w:r>
          </w:p>
        </w:tc>
        <w:tc>
          <w:tcPr>
            <w:tcW w:w="849" w:type="pct"/>
            <w:shd w:val="clear" w:color="auto" w:fill="auto"/>
            <w:noWrap w:val="0"/>
            <w:vAlign w:val="center"/>
          </w:tcPr>
          <w:p w14:paraId="239CF3AD">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19</w:t>
            </w:r>
          </w:p>
        </w:tc>
      </w:tr>
      <w:tr w14:paraId="2B20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pct"/>
            <w:noWrap w:val="0"/>
            <w:vAlign w:val="center"/>
          </w:tcPr>
          <w:p w14:paraId="4829B0C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10</w:t>
            </w:r>
          </w:p>
        </w:tc>
        <w:tc>
          <w:tcPr>
            <w:tcW w:w="804" w:type="pct"/>
            <w:noWrap w:val="0"/>
            <w:vAlign w:val="center"/>
          </w:tcPr>
          <w:p w14:paraId="37896DCF">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7</w:t>
            </w:r>
          </w:p>
        </w:tc>
        <w:tc>
          <w:tcPr>
            <w:tcW w:w="846" w:type="pct"/>
            <w:noWrap w:val="0"/>
            <w:vAlign w:val="center"/>
          </w:tcPr>
          <w:p w14:paraId="695F2D72">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20</w:t>
            </w:r>
          </w:p>
        </w:tc>
        <w:tc>
          <w:tcPr>
            <w:tcW w:w="847" w:type="pct"/>
            <w:noWrap w:val="0"/>
            <w:vAlign w:val="center"/>
          </w:tcPr>
          <w:p w14:paraId="2375713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13</w:t>
            </w:r>
          </w:p>
        </w:tc>
        <w:tc>
          <w:tcPr>
            <w:tcW w:w="848" w:type="pct"/>
            <w:shd w:val="clear" w:color="auto" w:fill="auto"/>
            <w:noWrap w:val="0"/>
            <w:vAlign w:val="center"/>
          </w:tcPr>
          <w:p w14:paraId="224082D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default" w:ascii="仿宋_GB2312" w:hAnsi="仿宋_GB2312" w:eastAsia="仿宋_GB2312" w:cs="仿宋_GB2312"/>
                <w:color w:val="auto"/>
                <w:sz w:val="28"/>
                <w:szCs w:val="28"/>
                <w:highlight w:val="none"/>
                <w:vertAlign w:val="baseline"/>
                <w:lang w:val="en-US" w:eastAsia="zh-CN"/>
              </w:rPr>
              <w:t>≥</w:t>
            </w:r>
            <w:r>
              <w:rPr>
                <w:rFonts w:hint="eastAsia" w:ascii="仿宋_GB2312" w:hAnsi="仿宋_GB2312" w:eastAsia="仿宋_GB2312" w:cs="仿宋_GB2312"/>
                <w:color w:val="auto"/>
                <w:sz w:val="28"/>
                <w:szCs w:val="28"/>
                <w:highlight w:val="none"/>
                <w:vertAlign w:val="baseline"/>
                <w:lang w:val="en-US" w:eastAsia="zh-CN"/>
              </w:rPr>
              <w:t>30</w:t>
            </w:r>
          </w:p>
        </w:tc>
        <w:tc>
          <w:tcPr>
            <w:tcW w:w="849" w:type="pct"/>
            <w:shd w:val="clear" w:color="auto" w:fill="auto"/>
            <w:noWrap w:val="0"/>
            <w:vAlign w:val="center"/>
          </w:tcPr>
          <w:p w14:paraId="6C1D7F68">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20</w:t>
            </w:r>
          </w:p>
        </w:tc>
      </w:tr>
    </w:tbl>
    <w:p w14:paraId="075E17E8">
      <w:pPr>
        <w:keepNext w:val="0"/>
        <w:keepLines w:val="0"/>
        <w:pageBreakBefore w:val="0"/>
        <w:widowControl w:val="0"/>
        <w:numPr>
          <w:ilvl w:val="-1"/>
          <w:numId w:val="0"/>
        </w:numPr>
        <w:kinsoku/>
        <w:wordWrap/>
        <w:topLinePunct w:val="0"/>
        <w:bidi w:val="0"/>
        <w:snapToGrid/>
        <w:spacing w:line="560" w:lineRule="exact"/>
        <w:ind w:firstLine="643" w:firstLineChars="200"/>
        <w:jc w:val="both"/>
        <w:rPr>
          <w:rFonts w:hint="eastAsia" w:ascii="仿宋_GB2312" w:hAnsi="仿宋_GB2312" w:eastAsia="仿宋_GB2312" w:cs="仿宋_GB2312"/>
          <w:b/>
          <w:bCs/>
          <w:color w:val="auto"/>
          <w:kern w:val="0"/>
          <w:sz w:val="32"/>
          <w:szCs w:val="32"/>
          <w:highlight w:val="none"/>
          <w:lang w:val="en-US" w:eastAsia="zh-CN" w:bidi="ar"/>
        </w:rPr>
      </w:pPr>
      <w:r>
        <w:rPr>
          <w:rFonts w:hint="eastAsia" w:ascii="仿宋_GB2312" w:hAnsi="仿宋_GB2312" w:eastAsia="仿宋_GB2312" w:cs="仿宋_GB2312"/>
          <w:b/>
          <w:bCs/>
          <w:color w:val="auto"/>
          <w:kern w:val="0"/>
          <w:sz w:val="32"/>
          <w:szCs w:val="32"/>
          <w:highlight w:val="none"/>
          <w:lang w:val="en-US" w:eastAsia="zh-CN" w:bidi="ar"/>
        </w:rPr>
        <w:t>2.价格离散度控制</w:t>
      </w:r>
    </w:p>
    <w:p w14:paraId="215F03DF">
      <w:pPr>
        <w:keepNext w:val="0"/>
        <w:keepLines w:val="0"/>
        <w:pageBreakBefore w:val="0"/>
        <w:widowControl w:val="0"/>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1）同采购产品组各竞价单元入围企业，分别进行企业申报价的价格离散度控制，具体是本竞价单元“入围企业申报价均价向下浮动1个标准差（指总体标准差，下同）”与“最低企业申报价”二者取高值为“锚点价格①”；“入围企业申报价均价向下浮动2个标准差”为“锚点价格②”。锚点价格作为价格离散度控制的基准。</w:t>
      </w:r>
    </w:p>
    <w:p w14:paraId="3F064193">
      <w:pPr>
        <w:keepNext w:val="0"/>
        <w:keepLines w:val="0"/>
        <w:pageBreakBefore w:val="0"/>
        <w:widowControl w:val="0"/>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标准差公式为：</w:t>
      </w:r>
    </w:p>
    <w:p w14:paraId="3213BDC9">
      <w:pPr>
        <w:keepNext w:val="0"/>
        <w:keepLines w:val="0"/>
        <w:pageBreakBefore w:val="0"/>
        <w:widowControl w:val="0"/>
        <w:numPr>
          <w:ilvl w:val="-1"/>
          <w:numId w:val="0"/>
        </w:numPr>
        <w:kinsoku/>
        <w:wordWrap/>
        <w:topLinePunct w:val="0"/>
        <w:bidi w:val="0"/>
        <w:snapToGrid/>
        <w:spacing w:line="560" w:lineRule="exact"/>
        <w:ind w:firstLine="0" w:firstLineChars="0"/>
        <w:jc w:val="both"/>
        <w:rPr>
          <w:rFonts w:hint="eastAsia" w:ascii="仿宋_GB2312" w:hAnsi="仿宋_GB2312" w:eastAsia="仿宋_GB2312" w:cs="仿宋_GB2312"/>
          <w:color w:val="auto"/>
          <w:kern w:val="0"/>
          <w:sz w:val="32"/>
          <w:szCs w:val="32"/>
          <w:highlight w:val="none"/>
          <w:lang w:val="en-US" w:eastAsia="zh-CN" w:bidi="ar"/>
        </w:rPr>
      </w:pPr>
      <w:r>
        <w:rPr>
          <w:rFonts w:hint="default" w:ascii="仿宋_GB2312" w:hAnsi="仿宋_GB2312" w:eastAsia="仿宋_GB2312" w:cs="仿宋_GB2312"/>
          <w:color w:val="auto"/>
          <w:kern w:val="0"/>
          <w:sz w:val="32"/>
          <w:szCs w:val="32"/>
          <w:highlight w:val="none"/>
          <w:lang w:val="en-US" w:eastAsia="zh-CN" w:bidi="ar"/>
        </w:rPr>
        <w:drawing>
          <wp:anchor distT="0" distB="0" distL="114300" distR="114300" simplePos="0" relativeHeight="251660288" behindDoc="0" locked="0" layoutInCell="1" allowOverlap="1">
            <wp:simplePos x="0" y="0"/>
            <wp:positionH relativeFrom="column">
              <wp:posOffset>1968500</wp:posOffset>
            </wp:positionH>
            <wp:positionV relativeFrom="paragraph">
              <wp:posOffset>84455</wp:posOffset>
            </wp:positionV>
            <wp:extent cx="1623695" cy="553720"/>
            <wp:effectExtent l="0" t="0" r="6985" b="10160"/>
            <wp:wrapTopAndBottom/>
            <wp:docPr id="5" name="图片 5" descr="25E5A059-AD3F-4f1d-A694-A8B2B145D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5E5A059-AD3F-4f1d-A694-A8B2B145D549"/>
                    <pic:cNvPicPr>
                      <a:picLocks noChangeAspect="1"/>
                    </pic:cNvPicPr>
                  </pic:nvPicPr>
                  <pic:blipFill>
                    <a:blip r:embed="rId5"/>
                    <a:stretch>
                      <a:fillRect/>
                    </a:stretch>
                  </pic:blipFill>
                  <pic:spPr>
                    <a:xfrm>
                      <a:off x="0" y="0"/>
                      <a:ext cx="1623695" cy="553720"/>
                    </a:xfrm>
                    <a:prstGeom prst="rect">
                      <a:avLst/>
                    </a:prstGeom>
                  </pic:spPr>
                </pic:pic>
              </a:graphicData>
            </a:graphic>
          </wp:anchor>
        </w:drawing>
      </w:r>
      <w:r>
        <w:rPr>
          <w:rFonts w:hint="eastAsia" w:ascii="仿宋_GB2312" w:hAnsi="仿宋_GB2312" w:eastAsia="仿宋_GB2312" w:cs="仿宋_GB2312"/>
          <w:color w:val="auto"/>
          <w:kern w:val="0"/>
          <w:sz w:val="32"/>
          <w:szCs w:val="32"/>
          <w:highlight w:val="none"/>
          <w:lang w:val="en-US" w:eastAsia="zh-CN" w:bidi="ar"/>
        </w:rPr>
        <w:t>（其中,σ表示总体标准差，Xi表示总体中的第i个个体数据,μ表示总体均值，N表示总体中包含的数据总个数。）</w:t>
      </w:r>
    </w:p>
    <w:p w14:paraId="1ACE6B22">
      <w:pPr>
        <w:keepNext w:val="0"/>
        <w:keepLines w:val="0"/>
        <w:pageBreakBefore w:val="0"/>
        <w:widowControl w:val="0"/>
        <w:numPr>
          <w:ilvl w:val="-1"/>
          <w:numId w:val="0"/>
        </w:numPr>
        <w:kinsoku/>
        <w:wordWrap/>
        <w:topLinePunct w:val="0"/>
        <w:bidi w:val="0"/>
        <w:snapToGrid/>
        <w:spacing w:line="560" w:lineRule="exact"/>
        <w:ind w:firstLine="0" w:firstLineChars="0"/>
        <w:jc w:val="both"/>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 xml:space="preserve">    （2）入围企业申报价低于本竞价单元“锚点价格②”的，带量比例降为0，该企业不占入围名额。入围企业名额未用尽时，按申报企业排名依次递补入围。“锚点价格①”和“锚点价格②”不因递补入围企业循环计算。</w:t>
      </w:r>
    </w:p>
    <w:p w14:paraId="3AEEA940">
      <w:pPr>
        <w:keepNext w:val="0"/>
        <w:keepLines w:val="0"/>
        <w:pageBreakBefore w:val="0"/>
        <w:widowControl w:val="0"/>
        <w:kinsoku/>
        <w:wordWrap/>
        <w:topLinePunct w:val="0"/>
        <w:bidi w:val="0"/>
        <w:snapToGrid/>
        <w:spacing w:line="560" w:lineRule="exact"/>
        <w:ind w:firstLine="643" w:firstLineChars="200"/>
        <w:jc w:val="both"/>
        <w:rPr>
          <w:rFonts w:hint="eastAsia" w:ascii="仿宋_GB2312" w:hAnsi="仿宋_GB2312" w:eastAsia="仿宋_GB2312" w:cs="仿宋_GB2312"/>
          <w:b/>
          <w:bCs/>
          <w:color w:val="auto"/>
          <w:kern w:val="0"/>
          <w:sz w:val="32"/>
          <w:szCs w:val="32"/>
          <w:highlight w:val="none"/>
          <w:lang w:val="en-US" w:eastAsia="zh-CN" w:bidi="ar"/>
        </w:rPr>
      </w:pPr>
      <w:r>
        <w:rPr>
          <w:rFonts w:hint="eastAsia" w:ascii="仿宋_GB2312" w:hAnsi="仿宋_GB2312" w:eastAsia="仿宋_GB2312" w:cs="仿宋_GB2312"/>
          <w:b/>
          <w:bCs/>
          <w:color w:val="auto"/>
          <w:kern w:val="0"/>
          <w:sz w:val="32"/>
          <w:szCs w:val="32"/>
          <w:highlight w:val="none"/>
          <w:lang w:val="en-US" w:eastAsia="zh-CN" w:bidi="ar"/>
        </w:rPr>
        <w:t>3.确定拟中选企业（规则一）</w:t>
      </w:r>
    </w:p>
    <w:p w14:paraId="1C5306D2">
      <w:pPr>
        <w:keepNext w:val="0"/>
        <w:keepLines w:val="0"/>
        <w:pageBreakBefore w:val="0"/>
        <w:widowControl w:val="0"/>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入围企业同时符合以下条件，获得拟中选资格：</w:t>
      </w:r>
    </w:p>
    <w:p w14:paraId="63D91C9A">
      <w:pPr>
        <w:keepNext w:val="0"/>
        <w:keepLines w:val="0"/>
        <w:pageBreakBefore w:val="0"/>
        <w:widowControl w:val="0"/>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（1）企业申报价≤同竞价单元“锚点价格①</w:t>
      </w:r>
      <w:r>
        <w:rPr>
          <w:rFonts w:hint="default"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val="en-US" w:eastAsia="zh-CN" w:bidi="ar"/>
        </w:rPr>
        <w:t>的1.5倍。</w:t>
      </w:r>
    </w:p>
    <w:p w14:paraId="7D124063">
      <w:pPr>
        <w:keepNext w:val="0"/>
        <w:keepLines w:val="0"/>
        <w:pageBreakBefore w:val="0"/>
        <w:widowControl w:val="0"/>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（2）B竞价单元企业申报价≤同采购产品组A竞价单元按规则一拟中选的最高企业申报价（A竞价单元按规则一独家中选除外）。</w:t>
      </w:r>
    </w:p>
    <w:p w14:paraId="727F9049">
      <w:pPr>
        <w:keepNext w:val="0"/>
        <w:keepLines w:val="0"/>
        <w:pageBreakBefore w:val="0"/>
        <w:widowControl w:val="0"/>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3）竞争不充分竞价单元（指同竞价单元有效申报企业数和最多入围企业数差额≤1，下同），入围企业申报价相对于最高有效申报价，降价幅度不低于“非竞争不充分A竞价单元按规则一拟中选的平均降幅”的50%。</w:t>
      </w:r>
    </w:p>
    <w:p w14:paraId="59BF0D8F">
      <w:pPr>
        <w:keepNext w:val="0"/>
        <w:keepLines w:val="0"/>
        <w:pageBreakBefore w:val="0"/>
        <w:widowControl w:val="0"/>
        <w:kinsoku/>
        <w:wordWrap/>
        <w:topLinePunct w:val="0"/>
        <w:bidi w:val="0"/>
        <w:snapToGrid/>
        <w:spacing w:line="560" w:lineRule="exact"/>
        <w:ind w:firstLine="640" w:firstLineChars="200"/>
        <w:jc w:val="both"/>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降幅计算分2步进行：第1步，对每个非竞争不充分A竞价单元按规则一带量中选产品计算降幅，取算术平均形成每个竞价单元的降幅；第2步，对第1步计算得到的每个竞价单元降幅，取算术平均。下同。</w:t>
      </w:r>
    </w:p>
    <w:p w14:paraId="06D6ADB0">
      <w:pPr>
        <w:keepNext w:val="0"/>
        <w:keepLines w:val="0"/>
        <w:pageBreakBefore w:val="0"/>
        <w:widowControl w:val="0"/>
        <w:numPr>
          <w:ilvl w:val="-1"/>
          <w:numId w:val="0"/>
        </w:numPr>
        <w:kinsoku/>
        <w:wordWrap/>
        <w:topLinePunct w:val="0"/>
        <w:bidi w:val="0"/>
        <w:snapToGrid/>
        <w:spacing w:line="560" w:lineRule="exact"/>
        <w:ind w:firstLine="643"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b/>
          <w:bCs/>
          <w:color w:val="auto"/>
          <w:kern w:val="0"/>
          <w:sz w:val="32"/>
          <w:szCs w:val="32"/>
          <w:highlight w:val="none"/>
          <w:lang w:val="en-US" w:eastAsia="zh-CN" w:bidi="ar"/>
        </w:rPr>
        <w:t>4.确定拟中选企业（规则二）</w:t>
      </w:r>
    </w:p>
    <w:p w14:paraId="1F52D889">
      <w:pPr>
        <w:keepNext w:val="0"/>
        <w:keepLines w:val="0"/>
        <w:pageBreakBefore w:val="0"/>
        <w:widowControl w:val="0"/>
        <w:numPr>
          <w:ilvl w:val="0"/>
          <w:numId w:val="0"/>
        </w:numPr>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4.1适用范围。按规则一未获得拟中选资格的有效申报企业（含未入围企业），符合以下条件的可现场开展次轮报价，按照新的企业申报价适用规则二。</w:t>
      </w:r>
    </w:p>
    <w:p w14:paraId="3EE473E8">
      <w:pPr>
        <w:keepNext w:val="0"/>
        <w:keepLines w:val="0"/>
        <w:pageBreakBefore w:val="0"/>
        <w:widowControl w:val="0"/>
        <w:numPr>
          <w:ilvl w:val="-1"/>
          <w:numId w:val="0"/>
        </w:numPr>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（1）属于A竞价单元，首轮企业申报价≤最高有效申报价70%或非同采购产品组最高顺位的；</w:t>
      </w:r>
    </w:p>
    <w:p w14:paraId="5085E929">
      <w:pPr>
        <w:keepNext w:val="0"/>
        <w:keepLines w:val="0"/>
        <w:pageBreakBefore w:val="0"/>
        <w:widowControl w:val="0"/>
        <w:numPr>
          <w:ilvl w:val="-1"/>
          <w:numId w:val="0"/>
        </w:numPr>
        <w:kinsoku/>
        <w:wordWrap/>
        <w:topLinePunct w:val="0"/>
        <w:bidi w:val="0"/>
        <w:snapToGrid/>
        <w:spacing w:line="560" w:lineRule="exact"/>
        <w:ind w:firstLine="640" w:firstLineChars="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（2）属于B竞价单元，首轮企业申报价≤最高有效申报价70%的。</w:t>
      </w:r>
    </w:p>
    <w:p w14:paraId="4A0E7331">
      <w:pPr>
        <w:keepNext w:val="0"/>
        <w:keepLines w:val="0"/>
        <w:pageBreakBefore w:val="0"/>
        <w:widowControl w:val="0"/>
        <w:numPr>
          <w:ilvl w:val="-1"/>
          <w:numId w:val="0"/>
        </w:numPr>
        <w:kinsoku/>
        <w:wordWrap/>
        <w:topLinePunct w:val="0"/>
        <w:bidi w:val="0"/>
        <w:snapToGrid/>
        <w:spacing w:line="560" w:lineRule="exact"/>
        <w:ind w:firstLine="640" w:firstLineChars="0"/>
        <w:jc w:val="both"/>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4.2适用规则二的企业，次轮企业申报价同时符合以下条件，获得规则二拟中选资格：</w:t>
      </w:r>
    </w:p>
    <w:p w14:paraId="19E6DF93">
      <w:pPr>
        <w:keepNext w:val="0"/>
        <w:keepLines w:val="0"/>
        <w:pageBreakBefore w:val="0"/>
        <w:widowControl w:val="0"/>
        <w:numPr>
          <w:ilvl w:val="0"/>
          <w:numId w:val="0"/>
        </w:numPr>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（1）次轮企业申报价≤同采购产品组A竞价单元“锚点价格①的1.4倍”。</w:t>
      </w:r>
    </w:p>
    <w:p w14:paraId="1C9B955D">
      <w:pPr>
        <w:keepNext w:val="0"/>
        <w:keepLines w:val="0"/>
        <w:pageBreakBefore w:val="0"/>
        <w:widowControl w:val="0"/>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（2）</w:t>
      </w:r>
      <w:r>
        <w:rPr>
          <w:rFonts w:hint="eastAsia" w:ascii="仿宋_GB2312" w:hAnsi="仿宋_GB2312" w:eastAsia="仿宋_GB2312" w:cs="仿宋_GB2312"/>
          <w:strike w:val="0"/>
          <w:color w:val="auto"/>
          <w:kern w:val="0"/>
          <w:sz w:val="32"/>
          <w:szCs w:val="32"/>
          <w:highlight w:val="none"/>
          <w:lang w:val="en-US" w:eastAsia="zh-CN" w:bidi="ar"/>
        </w:rPr>
        <w:t>竞争不充分竞价单元，次轮企业申报价相对于最高有效申报价，降价幅度不低于</w:t>
      </w:r>
      <w:r>
        <w:rPr>
          <w:rFonts w:hint="eastAsia" w:ascii="仿宋_GB2312" w:hAnsi="仿宋_GB2312" w:eastAsia="仿宋_GB2312" w:cs="仿宋_GB2312"/>
          <w:color w:val="auto"/>
          <w:kern w:val="0"/>
          <w:sz w:val="32"/>
          <w:szCs w:val="32"/>
          <w:highlight w:val="none"/>
          <w:lang w:val="en-US" w:eastAsia="zh-CN" w:bidi="ar"/>
        </w:rPr>
        <w:t>“非竞争不充分A竞价单元按规则一拟中选的平均降幅”的50%。</w:t>
      </w:r>
    </w:p>
    <w:p w14:paraId="5208948A">
      <w:pPr>
        <w:keepNext w:val="0"/>
        <w:keepLines w:val="0"/>
        <w:pageBreakBefore w:val="0"/>
        <w:widowControl w:val="0"/>
        <w:numPr>
          <w:ilvl w:val="-1"/>
          <w:numId w:val="0"/>
        </w:numPr>
        <w:kinsoku/>
        <w:wordWrap/>
        <w:topLinePunct w:val="0"/>
        <w:bidi w:val="0"/>
        <w:snapToGrid/>
        <w:spacing w:line="560" w:lineRule="exact"/>
        <w:ind w:firstLine="643"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b/>
          <w:bCs/>
          <w:color w:val="auto"/>
          <w:kern w:val="0"/>
          <w:sz w:val="32"/>
          <w:szCs w:val="32"/>
          <w:highlight w:val="none"/>
          <w:lang w:val="en-US" w:eastAsia="zh-CN" w:bidi="ar"/>
        </w:rPr>
        <w:t>5.确定拟中选企业（规则三）</w:t>
      </w:r>
    </w:p>
    <w:p w14:paraId="08F57A01">
      <w:pPr>
        <w:keepNext w:val="0"/>
        <w:keepLines w:val="0"/>
        <w:pageBreakBefore w:val="0"/>
        <w:widowControl w:val="0"/>
        <w:numPr>
          <w:ilvl w:val="-1"/>
          <w:numId w:val="0"/>
        </w:numPr>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 xml:space="preserve">5.1适用范围。按以上规则未获得拟中选资格的企业（含未入围企业），同一采购产品组下医疗机构填报首年采购需求量排名第一的（组成联合体的，联合申报采购产品组合并统计首年采购需求量），可现场开展次轮报价，按照新的企业申报价适用规则三。  </w:t>
      </w:r>
    </w:p>
    <w:p w14:paraId="08929207">
      <w:pPr>
        <w:keepNext w:val="0"/>
        <w:keepLines w:val="0"/>
        <w:pageBreakBefore w:val="0"/>
        <w:widowControl w:val="0"/>
        <w:numPr>
          <w:ilvl w:val="-1"/>
          <w:numId w:val="0"/>
        </w:numPr>
        <w:kinsoku/>
        <w:wordWrap/>
        <w:topLinePunct w:val="0"/>
        <w:bidi w:val="0"/>
        <w:snapToGrid/>
        <w:spacing w:line="560" w:lineRule="exact"/>
        <w:ind w:firstLine="640" w:firstLineChars="200"/>
        <w:jc w:val="both"/>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5.2适用规则三的企业，次轮企业申报价同时符合以下条件，获得规则三拟中选资格：</w:t>
      </w:r>
    </w:p>
    <w:p w14:paraId="39DDE0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val="0"/>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（1）次轮企业申报价≤同采购产品组A竞价单元按规则一“锚点价格①的1.5倍”的</w:t>
      </w:r>
      <w:r>
        <w:rPr>
          <w:rFonts w:hint="eastAsia" w:ascii="仿宋_GB2312" w:hAnsi="仿宋_GB2312" w:eastAsia="仿宋_GB2312" w:cs="仿宋_GB2312"/>
          <w:snapToGrid w:val="0"/>
          <w:color w:val="auto"/>
          <w:kern w:val="0"/>
          <w:sz w:val="32"/>
          <w:szCs w:val="32"/>
          <w:highlight w:val="none"/>
          <w:lang w:val="en-US" w:eastAsia="zh-CN" w:bidi="ar"/>
        </w:rPr>
        <w:t>1.5倍。</w:t>
      </w:r>
    </w:p>
    <w:p w14:paraId="4AE9D9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（2）竞争不充分竞价单元，次轮企业申报价相对于最高有效申报价，降价幅度不低于“非竞争不充分A竞价单元按规则一拟中选的平均降幅”的50%。</w:t>
      </w:r>
    </w:p>
    <w:p w14:paraId="01665062">
      <w:pPr>
        <w:keepNext w:val="0"/>
        <w:keepLines w:val="0"/>
        <w:pageBreakBefore w:val="0"/>
        <w:widowControl w:val="0"/>
        <w:numPr>
          <w:ilvl w:val="0"/>
          <w:numId w:val="0"/>
        </w:numPr>
        <w:kinsoku/>
        <w:wordWrap/>
        <w:topLinePunct w:val="0"/>
        <w:bidi w:val="0"/>
        <w:snapToGrid/>
        <w:spacing w:line="560" w:lineRule="exact"/>
        <w:ind w:firstLine="704" w:firstLineChars="200"/>
        <w:rPr>
          <w:rFonts w:hint="eastAsia" w:ascii="楷体_GB2312" w:eastAsia="楷体_GB2312"/>
          <w:bCs/>
          <w:color w:val="auto"/>
          <w:spacing w:val="16"/>
          <w:kern w:val="32"/>
          <w:sz w:val="32"/>
          <w:szCs w:val="32"/>
          <w:highlight w:val="none"/>
          <w:lang w:val="en-US" w:eastAsia="zh-CN"/>
        </w:rPr>
      </w:pPr>
      <w:r>
        <w:rPr>
          <w:rFonts w:hint="eastAsia" w:ascii="楷体_GB2312" w:eastAsia="楷体_GB2312"/>
          <w:bCs/>
          <w:color w:val="auto"/>
          <w:spacing w:val="16"/>
          <w:kern w:val="32"/>
          <w:sz w:val="32"/>
          <w:szCs w:val="32"/>
          <w:highlight w:val="none"/>
        </w:rPr>
        <w:t>（</w:t>
      </w:r>
      <w:r>
        <w:rPr>
          <w:rFonts w:hint="eastAsia" w:ascii="楷体_GB2312" w:eastAsia="楷体_GB2312"/>
          <w:bCs/>
          <w:color w:val="auto"/>
          <w:spacing w:val="16"/>
          <w:kern w:val="32"/>
          <w:sz w:val="32"/>
          <w:szCs w:val="32"/>
          <w:highlight w:val="none"/>
          <w:lang w:val="en-US" w:eastAsia="zh-CN"/>
        </w:rPr>
        <w:t>四</w:t>
      </w:r>
      <w:r>
        <w:rPr>
          <w:rFonts w:hint="eastAsia" w:ascii="楷体_GB2312" w:eastAsia="楷体_GB2312"/>
          <w:bCs/>
          <w:color w:val="auto"/>
          <w:spacing w:val="16"/>
          <w:kern w:val="32"/>
          <w:sz w:val="32"/>
          <w:szCs w:val="32"/>
          <w:highlight w:val="none"/>
        </w:rPr>
        <w:t>）中选</w:t>
      </w:r>
      <w:r>
        <w:rPr>
          <w:rFonts w:hint="eastAsia" w:ascii="楷体_GB2312" w:eastAsia="楷体_GB2312"/>
          <w:bCs/>
          <w:color w:val="auto"/>
          <w:spacing w:val="16"/>
          <w:kern w:val="32"/>
          <w:sz w:val="32"/>
          <w:szCs w:val="32"/>
          <w:highlight w:val="none"/>
          <w:lang w:val="en-US" w:eastAsia="zh-CN"/>
        </w:rPr>
        <w:t>价格</w:t>
      </w:r>
    </w:p>
    <w:p w14:paraId="17495BD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规则一中选的企业以首轮企业申报价作为中选价格，规则二、规则三中选的企业以次轮企业申报价作为中选价格。</w:t>
      </w:r>
    </w:p>
    <w:p w14:paraId="3618F311">
      <w:pPr>
        <w:keepNext w:val="0"/>
        <w:keepLines w:val="0"/>
        <w:pageBreakBefore w:val="0"/>
        <w:widowControl w:val="0"/>
        <w:numPr>
          <w:ilvl w:val="0"/>
          <w:numId w:val="0"/>
        </w:numPr>
        <w:kinsoku/>
        <w:wordWrap/>
        <w:topLinePunct w:val="0"/>
        <w:bidi w:val="0"/>
        <w:snapToGrid/>
        <w:spacing w:line="560" w:lineRule="exact"/>
        <w:ind w:firstLine="704" w:firstLineChars="200"/>
        <w:rPr>
          <w:rFonts w:hint="default" w:ascii="楷体_GB2312" w:eastAsia="楷体_GB2312"/>
          <w:bCs/>
          <w:color w:val="auto"/>
          <w:spacing w:val="16"/>
          <w:kern w:val="32"/>
          <w:sz w:val="32"/>
          <w:szCs w:val="32"/>
          <w:highlight w:val="none"/>
          <w:lang w:val="en-US" w:eastAsia="zh-CN"/>
        </w:rPr>
      </w:pPr>
      <w:r>
        <w:rPr>
          <w:rFonts w:hint="eastAsia" w:ascii="楷体_GB2312" w:eastAsia="楷体_GB2312"/>
          <w:bCs/>
          <w:color w:val="auto"/>
          <w:spacing w:val="16"/>
          <w:kern w:val="32"/>
          <w:sz w:val="32"/>
          <w:szCs w:val="32"/>
          <w:highlight w:val="none"/>
        </w:rPr>
        <w:t>（</w:t>
      </w:r>
      <w:r>
        <w:rPr>
          <w:rFonts w:hint="eastAsia" w:ascii="楷体_GB2312" w:eastAsia="楷体_GB2312"/>
          <w:bCs/>
          <w:color w:val="auto"/>
          <w:spacing w:val="16"/>
          <w:kern w:val="32"/>
          <w:sz w:val="32"/>
          <w:szCs w:val="32"/>
          <w:highlight w:val="none"/>
          <w:lang w:val="en-US" w:eastAsia="zh-CN"/>
        </w:rPr>
        <w:t>五</w:t>
      </w:r>
      <w:r>
        <w:rPr>
          <w:rFonts w:hint="eastAsia" w:ascii="楷体_GB2312" w:eastAsia="楷体_GB2312"/>
          <w:bCs/>
          <w:color w:val="auto"/>
          <w:spacing w:val="16"/>
          <w:kern w:val="32"/>
          <w:sz w:val="32"/>
          <w:szCs w:val="32"/>
          <w:highlight w:val="none"/>
        </w:rPr>
        <w:t>）中选</w:t>
      </w:r>
      <w:r>
        <w:rPr>
          <w:rFonts w:hint="eastAsia" w:ascii="楷体_GB2312" w:eastAsia="楷体_GB2312"/>
          <w:bCs/>
          <w:color w:val="auto"/>
          <w:spacing w:val="16"/>
          <w:kern w:val="32"/>
          <w:sz w:val="32"/>
          <w:szCs w:val="32"/>
          <w:highlight w:val="none"/>
          <w:lang w:val="en-US" w:eastAsia="zh-CN"/>
        </w:rPr>
        <w:t>排名</w:t>
      </w:r>
    </w:p>
    <w:p w14:paraId="3BFCA4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1.规则一中选的企业按企业排名的规则确定中选排名，产品报价低于A竞价单元“锚点价格②”、规则二、规则三中选的企业不计中选排名。</w:t>
      </w:r>
    </w:p>
    <w:p w14:paraId="7EEA85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2.中选的申报企业或医疗器械注册人当前被任一省（区、市）依据医药价格和招采信用评价制度评定为“严重失信”或“特别严重失信”的，相应中选企业排名与后位首个未被评定为以上失信等级的中选企业排名对应交换。</w:t>
      </w:r>
    </w:p>
    <w:p w14:paraId="04A745A6">
      <w:pPr>
        <w:keepNext w:val="0"/>
        <w:keepLines w:val="0"/>
        <w:pageBreakBefore w:val="0"/>
        <w:widowControl w:val="0"/>
        <w:kinsoku/>
        <w:wordWrap/>
        <w:topLinePunct w:val="0"/>
        <w:bidi w:val="0"/>
        <w:snapToGrid/>
        <w:spacing w:line="560" w:lineRule="exact"/>
        <w:ind w:firstLine="640" w:firstLineChars="200"/>
        <w:jc w:val="both"/>
        <w:outlineLvl w:val="1"/>
        <w:rPr>
          <w:rFonts w:ascii="黑体" w:hAnsi="黑体" w:eastAsia="黑体" w:cs="黑体"/>
          <w:color w:val="auto"/>
          <w:kern w:val="0"/>
          <w:sz w:val="32"/>
          <w:szCs w:val="32"/>
          <w:highlight w:val="none"/>
          <w:lang w:bidi="ar"/>
        </w:rPr>
      </w:pPr>
      <w:bookmarkStart w:id="7" w:name="_Toc10576"/>
      <w:bookmarkStart w:id="8" w:name="_Toc27386"/>
      <w:r>
        <w:rPr>
          <w:rFonts w:hint="eastAsia" w:ascii="黑体" w:hAnsi="黑体" w:eastAsia="黑体" w:cs="黑体"/>
          <w:color w:val="auto"/>
          <w:kern w:val="0"/>
          <w:sz w:val="32"/>
          <w:szCs w:val="32"/>
          <w:highlight w:val="none"/>
          <w:lang w:val="en-US" w:eastAsia="zh-CN" w:bidi="ar"/>
        </w:rPr>
        <w:t>八</w:t>
      </w:r>
      <w:r>
        <w:rPr>
          <w:rFonts w:hint="eastAsia" w:ascii="黑体" w:hAnsi="黑体" w:eastAsia="黑体" w:cs="黑体"/>
          <w:color w:val="auto"/>
          <w:kern w:val="0"/>
          <w:sz w:val="32"/>
          <w:szCs w:val="32"/>
          <w:highlight w:val="none"/>
          <w:lang w:bidi="ar"/>
        </w:rPr>
        <w:t>、中选</w:t>
      </w:r>
      <w:r>
        <w:rPr>
          <w:rFonts w:hint="eastAsia" w:ascii="黑体" w:hAnsi="黑体" w:eastAsia="黑体" w:cs="黑体"/>
          <w:color w:val="auto"/>
          <w:kern w:val="0"/>
          <w:sz w:val="32"/>
          <w:szCs w:val="32"/>
          <w:highlight w:val="none"/>
          <w:lang w:val="en-US" w:eastAsia="zh-CN" w:bidi="ar"/>
        </w:rPr>
        <w:t>结果</w:t>
      </w:r>
      <w:r>
        <w:rPr>
          <w:rFonts w:hint="eastAsia" w:ascii="黑体" w:hAnsi="黑体" w:eastAsia="黑体" w:cs="黑体"/>
          <w:color w:val="auto"/>
          <w:kern w:val="0"/>
          <w:sz w:val="32"/>
          <w:szCs w:val="32"/>
          <w:highlight w:val="none"/>
          <w:lang w:bidi="ar"/>
        </w:rPr>
        <w:t>确定</w:t>
      </w:r>
      <w:bookmarkEnd w:id="7"/>
      <w:bookmarkEnd w:id="8"/>
    </w:p>
    <w:p w14:paraId="72281DF1">
      <w:pPr>
        <w:pStyle w:val="9"/>
        <w:keepNext w:val="0"/>
        <w:keepLines w:val="0"/>
        <w:pageBreakBefore w:val="0"/>
        <w:kinsoku/>
        <w:wordWrap/>
        <w:topLinePunct w:val="0"/>
        <w:bidi w:val="0"/>
        <w:snapToGrid/>
        <w:spacing w:line="560" w:lineRule="exact"/>
        <w:ind w:firstLine="704" w:firstLineChars="200"/>
        <w:jc w:val="both"/>
        <w:rPr>
          <w:rFonts w:ascii="楷体_GB2312" w:eastAsia="楷体_GB2312"/>
          <w:bCs/>
          <w:color w:val="auto"/>
          <w:spacing w:val="16"/>
          <w:kern w:val="32"/>
          <w:sz w:val="32"/>
          <w:szCs w:val="32"/>
          <w:highlight w:val="none"/>
        </w:rPr>
      </w:pPr>
      <w:r>
        <w:rPr>
          <w:rFonts w:hint="eastAsia" w:ascii="楷体_GB2312" w:eastAsia="楷体_GB2312"/>
          <w:bCs/>
          <w:color w:val="auto"/>
          <w:spacing w:val="16"/>
          <w:kern w:val="32"/>
          <w:sz w:val="32"/>
          <w:szCs w:val="32"/>
          <w:highlight w:val="none"/>
        </w:rPr>
        <w:t>（一）拟中选结果公示</w:t>
      </w:r>
    </w:p>
    <w:p w14:paraId="675DBB30">
      <w:pPr>
        <w:keepNext w:val="0"/>
        <w:keepLines w:val="0"/>
        <w:pageBreakBefore w:val="0"/>
        <w:kinsoku/>
        <w:wordWrap/>
        <w:topLinePunct w:val="0"/>
        <w:bidi w:val="0"/>
        <w:snapToGrid/>
        <w:spacing w:line="560" w:lineRule="exact"/>
        <w:ind w:firstLine="640" w:firstLineChars="200"/>
        <w:jc w:val="both"/>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bidi="ar"/>
        </w:rPr>
        <w:t>拟中选结果</w:t>
      </w:r>
      <w:r>
        <w:rPr>
          <w:rFonts w:hint="eastAsia" w:ascii="仿宋_GB2312" w:hAnsi="仿宋_GB2312" w:eastAsia="仿宋_GB2312" w:cs="仿宋_GB2312"/>
          <w:color w:val="auto"/>
          <w:kern w:val="0"/>
          <w:sz w:val="32"/>
          <w:szCs w:val="32"/>
          <w:highlight w:val="none"/>
          <w:lang w:val="en-US" w:eastAsia="zh-CN" w:bidi="ar"/>
        </w:rPr>
        <w:t>产生</w:t>
      </w:r>
      <w:r>
        <w:rPr>
          <w:rFonts w:hint="eastAsia" w:ascii="仿宋_GB2312" w:hAnsi="仿宋_GB2312" w:eastAsia="仿宋_GB2312" w:cs="仿宋_GB2312"/>
          <w:color w:val="auto"/>
          <w:kern w:val="0"/>
          <w:sz w:val="32"/>
          <w:szCs w:val="32"/>
          <w:highlight w:val="none"/>
          <w:lang w:bidi="ar"/>
        </w:rPr>
        <w:t>后，在</w:t>
      </w:r>
      <w:r>
        <w:rPr>
          <w:rFonts w:hint="eastAsia" w:ascii="仿宋_GB2312" w:hAnsi="宋体" w:eastAsia="仿宋_GB2312" w:cs="仿宋_GB2312"/>
          <w:color w:val="auto"/>
          <w:kern w:val="0"/>
          <w:sz w:val="32"/>
          <w:szCs w:val="32"/>
          <w:highlight w:val="none"/>
          <w:lang w:val="en-US" w:eastAsia="zh-CN" w:bidi="ar"/>
        </w:rPr>
        <w:t>新疆维吾尔自治区药品和医用耗材招采管理子系统</w:t>
      </w:r>
      <w:r>
        <w:rPr>
          <w:rFonts w:hint="eastAsia" w:ascii="仿宋_GB2312" w:hAnsi="仿宋_GB2312" w:eastAsia="仿宋_GB2312" w:cs="仿宋_GB2312"/>
          <w:color w:val="auto"/>
          <w:kern w:val="0"/>
          <w:sz w:val="32"/>
          <w:szCs w:val="32"/>
          <w:highlight w:val="none"/>
          <w:lang w:val="en-US" w:eastAsia="zh-CN" w:bidi="ar"/>
        </w:rPr>
        <w:t>予以公示，由联采办接受申投诉。申投诉</w:t>
      </w:r>
      <w:r>
        <w:rPr>
          <w:rFonts w:hint="eastAsia" w:ascii="仿宋_GB2312" w:hAnsi="仿宋_GB2312" w:eastAsia="仿宋_GB2312" w:cs="仿宋_GB2312"/>
          <w:color w:val="auto"/>
          <w:kern w:val="0"/>
          <w:sz w:val="32"/>
          <w:szCs w:val="32"/>
          <w:highlight w:val="none"/>
          <w:lang w:bidi="ar"/>
        </w:rPr>
        <w:t>应在公示期内提出，并依法依规提供合法有效的</w:t>
      </w:r>
      <w:r>
        <w:rPr>
          <w:rFonts w:hint="eastAsia" w:ascii="仿宋_GB2312" w:hAnsi="仿宋_GB2312" w:eastAsia="仿宋_GB2312" w:cs="仿宋_GB2312"/>
          <w:color w:val="auto"/>
          <w:kern w:val="0"/>
          <w:sz w:val="32"/>
          <w:szCs w:val="32"/>
          <w:highlight w:val="none"/>
          <w:lang w:val="en-US" w:eastAsia="zh-CN" w:bidi="ar"/>
        </w:rPr>
        <w:t>加盖企业公章的纸质</w:t>
      </w:r>
      <w:r>
        <w:rPr>
          <w:rFonts w:hint="eastAsia" w:ascii="仿宋_GB2312" w:hAnsi="仿宋_GB2312" w:eastAsia="仿宋_GB2312" w:cs="仿宋_GB2312"/>
          <w:color w:val="auto"/>
          <w:kern w:val="0"/>
          <w:sz w:val="32"/>
          <w:szCs w:val="32"/>
          <w:highlight w:val="none"/>
          <w:lang w:bidi="ar"/>
        </w:rPr>
        <w:t>证明材料</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val="en-US" w:eastAsia="zh-CN" w:bidi="ar"/>
        </w:rPr>
        <w:t>并现场递交</w:t>
      </w:r>
      <w:r>
        <w:rPr>
          <w:rFonts w:hint="eastAsia" w:ascii="仿宋_GB2312" w:hAnsi="仿宋_GB2312" w:eastAsia="仿宋_GB2312" w:cs="仿宋_GB2312"/>
          <w:color w:val="auto"/>
          <w:kern w:val="0"/>
          <w:sz w:val="32"/>
          <w:szCs w:val="32"/>
          <w:highlight w:val="none"/>
          <w:lang w:bidi="ar"/>
        </w:rPr>
        <w:t>。未提供相应证明材料的，原则上不予受理</w:t>
      </w:r>
      <w:r>
        <w:rPr>
          <w:rFonts w:hint="eastAsia" w:ascii="仿宋_GB2312" w:hAnsi="仿宋_GB2312" w:eastAsia="仿宋_GB2312" w:cs="仿宋_GB2312"/>
          <w:color w:val="auto"/>
          <w:kern w:val="0"/>
          <w:sz w:val="32"/>
          <w:szCs w:val="32"/>
          <w:highlight w:val="none"/>
          <w:lang w:eastAsia="zh-CN" w:bidi="ar"/>
        </w:rPr>
        <w:t>。</w:t>
      </w:r>
    </w:p>
    <w:p w14:paraId="56F5765D">
      <w:pPr>
        <w:keepNext w:val="0"/>
        <w:keepLines w:val="0"/>
        <w:pageBreakBefore w:val="0"/>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bidi="ar"/>
        </w:rPr>
        <w:t>经公示，如拟中选企业被调整中选价格，不影响企业排名。如拟中选企业被取消</w:t>
      </w:r>
      <w:r>
        <w:rPr>
          <w:rFonts w:hint="eastAsia" w:ascii="仿宋_GB2312" w:hAnsi="仿宋_GB2312" w:eastAsia="仿宋_GB2312" w:cs="仿宋_GB2312"/>
          <w:color w:val="auto"/>
          <w:kern w:val="0"/>
          <w:sz w:val="32"/>
          <w:szCs w:val="32"/>
          <w:highlight w:val="none"/>
          <w:lang w:val="en-US" w:eastAsia="zh-CN" w:bidi="ar"/>
        </w:rPr>
        <w:t>或放弃</w:t>
      </w:r>
      <w:r>
        <w:rPr>
          <w:rFonts w:hint="eastAsia" w:ascii="仿宋_GB2312" w:hAnsi="仿宋_GB2312" w:eastAsia="仿宋_GB2312" w:cs="仿宋_GB2312"/>
          <w:color w:val="auto"/>
          <w:kern w:val="0"/>
          <w:sz w:val="32"/>
          <w:szCs w:val="32"/>
          <w:highlight w:val="none"/>
          <w:lang w:bidi="ar"/>
        </w:rPr>
        <w:t>中选资格，</w:t>
      </w:r>
      <w:r>
        <w:rPr>
          <w:rFonts w:hint="eastAsia" w:ascii="仿宋_GB2312" w:hAnsi="仿宋_GB2312" w:eastAsia="仿宋_GB2312" w:cs="仿宋_GB2312"/>
          <w:color w:val="auto"/>
          <w:kern w:val="0"/>
          <w:sz w:val="32"/>
          <w:szCs w:val="32"/>
          <w:highlight w:val="none"/>
          <w:lang w:val="en-US" w:eastAsia="zh-CN" w:bidi="ar"/>
        </w:rPr>
        <w:t>不递补拟中选企业，不调整“锚点价”，不影响企业排名，不影响其他企业中选。</w:t>
      </w:r>
    </w:p>
    <w:p w14:paraId="7FE3BBE9">
      <w:pPr>
        <w:keepNext w:val="0"/>
        <w:keepLines w:val="0"/>
        <w:pageBreakBefore w:val="0"/>
        <w:kinsoku/>
        <w:wordWrap/>
        <w:topLinePunct w:val="0"/>
        <w:bidi w:val="0"/>
        <w:snapToGrid/>
        <w:spacing w:line="560" w:lineRule="exact"/>
        <w:ind w:firstLine="640" w:firstLineChars="200"/>
        <w:jc w:val="both"/>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同采购产品组企业申报价低于A竞价单元“锚点价格②”的中选企业，在中选结果公示期间提交《报价合理性声明》，解释具体成本构成。公示期间，未提交相关声明的，取消中选资格，并列入“违规名单”。</w:t>
      </w:r>
    </w:p>
    <w:p w14:paraId="29A96F91">
      <w:pPr>
        <w:pStyle w:val="9"/>
        <w:keepNext w:val="0"/>
        <w:keepLines w:val="0"/>
        <w:pageBreakBefore w:val="0"/>
        <w:kinsoku/>
        <w:wordWrap/>
        <w:topLinePunct w:val="0"/>
        <w:bidi w:val="0"/>
        <w:snapToGrid/>
        <w:spacing w:line="560" w:lineRule="exact"/>
        <w:ind w:firstLine="704" w:firstLineChars="200"/>
        <w:jc w:val="both"/>
        <w:rPr>
          <w:rFonts w:ascii="楷体_GB2312" w:eastAsia="楷体_GB2312"/>
          <w:bCs/>
          <w:color w:val="auto"/>
          <w:spacing w:val="16"/>
          <w:kern w:val="32"/>
          <w:sz w:val="32"/>
          <w:szCs w:val="32"/>
          <w:highlight w:val="none"/>
        </w:rPr>
      </w:pPr>
      <w:r>
        <w:rPr>
          <w:rFonts w:hint="eastAsia" w:ascii="楷体_GB2312" w:eastAsia="楷体_GB2312"/>
          <w:bCs/>
          <w:color w:val="auto"/>
          <w:spacing w:val="16"/>
          <w:kern w:val="32"/>
          <w:sz w:val="32"/>
          <w:szCs w:val="32"/>
          <w:highlight w:val="none"/>
        </w:rPr>
        <w:t>（二）中选结果公布</w:t>
      </w:r>
    </w:p>
    <w:p w14:paraId="5AC727C9">
      <w:pPr>
        <w:keepNext w:val="0"/>
        <w:keepLines w:val="0"/>
        <w:pageBreakBefore w:val="0"/>
        <w:widowControl/>
        <w:kinsoku/>
        <w:wordWrap/>
        <w:topLinePunct w:val="0"/>
        <w:bidi w:val="0"/>
        <w:snapToGrid/>
        <w:spacing w:line="560" w:lineRule="exact"/>
        <w:ind w:firstLine="640" w:firstLineChars="200"/>
        <w:jc w:val="both"/>
        <w:rPr>
          <w:rFonts w:hint="default" w:ascii="仿宋_GB2312" w:hAnsi="仿宋_GB2312" w:eastAsia="仿宋_GB2312" w:cs="仿宋_GB2312"/>
          <w:color w:val="auto"/>
          <w:kern w:val="0"/>
          <w:sz w:val="32"/>
          <w:szCs w:val="32"/>
          <w:highlight w:val="none"/>
          <w:lang w:val="en-US" w:eastAsia="zh-CN" w:bidi="ar"/>
        </w:rPr>
      </w:pPr>
      <w:r>
        <w:rPr>
          <w:rFonts w:ascii="仿宋_GB2312" w:hAnsi="宋体" w:eastAsia="仿宋_GB2312" w:cs="仿宋_GB2312"/>
          <w:color w:val="auto"/>
          <w:kern w:val="0"/>
          <w:sz w:val="32"/>
          <w:szCs w:val="32"/>
          <w:highlight w:val="none"/>
          <w:lang w:bidi="ar"/>
        </w:rPr>
        <w:t>拟中选结果公示无异议后，</w:t>
      </w:r>
      <w:r>
        <w:rPr>
          <w:rFonts w:hint="eastAsia" w:ascii="仿宋_GB2312" w:hAnsi="仿宋_GB2312" w:eastAsia="仿宋_GB2312" w:cs="仿宋_GB2312"/>
          <w:color w:val="auto"/>
          <w:kern w:val="0"/>
          <w:sz w:val="32"/>
          <w:szCs w:val="32"/>
          <w:highlight w:val="none"/>
          <w:lang w:bidi="ar"/>
        </w:rPr>
        <w:t>在</w:t>
      </w:r>
      <w:r>
        <w:rPr>
          <w:rFonts w:hint="eastAsia" w:ascii="仿宋_GB2312" w:hAnsi="宋体" w:eastAsia="仿宋_GB2312" w:cs="仿宋_GB2312"/>
          <w:color w:val="auto"/>
          <w:kern w:val="0"/>
          <w:sz w:val="32"/>
          <w:szCs w:val="32"/>
          <w:highlight w:val="none"/>
          <w:lang w:val="en-US" w:eastAsia="zh-CN" w:bidi="ar"/>
        </w:rPr>
        <w:t>新疆维吾尔自治区医疗保障局官网、新疆维吾尔自治区药品和医用耗材招采管理子系统正式</w:t>
      </w:r>
      <w:r>
        <w:rPr>
          <w:rFonts w:hint="eastAsia" w:ascii="仿宋_GB2312" w:hAnsi="宋体" w:eastAsia="仿宋_GB2312" w:cs="仿宋_GB2312"/>
          <w:color w:val="auto"/>
          <w:kern w:val="0"/>
          <w:sz w:val="32"/>
          <w:szCs w:val="32"/>
          <w:highlight w:val="none"/>
          <w:lang w:bidi="ar"/>
        </w:rPr>
        <w:t>公布中选结果。</w:t>
      </w:r>
    </w:p>
    <w:p w14:paraId="264C36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方正黑体_GBK" w:hAnsi="方正黑体_GBK" w:eastAsia="方正黑体_GBK" w:cs="方正黑体_GBK"/>
          <w:color w:val="auto"/>
          <w:kern w:val="21"/>
          <w:sz w:val="32"/>
          <w:szCs w:val="32"/>
          <w:highlight w:val="none"/>
          <w:lang w:val="en-US" w:eastAsia="zh-CN"/>
        </w:rPr>
      </w:pPr>
      <w:r>
        <w:rPr>
          <w:rFonts w:hint="eastAsia" w:ascii="方正黑体_GBK" w:hAnsi="方正黑体_GBK" w:eastAsia="方正黑体_GBK" w:cs="方正黑体_GBK"/>
          <w:color w:val="auto"/>
          <w:kern w:val="21"/>
          <w:sz w:val="32"/>
          <w:szCs w:val="32"/>
          <w:highlight w:val="none"/>
          <w:lang w:val="en-US" w:eastAsia="zh-CN"/>
        </w:rPr>
        <w:t>九、协议采购量确认</w:t>
      </w:r>
    </w:p>
    <w:p w14:paraId="10C1EC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
        </w:rPr>
      </w:pPr>
      <w:r>
        <w:rPr>
          <w:rFonts w:hint="eastAsia" w:ascii="仿宋_GB2312" w:hAnsi="仿宋_GB2312" w:eastAsia="仿宋_GB2312" w:cs="仿宋_GB2312"/>
          <w:color w:val="auto"/>
          <w:kern w:val="0"/>
          <w:sz w:val="32"/>
          <w:szCs w:val="32"/>
          <w:highlight w:val="none"/>
          <w:u w:val="none"/>
          <w:lang w:val="en-US" w:eastAsia="zh-CN" w:bidi="ar"/>
        </w:rPr>
        <w:t>（一）分两步确定各医疗机构和各中选产品的协议采购量。</w:t>
      </w:r>
    </w:p>
    <w:p w14:paraId="3FC0DDDA">
      <w:pPr>
        <w:keepNext w:val="0"/>
        <w:keepLines w:val="0"/>
        <w:pageBreakBefore w:val="0"/>
        <w:numPr>
          <w:ilvl w:val="0"/>
          <w:numId w:val="0"/>
        </w:numPr>
        <w:kinsoku/>
        <w:wordWrap/>
        <w:topLinePunct w:val="0"/>
        <w:bidi w:val="0"/>
        <w:snapToGrid/>
        <w:spacing w:line="560" w:lineRule="exact"/>
        <w:ind w:firstLine="640" w:firstLineChars="200"/>
        <w:jc w:val="both"/>
        <w:rPr>
          <w:rFonts w:hint="eastAsia" w:ascii="仿宋_GB2312" w:hAnsi="仿宋_GB2312" w:eastAsia="仿宋_GB2312" w:cs="仿宋_GB2312"/>
          <w:color w:val="auto"/>
          <w:kern w:val="0"/>
          <w:sz w:val="32"/>
          <w:szCs w:val="32"/>
          <w:highlight w:val="none"/>
          <w:u w:val="none"/>
          <w:lang w:val="en-US" w:eastAsia="zh-CN" w:bidi="ar"/>
        </w:rPr>
      </w:pPr>
      <w:r>
        <w:rPr>
          <w:rFonts w:hint="eastAsia" w:ascii="仿宋_GB2312" w:hAnsi="仿宋_GB2312" w:eastAsia="仿宋_GB2312" w:cs="仿宋_GB2312"/>
          <w:color w:val="auto"/>
          <w:kern w:val="0"/>
          <w:sz w:val="32"/>
          <w:szCs w:val="32"/>
          <w:highlight w:val="none"/>
          <w:u w:val="none"/>
          <w:lang w:val="en-US" w:eastAsia="zh-CN" w:bidi="ar"/>
        </w:rPr>
        <w:t>第一步：根据医疗机构填报的对应企业的采购需求量，将中选产品协议采购量分配给对应中选企业，竞价单元内按中选规则及中选排名，梯度分配协议采购量，如出现非整数则向上取整至个位，详见下表。</w:t>
      </w:r>
    </w:p>
    <w:tbl>
      <w:tblPr>
        <w:tblStyle w:val="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4"/>
        <w:gridCol w:w="2669"/>
        <w:gridCol w:w="1279"/>
        <w:gridCol w:w="1944"/>
        <w:gridCol w:w="1810"/>
      </w:tblGrid>
      <w:tr w14:paraId="05E2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747" w:type="pct"/>
            <w:noWrap w:val="0"/>
            <w:vAlign w:val="center"/>
          </w:tcPr>
          <w:p w14:paraId="367D3632">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黑体" w:hAnsi="黑体" w:eastAsia="黑体" w:cs="黑体"/>
                <w:color w:val="auto"/>
                <w:sz w:val="24"/>
                <w:szCs w:val="24"/>
                <w:highlight w:val="none"/>
                <w:vertAlign w:val="baseline"/>
                <w:lang w:val="en-US" w:eastAsia="zh-CN"/>
              </w:rPr>
            </w:pPr>
            <w:r>
              <w:rPr>
                <w:rFonts w:hint="eastAsia" w:ascii="黑体" w:hAnsi="黑体" w:eastAsia="黑体" w:cs="黑体"/>
                <w:color w:val="auto"/>
                <w:sz w:val="24"/>
                <w:szCs w:val="24"/>
                <w:highlight w:val="none"/>
                <w:vertAlign w:val="baseline"/>
                <w:lang w:val="en-US" w:eastAsia="zh-CN"/>
              </w:rPr>
              <w:t>竞争单元</w:t>
            </w:r>
          </w:p>
        </w:tc>
        <w:tc>
          <w:tcPr>
            <w:tcW w:w="1473" w:type="pct"/>
            <w:noWrap w:val="0"/>
            <w:vAlign w:val="center"/>
          </w:tcPr>
          <w:p w14:paraId="41773129">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黑体" w:hAnsi="黑体" w:eastAsia="黑体" w:cs="黑体"/>
                <w:color w:val="auto"/>
                <w:sz w:val="24"/>
                <w:szCs w:val="24"/>
                <w:highlight w:val="none"/>
                <w:vertAlign w:val="baseline"/>
                <w:lang w:val="en-US" w:eastAsia="zh-CN"/>
              </w:rPr>
            </w:pPr>
            <w:r>
              <w:rPr>
                <w:rFonts w:hint="eastAsia" w:ascii="黑体" w:hAnsi="黑体" w:eastAsia="黑体" w:cs="黑体"/>
                <w:color w:val="auto"/>
                <w:sz w:val="24"/>
                <w:szCs w:val="24"/>
                <w:highlight w:val="none"/>
                <w:vertAlign w:val="baseline"/>
                <w:lang w:val="en-US" w:eastAsia="zh-CN"/>
              </w:rPr>
              <w:t>中选规则</w:t>
            </w:r>
          </w:p>
        </w:tc>
        <w:tc>
          <w:tcPr>
            <w:tcW w:w="706" w:type="pct"/>
            <w:noWrap w:val="0"/>
            <w:vAlign w:val="center"/>
          </w:tcPr>
          <w:p w14:paraId="4E765317">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黑体" w:hAnsi="黑体" w:eastAsia="黑体" w:cs="黑体"/>
                <w:color w:val="auto"/>
                <w:sz w:val="24"/>
                <w:szCs w:val="24"/>
                <w:highlight w:val="none"/>
                <w:vertAlign w:val="baseline"/>
                <w:lang w:val="en-US" w:eastAsia="zh-CN"/>
              </w:rPr>
            </w:pPr>
            <w:r>
              <w:rPr>
                <w:rFonts w:hint="eastAsia" w:ascii="黑体" w:hAnsi="黑体" w:eastAsia="黑体" w:cs="黑体"/>
                <w:color w:val="auto"/>
                <w:sz w:val="24"/>
                <w:szCs w:val="24"/>
                <w:highlight w:val="none"/>
                <w:vertAlign w:val="baseline"/>
                <w:lang w:val="en-US" w:eastAsia="zh-CN"/>
              </w:rPr>
              <w:t>中选排名</w:t>
            </w:r>
          </w:p>
        </w:tc>
        <w:tc>
          <w:tcPr>
            <w:tcW w:w="1073" w:type="pct"/>
            <w:noWrap w:val="0"/>
            <w:vAlign w:val="center"/>
          </w:tcPr>
          <w:p w14:paraId="308F375F">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黑体" w:hAnsi="黑体" w:eastAsia="黑体" w:cs="黑体"/>
                <w:color w:val="auto"/>
                <w:sz w:val="24"/>
                <w:szCs w:val="24"/>
                <w:highlight w:val="none"/>
                <w:vertAlign w:val="baseline"/>
                <w:lang w:val="en-US" w:eastAsia="zh-CN" w:bidi="ar-SA"/>
              </w:rPr>
            </w:pPr>
            <w:r>
              <w:rPr>
                <w:rFonts w:hint="eastAsia" w:ascii="黑体" w:hAnsi="黑体" w:eastAsia="黑体" w:cs="黑体"/>
                <w:color w:val="auto"/>
                <w:sz w:val="24"/>
                <w:szCs w:val="24"/>
                <w:highlight w:val="none"/>
                <w:vertAlign w:val="baseline"/>
                <w:lang w:val="en-US" w:eastAsia="zh-CN" w:bidi="ar-SA"/>
              </w:rPr>
              <w:t>分配协议采购量占医疗机构对应企业需求量比例</w:t>
            </w:r>
          </w:p>
        </w:tc>
        <w:tc>
          <w:tcPr>
            <w:tcW w:w="999" w:type="pct"/>
            <w:noWrap w:val="0"/>
            <w:vAlign w:val="center"/>
          </w:tcPr>
          <w:p w14:paraId="2047C3B6">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黑体" w:hAnsi="黑体" w:eastAsia="黑体" w:cs="黑体"/>
                <w:color w:val="auto"/>
                <w:sz w:val="24"/>
                <w:szCs w:val="24"/>
                <w:highlight w:val="none"/>
                <w:vertAlign w:val="baseline"/>
                <w:lang w:val="en-US" w:eastAsia="zh-CN" w:bidi="ar-SA"/>
              </w:rPr>
            </w:pPr>
            <w:r>
              <w:rPr>
                <w:rFonts w:hint="eastAsia" w:ascii="黑体" w:hAnsi="黑体" w:eastAsia="黑体" w:cs="黑体"/>
                <w:color w:val="auto"/>
                <w:sz w:val="24"/>
                <w:szCs w:val="24"/>
                <w:highlight w:val="none"/>
                <w:vertAlign w:val="baseline"/>
                <w:lang w:val="en-US" w:eastAsia="zh-CN"/>
              </w:rPr>
              <w:t>待分配量占医疗机构对应企业需求量比例</w:t>
            </w:r>
          </w:p>
        </w:tc>
      </w:tr>
      <w:tr w14:paraId="04B5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restart"/>
            <w:noWrap w:val="0"/>
            <w:vAlign w:val="center"/>
          </w:tcPr>
          <w:p w14:paraId="1B2E20AB">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非竞争不充分单元</w:t>
            </w:r>
          </w:p>
        </w:tc>
        <w:tc>
          <w:tcPr>
            <w:tcW w:w="1473" w:type="pct"/>
            <w:vMerge w:val="restart"/>
            <w:noWrap w:val="0"/>
            <w:vAlign w:val="center"/>
          </w:tcPr>
          <w:p w14:paraId="61DD7C19">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按规则一中选</w:t>
            </w:r>
          </w:p>
        </w:tc>
        <w:tc>
          <w:tcPr>
            <w:tcW w:w="706" w:type="pct"/>
            <w:noWrap w:val="0"/>
            <w:vAlign w:val="center"/>
          </w:tcPr>
          <w:p w14:paraId="7A9E46CF">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w:t>
            </w:r>
          </w:p>
        </w:tc>
        <w:tc>
          <w:tcPr>
            <w:tcW w:w="1073" w:type="pct"/>
            <w:noWrap w:val="0"/>
            <w:vAlign w:val="center"/>
          </w:tcPr>
          <w:p w14:paraId="3EAA5D5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100%</w:t>
            </w:r>
          </w:p>
        </w:tc>
        <w:tc>
          <w:tcPr>
            <w:tcW w:w="999" w:type="pct"/>
            <w:noWrap w:val="0"/>
            <w:vAlign w:val="center"/>
          </w:tcPr>
          <w:p w14:paraId="45B84B16">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w:t>
            </w:r>
          </w:p>
        </w:tc>
      </w:tr>
      <w:tr w14:paraId="077D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71E612DB">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vMerge w:val="continue"/>
            <w:noWrap w:val="0"/>
            <w:vAlign w:val="center"/>
          </w:tcPr>
          <w:p w14:paraId="24B10E6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706" w:type="pct"/>
            <w:shd w:val="clear" w:color="auto" w:fill="auto"/>
            <w:noWrap w:val="0"/>
            <w:vAlign w:val="center"/>
          </w:tcPr>
          <w:p w14:paraId="00F7FC4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2</w:t>
            </w:r>
          </w:p>
        </w:tc>
        <w:tc>
          <w:tcPr>
            <w:tcW w:w="1073" w:type="pct"/>
            <w:shd w:val="clear" w:color="auto" w:fill="auto"/>
            <w:noWrap w:val="0"/>
            <w:vAlign w:val="center"/>
          </w:tcPr>
          <w:p w14:paraId="55D6D8A9">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90%</w:t>
            </w:r>
          </w:p>
        </w:tc>
        <w:tc>
          <w:tcPr>
            <w:tcW w:w="999" w:type="pct"/>
            <w:shd w:val="clear" w:color="auto" w:fill="auto"/>
            <w:noWrap w:val="0"/>
            <w:vAlign w:val="center"/>
          </w:tcPr>
          <w:p w14:paraId="3F33C3B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w:t>
            </w:r>
          </w:p>
        </w:tc>
      </w:tr>
      <w:tr w14:paraId="4D55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17BFE87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vMerge w:val="continue"/>
            <w:noWrap w:val="0"/>
            <w:vAlign w:val="center"/>
          </w:tcPr>
          <w:p w14:paraId="33189E9F">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706" w:type="pct"/>
            <w:shd w:val="clear" w:color="auto" w:fill="auto"/>
            <w:noWrap w:val="0"/>
            <w:vAlign w:val="center"/>
          </w:tcPr>
          <w:p w14:paraId="2FF2E8C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3</w:t>
            </w:r>
          </w:p>
        </w:tc>
        <w:tc>
          <w:tcPr>
            <w:tcW w:w="1073" w:type="pct"/>
            <w:shd w:val="clear" w:color="auto" w:fill="auto"/>
            <w:noWrap w:val="0"/>
            <w:vAlign w:val="center"/>
          </w:tcPr>
          <w:p w14:paraId="62D5555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80%</w:t>
            </w:r>
          </w:p>
        </w:tc>
        <w:tc>
          <w:tcPr>
            <w:tcW w:w="999" w:type="pct"/>
            <w:shd w:val="clear" w:color="auto" w:fill="auto"/>
            <w:noWrap w:val="0"/>
            <w:vAlign w:val="center"/>
          </w:tcPr>
          <w:p w14:paraId="284C834B">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w:t>
            </w:r>
          </w:p>
        </w:tc>
      </w:tr>
      <w:tr w14:paraId="379C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779D503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vMerge w:val="continue"/>
            <w:noWrap w:val="0"/>
            <w:vAlign w:val="center"/>
          </w:tcPr>
          <w:p w14:paraId="3178006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706" w:type="pct"/>
            <w:shd w:val="clear" w:color="auto" w:fill="auto"/>
            <w:noWrap w:val="0"/>
            <w:vAlign w:val="center"/>
          </w:tcPr>
          <w:p w14:paraId="3BA2642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bidi="ar-SA"/>
              </w:rPr>
            </w:pPr>
            <w:r>
              <w:rPr>
                <w:rFonts w:hint="default"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auto"/>
                <w:sz w:val="24"/>
                <w:szCs w:val="24"/>
                <w:highlight w:val="none"/>
                <w:vertAlign w:val="baseline"/>
                <w:lang w:val="en-US" w:eastAsia="zh-CN"/>
              </w:rPr>
              <w:t>4</w:t>
            </w:r>
          </w:p>
        </w:tc>
        <w:tc>
          <w:tcPr>
            <w:tcW w:w="1073" w:type="pct"/>
            <w:shd w:val="clear" w:color="auto" w:fill="auto"/>
            <w:noWrap w:val="0"/>
            <w:vAlign w:val="center"/>
          </w:tcPr>
          <w:p w14:paraId="0FE716D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70%</w:t>
            </w:r>
          </w:p>
        </w:tc>
        <w:tc>
          <w:tcPr>
            <w:tcW w:w="999" w:type="pct"/>
            <w:shd w:val="clear" w:color="auto" w:fill="auto"/>
            <w:noWrap w:val="0"/>
            <w:vAlign w:val="center"/>
          </w:tcPr>
          <w:p w14:paraId="5AED3152">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10%</w:t>
            </w:r>
          </w:p>
        </w:tc>
      </w:tr>
      <w:tr w14:paraId="3A58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6B8A414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noWrap w:val="0"/>
            <w:vAlign w:val="center"/>
          </w:tcPr>
          <w:p w14:paraId="5B57773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按规则二中选</w:t>
            </w:r>
          </w:p>
          <w:p w14:paraId="1CD9F919">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（入围）</w:t>
            </w:r>
          </w:p>
        </w:tc>
        <w:tc>
          <w:tcPr>
            <w:tcW w:w="706" w:type="pct"/>
            <w:shd w:val="clear" w:color="auto" w:fill="auto"/>
            <w:noWrap w:val="0"/>
            <w:vAlign w:val="center"/>
          </w:tcPr>
          <w:p w14:paraId="28746CD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w:t>
            </w:r>
          </w:p>
        </w:tc>
        <w:tc>
          <w:tcPr>
            <w:tcW w:w="1073" w:type="pct"/>
            <w:shd w:val="clear" w:color="auto" w:fill="auto"/>
            <w:noWrap w:val="0"/>
            <w:vAlign w:val="center"/>
          </w:tcPr>
          <w:p w14:paraId="3CCE270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60%</w:t>
            </w:r>
          </w:p>
        </w:tc>
        <w:tc>
          <w:tcPr>
            <w:tcW w:w="999" w:type="pct"/>
            <w:shd w:val="clear" w:color="auto" w:fill="auto"/>
            <w:noWrap w:val="0"/>
            <w:vAlign w:val="center"/>
          </w:tcPr>
          <w:p w14:paraId="501B7D7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20%</w:t>
            </w:r>
          </w:p>
        </w:tc>
      </w:tr>
      <w:tr w14:paraId="4F6B7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315535B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noWrap w:val="0"/>
            <w:vAlign w:val="center"/>
          </w:tcPr>
          <w:p w14:paraId="28EC4EA6">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按规则二中选</w:t>
            </w:r>
          </w:p>
          <w:p w14:paraId="61B9316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（未入围）</w:t>
            </w:r>
          </w:p>
        </w:tc>
        <w:tc>
          <w:tcPr>
            <w:tcW w:w="706" w:type="pct"/>
            <w:shd w:val="clear" w:color="auto" w:fill="auto"/>
            <w:noWrap w:val="0"/>
            <w:vAlign w:val="center"/>
          </w:tcPr>
          <w:p w14:paraId="4D95B1C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w:t>
            </w:r>
          </w:p>
        </w:tc>
        <w:tc>
          <w:tcPr>
            <w:tcW w:w="1073" w:type="pct"/>
            <w:shd w:val="clear" w:color="auto" w:fill="auto"/>
            <w:noWrap w:val="0"/>
            <w:vAlign w:val="center"/>
          </w:tcPr>
          <w:p w14:paraId="5062089F">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30%</w:t>
            </w:r>
          </w:p>
        </w:tc>
        <w:tc>
          <w:tcPr>
            <w:tcW w:w="999" w:type="pct"/>
            <w:shd w:val="clear" w:color="auto" w:fill="auto"/>
            <w:noWrap w:val="0"/>
            <w:vAlign w:val="center"/>
          </w:tcPr>
          <w:p w14:paraId="720E13C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50%</w:t>
            </w:r>
          </w:p>
        </w:tc>
      </w:tr>
      <w:tr w14:paraId="5BF2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09C091BB">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noWrap w:val="0"/>
            <w:vAlign w:val="center"/>
          </w:tcPr>
          <w:p w14:paraId="346C63B8">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按规则一中选</w:t>
            </w:r>
          </w:p>
          <w:p w14:paraId="710F800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（产品报价低于A竞价单元</w:t>
            </w:r>
            <w:r>
              <w:rPr>
                <w:rFonts w:hint="eastAsia" w:ascii="仿宋_GB2312" w:hAnsi="仿宋_GB2312" w:eastAsia="仿宋_GB2312" w:cs="仿宋_GB2312"/>
                <w:color w:val="auto"/>
                <w:kern w:val="0"/>
                <w:sz w:val="24"/>
                <w:szCs w:val="24"/>
                <w:highlight w:val="none"/>
                <w:lang w:val="en-US" w:eastAsia="zh-CN" w:bidi="ar"/>
              </w:rPr>
              <w:t>“锚点价格②</w:t>
            </w:r>
            <w:r>
              <w:rPr>
                <w:rFonts w:hint="eastAsia" w:ascii="仿宋_GB2312" w:hAnsi="仿宋_GB2312" w:eastAsia="仿宋_GB2312" w:cs="仿宋_GB2312"/>
                <w:color w:val="auto"/>
                <w:sz w:val="24"/>
                <w:szCs w:val="24"/>
                <w:highlight w:val="none"/>
                <w:vertAlign w:val="baseline"/>
                <w:lang w:val="en-US" w:eastAsia="zh-CN"/>
              </w:rPr>
              <w:t>”）</w:t>
            </w:r>
          </w:p>
        </w:tc>
        <w:tc>
          <w:tcPr>
            <w:tcW w:w="706" w:type="pct"/>
            <w:noWrap w:val="0"/>
            <w:vAlign w:val="center"/>
          </w:tcPr>
          <w:p w14:paraId="4E03B00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w:t>
            </w:r>
          </w:p>
        </w:tc>
        <w:tc>
          <w:tcPr>
            <w:tcW w:w="1073" w:type="pct"/>
            <w:shd w:val="clear" w:color="auto" w:fill="auto"/>
            <w:noWrap w:val="0"/>
            <w:vAlign w:val="center"/>
          </w:tcPr>
          <w:p w14:paraId="465760E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0%</w:t>
            </w:r>
          </w:p>
        </w:tc>
        <w:tc>
          <w:tcPr>
            <w:tcW w:w="999" w:type="pct"/>
            <w:shd w:val="clear" w:color="auto" w:fill="auto"/>
            <w:noWrap w:val="0"/>
            <w:vAlign w:val="center"/>
          </w:tcPr>
          <w:p w14:paraId="3596CFF7">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80%</w:t>
            </w:r>
          </w:p>
        </w:tc>
      </w:tr>
      <w:tr w14:paraId="6E18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1CF83A28">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noWrap w:val="0"/>
            <w:vAlign w:val="center"/>
          </w:tcPr>
          <w:p w14:paraId="5017C902">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按规则三中选</w:t>
            </w:r>
          </w:p>
        </w:tc>
        <w:tc>
          <w:tcPr>
            <w:tcW w:w="706" w:type="pct"/>
            <w:noWrap w:val="0"/>
            <w:vAlign w:val="center"/>
          </w:tcPr>
          <w:p w14:paraId="43293E0F">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w:t>
            </w:r>
          </w:p>
        </w:tc>
        <w:tc>
          <w:tcPr>
            <w:tcW w:w="1073" w:type="pct"/>
            <w:noWrap w:val="0"/>
            <w:vAlign w:val="center"/>
          </w:tcPr>
          <w:p w14:paraId="0A7793E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0%</w:t>
            </w:r>
          </w:p>
        </w:tc>
        <w:tc>
          <w:tcPr>
            <w:tcW w:w="999" w:type="pct"/>
            <w:noWrap w:val="0"/>
            <w:vAlign w:val="center"/>
          </w:tcPr>
          <w:p w14:paraId="5EE5B90B">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80%</w:t>
            </w:r>
          </w:p>
        </w:tc>
      </w:tr>
      <w:tr w14:paraId="7DF7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restart"/>
            <w:noWrap w:val="0"/>
            <w:vAlign w:val="center"/>
          </w:tcPr>
          <w:p w14:paraId="55FE083D">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竞争不充分单元</w:t>
            </w:r>
          </w:p>
        </w:tc>
        <w:tc>
          <w:tcPr>
            <w:tcW w:w="1473" w:type="pct"/>
            <w:vMerge w:val="restart"/>
            <w:noWrap w:val="0"/>
            <w:vAlign w:val="center"/>
          </w:tcPr>
          <w:p w14:paraId="31223167">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按规则一中选</w:t>
            </w:r>
          </w:p>
        </w:tc>
        <w:tc>
          <w:tcPr>
            <w:tcW w:w="706" w:type="pct"/>
            <w:shd w:val="clear" w:color="auto" w:fill="auto"/>
            <w:noWrap w:val="0"/>
            <w:vAlign w:val="center"/>
          </w:tcPr>
          <w:p w14:paraId="13157FA7">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1</w:t>
            </w:r>
          </w:p>
        </w:tc>
        <w:tc>
          <w:tcPr>
            <w:tcW w:w="1073" w:type="pct"/>
            <w:noWrap w:val="0"/>
            <w:vAlign w:val="center"/>
          </w:tcPr>
          <w:p w14:paraId="461BE96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80%</w:t>
            </w:r>
          </w:p>
        </w:tc>
        <w:tc>
          <w:tcPr>
            <w:tcW w:w="999" w:type="pct"/>
            <w:noWrap w:val="0"/>
            <w:vAlign w:val="center"/>
          </w:tcPr>
          <w:p w14:paraId="4D8EDDFD">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w:t>
            </w:r>
          </w:p>
        </w:tc>
      </w:tr>
      <w:tr w14:paraId="7337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0F391ED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vMerge w:val="continue"/>
            <w:noWrap w:val="0"/>
            <w:vAlign w:val="center"/>
          </w:tcPr>
          <w:p w14:paraId="66152BE5">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706" w:type="pct"/>
            <w:shd w:val="clear" w:color="auto" w:fill="auto"/>
            <w:noWrap w:val="0"/>
            <w:vAlign w:val="center"/>
          </w:tcPr>
          <w:p w14:paraId="2485800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2、3</w:t>
            </w:r>
          </w:p>
        </w:tc>
        <w:tc>
          <w:tcPr>
            <w:tcW w:w="1073" w:type="pct"/>
            <w:noWrap w:val="0"/>
            <w:vAlign w:val="center"/>
          </w:tcPr>
          <w:p w14:paraId="7EB2916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70%</w:t>
            </w:r>
          </w:p>
        </w:tc>
        <w:tc>
          <w:tcPr>
            <w:tcW w:w="999" w:type="pct"/>
            <w:noWrap w:val="0"/>
            <w:vAlign w:val="center"/>
          </w:tcPr>
          <w:p w14:paraId="3003205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10%</w:t>
            </w:r>
          </w:p>
        </w:tc>
      </w:tr>
      <w:tr w14:paraId="60DD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7814213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noWrap w:val="0"/>
            <w:vAlign w:val="center"/>
          </w:tcPr>
          <w:p w14:paraId="3A41FC1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按规则二中选</w:t>
            </w:r>
          </w:p>
          <w:p w14:paraId="3EBE6C2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（入围）</w:t>
            </w:r>
          </w:p>
        </w:tc>
        <w:tc>
          <w:tcPr>
            <w:tcW w:w="706" w:type="pct"/>
            <w:noWrap w:val="0"/>
            <w:vAlign w:val="center"/>
          </w:tcPr>
          <w:p w14:paraId="23B1152D">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w:t>
            </w:r>
          </w:p>
        </w:tc>
        <w:tc>
          <w:tcPr>
            <w:tcW w:w="1073" w:type="pct"/>
            <w:noWrap w:val="0"/>
            <w:vAlign w:val="center"/>
          </w:tcPr>
          <w:p w14:paraId="4D030B5B">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60%</w:t>
            </w:r>
          </w:p>
        </w:tc>
        <w:tc>
          <w:tcPr>
            <w:tcW w:w="999" w:type="pct"/>
            <w:noWrap w:val="0"/>
            <w:vAlign w:val="center"/>
          </w:tcPr>
          <w:p w14:paraId="5AFD3289">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20%</w:t>
            </w:r>
          </w:p>
        </w:tc>
      </w:tr>
      <w:tr w14:paraId="56FF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562EA3D2">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shd w:val="clear" w:color="auto" w:fill="auto"/>
            <w:noWrap w:val="0"/>
            <w:vAlign w:val="center"/>
          </w:tcPr>
          <w:p w14:paraId="02540C0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按规则二中选</w:t>
            </w:r>
          </w:p>
          <w:p w14:paraId="38C4859D">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（未入围）</w:t>
            </w:r>
          </w:p>
        </w:tc>
        <w:tc>
          <w:tcPr>
            <w:tcW w:w="706" w:type="pct"/>
            <w:shd w:val="clear" w:color="auto" w:fill="auto"/>
            <w:noWrap w:val="0"/>
            <w:vAlign w:val="center"/>
          </w:tcPr>
          <w:p w14:paraId="4EF8C504">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w:t>
            </w:r>
          </w:p>
        </w:tc>
        <w:tc>
          <w:tcPr>
            <w:tcW w:w="1073" w:type="pct"/>
            <w:shd w:val="clear" w:color="auto" w:fill="auto"/>
            <w:noWrap w:val="0"/>
            <w:vAlign w:val="center"/>
          </w:tcPr>
          <w:p w14:paraId="1D3906E3">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30%</w:t>
            </w:r>
          </w:p>
        </w:tc>
        <w:tc>
          <w:tcPr>
            <w:tcW w:w="999" w:type="pct"/>
            <w:shd w:val="clear" w:color="auto" w:fill="auto"/>
            <w:noWrap w:val="0"/>
            <w:vAlign w:val="center"/>
          </w:tcPr>
          <w:p w14:paraId="57B3B12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50%</w:t>
            </w:r>
          </w:p>
        </w:tc>
      </w:tr>
      <w:tr w14:paraId="5965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2B96A81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shd w:val="clear" w:color="auto" w:fill="auto"/>
            <w:noWrap w:val="0"/>
            <w:vAlign w:val="center"/>
          </w:tcPr>
          <w:p w14:paraId="0C37AD1C">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按规则一中选</w:t>
            </w:r>
          </w:p>
          <w:p w14:paraId="3A8388B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（产品报价低于A竞价单元</w:t>
            </w:r>
            <w:r>
              <w:rPr>
                <w:rFonts w:hint="eastAsia" w:ascii="仿宋_GB2312" w:hAnsi="仿宋_GB2312" w:eastAsia="仿宋_GB2312" w:cs="仿宋_GB2312"/>
                <w:color w:val="auto"/>
                <w:kern w:val="0"/>
                <w:sz w:val="24"/>
                <w:szCs w:val="24"/>
                <w:highlight w:val="none"/>
                <w:lang w:val="en-US" w:eastAsia="zh-CN" w:bidi="ar"/>
              </w:rPr>
              <w:t>“锚点价格②</w:t>
            </w:r>
            <w:r>
              <w:rPr>
                <w:rFonts w:hint="eastAsia" w:ascii="仿宋_GB2312" w:hAnsi="仿宋_GB2312" w:eastAsia="仿宋_GB2312" w:cs="仿宋_GB2312"/>
                <w:color w:val="auto"/>
                <w:sz w:val="24"/>
                <w:szCs w:val="24"/>
                <w:highlight w:val="none"/>
                <w:vertAlign w:val="baseline"/>
                <w:lang w:val="en-US" w:eastAsia="zh-CN"/>
              </w:rPr>
              <w:t>”）</w:t>
            </w:r>
          </w:p>
        </w:tc>
        <w:tc>
          <w:tcPr>
            <w:tcW w:w="706" w:type="pct"/>
            <w:shd w:val="clear" w:color="auto" w:fill="auto"/>
            <w:noWrap w:val="0"/>
            <w:vAlign w:val="center"/>
          </w:tcPr>
          <w:p w14:paraId="7405457A">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w:t>
            </w:r>
          </w:p>
        </w:tc>
        <w:tc>
          <w:tcPr>
            <w:tcW w:w="1073" w:type="pct"/>
            <w:shd w:val="clear" w:color="auto" w:fill="auto"/>
            <w:noWrap w:val="0"/>
            <w:vAlign w:val="center"/>
          </w:tcPr>
          <w:p w14:paraId="6493F9D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0%</w:t>
            </w:r>
          </w:p>
        </w:tc>
        <w:tc>
          <w:tcPr>
            <w:tcW w:w="999" w:type="pct"/>
            <w:shd w:val="clear" w:color="auto" w:fill="auto"/>
            <w:noWrap w:val="0"/>
            <w:vAlign w:val="center"/>
          </w:tcPr>
          <w:p w14:paraId="0F5EA91E">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80%</w:t>
            </w:r>
          </w:p>
        </w:tc>
      </w:tr>
      <w:tr w14:paraId="26BA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7" w:type="pct"/>
            <w:vMerge w:val="continue"/>
            <w:noWrap w:val="0"/>
            <w:vAlign w:val="center"/>
          </w:tcPr>
          <w:p w14:paraId="2BF2B981">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p>
        </w:tc>
        <w:tc>
          <w:tcPr>
            <w:tcW w:w="1473" w:type="pct"/>
            <w:noWrap w:val="0"/>
            <w:vAlign w:val="center"/>
          </w:tcPr>
          <w:p w14:paraId="7B42DDE0">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按规则三中选</w:t>
            </w:r>
          </w:p>
        </w:tc>
        <w:tc>
          <w:tcPr>
            <w:tcW w:w="706" w:type="pct"/>
            <w:noWrap w:val="0"/>
            <w:vAlign w:val="center"/>
          </w:tcPr>
          <w:p w14:paraId="6F3903D6">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w:t>
            </w:r>
          </w:p>
        </w:tc>
        <w:tc>
          <w:tcPr>
            <w:tcW w:w="1073" w:type="pct"/>
            <w:noWrap w:val="0"/>
            <w:vAlign w:val="center"/>
          </w:tcPr>
          <w:p w14:paraId="17C7F7BD">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0%</w:t>
            </w:r>
          </w:p>
        </w:tc>
        <w:tc>
          <w:tcPr>
            <w:tcW w:w="999" w:type="pct"/>
            <w:noWrap w:val="0"/>
            <w:vAlign w:val="center"/>
          </w:tcPr>
          <w:p w14:paraId="41B744B9">
            <w:pPr>
              <w:pStyle w:val="8"/>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80%</w:t>
            </w:r>
          </w:p>
        </w:tc>
      </w:tr>
    </w:tbl>
    <w:p w14:paraId="1B77A6FA">
      <w:pPr>
        <w:keepNext w:val="0"/>
        <w:keepLines w:val="0"/>
        <w:pageBreakBefore w:val="0"/>
        <w:numPr>
          <w:ilvl w:val="0"/>
          <w:numId w:val="0"/>
        </w:numPr>
        <w:kinsoku/>
        <w:wordWrap/>
        <w:topLinePunct w:val="0"/>
        <w:bidi w:val="0"/>
        <w:snapToGrid/>
        <w:spacing w:line="560" w:lineRule="exact"/>
        <w:ind w:firstLine="640"/>
        <w:jc w:val="both"/>
        <w:rPr>
          <w:rFonts w:hint="eastAsia" w:ascii="仿宋_GB2312" w:hAnsi="仿宋_GB2312" w:eastAsia="仿宋_GB2312" w:cs="仿宋_GB2312"/>
          <w:color w:val="auto"/>
          <w:sz w:val="32"/>
          <w:szCs w:val="32"/>
          <w:highlight w:val="none"/>
          <w:lang w:val="en-US" w:eastAsia="zh-CN" w:bidi="ar"/>
        </w:rPr>
      </w:pPr>
      <w:r>
        <w:rPr>
          <w:rFonts w:hint="eastAsia" w:ascii="仿宋_GB2312" w:hAnsi="仿宋_GB2312" w:eastAsia="仿宋_GB2312" w:cs="仿宋_GB2312"/>
          <w:color w:val="auto"/>
          <w:kern w:val="0"/>
          <w:sz w:val="32"/>
          <w:szCs w:val="32"/>
          <w:highlight w:val="none"/>
          <w:u w:val="none"/>
          <w:lang w:val="en-US" w:eastAsia="zh-CN" w:bidi="ar"/>
        </w:rPr>
        <w:t>第二步：</w:t>
      </w:r>
      <w:r>
        <w:rPr>
          <w:rFonts w:hint="eastAsia" w:ascii="仿宋_GB2312" w:hAnsi="仿宋_GB2312" w:eastAsia="仿宋_GB2312" w:cs="仿宋_GB2312"/>
          <w:color w:val="auto"/>
          <w:sz w:val="32"/>
          <w:szCs w:val="32"/>
          <w:highlight w:val="none"/>
          <w:lang w:bidi="ar"/>
        </w:rPr>
        <w:t>医疗机构报量但</w:t>
      </w:r>
      <w:r>
        <w:rPr>
          <w:rFonts w:hint="eastAsia" w:ascii="仿宋_GB2312" w:hAnsi="仿宋_GB2312" w:eastAsia="仿宋_GB2312" w:cs="仿宋_GB2312"/>
          <w:color w:val="auto"/>
          <w:sz w:val="32"/>
          <w:szCs w:val="32"/>
          <w:highlight w:val="none"/>
          <w:lang w:val="en-US" w:eastAsia="zh-CN" w:bidi="ar"/>
        </w:rPr>
        <w:t>非</w:t>
      </w:r>
      <w:r>
        <w:rPr>
          <w:rFonts w:hint="eastAsia" w:ascii="仿宋_GB2312" w:hAnsi="仿宋_GB2312" w:eastAsia="仿宋_GB2312" w:cs="仿宋_GB2312"/>
          <w:color w:val="auto"/>
          <w:sz w:val="32"/>
          <w:szCs w:val="32"/>
          <w:highlight w:val="none"/>
          <w:lang w:bidi="ar"/>
        </w:rPr>
        <w:t>中选产品需求量的</w:t>
      </w:r>
      <w:r>
        <w:rPr>
          <w:rFonts w:hint="eastAsia" w:ascii="仿宋_GB2312" w:hAnsi="仿宋_GB2312" w:eastAsia="仿宋_GB2312" w:cs="仿宋_GB2312"/>
          <w:color w:val="auto"/>
          <w:sz w:val="32"/>
          <w:szCs w:val="32"/>
          <w:highlight w:val="none"/>
          <w:lang w:val="en-US" w:eastAsia="zh-CN" w:bidi="ar"/>
        </w:rPr>
        <w:t>8</w:t>
      </w:r>
      <w:r>
        <w:rPr>
          <w:rFonts w:hint="eastAsia" w:ascii="仿宋_GB2312" w:hAnsi="仿宋_GB2312" w:eastAsia="仿宋_GB2312" w:cs="仿宋_GB2312"/>
          <w:color w:val="auto"/>
          <w:sz w:val="32"/>
          <w:szCs w:val="32"/>
          <w:highlight w:val="none"/>
          <w:lang w:bidi="ar"/>
        </w:rPr>
        <w:t>0%</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val="en-US" w:eastAsia="zh-CN" w:bidi="ar"/>
        </w:rPr>
        <w:t>如出现</w:t>
      </w:r>
      <w:r>
        <w:rPr>
          <w:rFonts w:hint="eastAsia" w:ascii="仿宋_GB2312" w:hAnsi="仿宋_GB2312" w:eastAsia="仿宋_GB2312" w:cs="仿宋_GB2312"/>
          <w:color w:val="auto"/>
          <w:kern w:val="0"/>
          <w:sz w:val="32"/>
          <w:szCs w:val="32"/>
          <w:highlight w:val="none"/>
          <w:u w:val="none"/>
          <w:lang w:val="en-US" w:eastAsia="zh-CN" w:bidi="ar"/>
        </w:rPr>
        <w:t>非整数则向上取整至个位，下同</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val="en-US" w:eastAsia="zh-CN" w:bidi="ar"/>
        </w:rPr>
        <w:t>医疗机构报量但企业未申报产品需求量的80%</w:t>
      </w:r>
      <w:r>
        <w:rPr>
          <w:rFonts w:hint="eastAsia" w:ascii="仿宋_GB2312" w:hAnsi="仿宋_GB2312" w:eastAsia="仿宋_GB2312" w:cs="仿宋_GB2312"/>
          <w:color w:val="auto"/>
          <w:sz w:val="32"/>
          <w:szCs w:val="32"/>
          <w:highlight w:val="none"/>
          <w:lang w:bidi="ar"/>
        </w:rPr>
        <w:t>以及中选产品的</w:t>
      </w:r>
      <w:r>
        <w:rPr>
          <w:rFonts w:hint="eastAsia" w:ascii="仿宋_GB2312" w:hAnsi="仿宋_GB2312" w:eastAsia="仿宋_GB2312" w:cs="仿宋_GB2312"/>
          <w:color w:val="auto"/>
          <w:sz w:val="32"/>
          <w:szCs w:val="32"/>
          <w:highlight w:val="none"/>
          <w:lang w:val="en-US" w:eastAsia="zh-CN" w:bidi="ar"/>
        </w:rPr>
        <w:t>待</w:t>
      </w:r>
      <w:r>
        <w:rPr>
          <w:rFonts w:hint="eastAsia" w:ascii="仿宋_GB2312" w:hAnsi="仿宋_GB2312" w:eastAsia="仿宋_GB2312" w:cs="仿宋_GB2312"/>
          <w:color w:val="auto"/>
          <w:sz w:val="32"/>
          <w:szCs w:val="32"/>
          <w:highlight w:val="none"/>
          <w:lang w:bidi="ar"/>
        </w:rPr>
        <w:t>分配量共同组成剩余量，由医疗机构</w:t>
      </w:r>
      <w:r>
        <w:rPr>
          <w:rFonts w:hint="eastAsia" w:ascii="仿宋_GB2312" w:hAnsi="仿宋_GB2312" w:eastAsia="仿宋_GB2312" w:cs="仿宋_GB2312"/>
          <w:color w:val="auto"/>
          <w:sz w:val="32"/>
          <w:szCs w:val="32"/>
          <w:highlight w:val="none"/>
          <w:lang w:val="en-US" w:eastAsia="zh-CN" w:bidi="ar"/>
        </w:rPr>
        <w:t>根据临床需求自主分配给中选企业，产品报价低于A竞价单元“锚点价格②”、规则二（未入围）、规则三中选的企业除外。</w:t>
      </w:r>
    </w:p>
    <w:p w14:paraId="55DAF30E">
      <w:pPr>
        <w:keepNext w:val="0"/>
        <w:keepLines w:val="0"/>
        <w:pageBreakBefore w:val="0"/>
        <w:numPr>
          <w:ilvl w:val="0"/>
          <w:numId w:val="0"/>
        </w:numPr>
        <w:kinsoku/>
        <w:wordWrap/>
        <w:topLinePunct w:val="0"/>
        <w:bidi w:val="0"/>
        <w:snapToGrid/>
        <w:spacing w:line="560" w:lineRule="exact"/>
        <w:ind w:firstLine="640" w:firstLineChars="200"/>
        <w:jc w:val="both"/>
        <w:rPr>
          <w:rFonts w:hint="eastAsia" w:ascii="仿宋_GB2312" w:hAnsi="仿宋_GB2312" w:eastAsia="仿宋_GB2312" w:cs="仿宋_GB2312"/>
          <w:color w:val="auto"/>
          <w:sz w:val="32"/>
          <w:szCs w:val="32"/>
          <w:highlight w:val="none"/>
          <w:lang w:val="en-US" w:eastAsia="zh-CN" w:bidi="ar"/>
        </w:rPr>
      </w:pPr>
      <w:r>
        <w:rPr>
          <w:rFonts w:hint="eastAsia" w:ascii="仿宋_GB2312" w:hAnsi="仿宋_GB2312" w:eastAsia="仿宋_GB2312" w:cs="仿宋_GB2312"/>
          <w:color w:val="auto"/>
          <w:sz w:val="32"/>
          <w:szCs w:val="32"/>
          <w:highlight w:val="none"/>
          <w:lang w:val="en-US" w:eastAsia="zh-CN" w:bidi="ar"/>
        </w:rPr>
        <w:t>（二）各采购产品组分配剩余量时，医疗机构按首年采购需求量由低到高排名，首年采购需求量占比达到2%（含）时，可自主分配给任意中选企业。</w:t>
      </w:r>
    </w:p>
    <w:p w14:paraId="32EC55C7">
      <w:pPr>
        <w:keepNext w:val="0"/>
        <w:keepLines w:val="0"/>
        <w:pageBreakBefore w:val="0"/>
        <w:numPr>
          <w:ilvl w:val="0"/>
          <w:numId w:val="0"/>
        </w:numPr>
        <w:kinsoku/>
        <w:wordWrap/>
        <w:topLinePunct w:val="0"/>
        <w:bidi w:val="0"/>
        <w:snapToGrid/>
        <w:spacing w:line="560" w:lineRule="exact"/>
        <w:jc w:val="both"/>
        <w:rPr>
          <w:rFonts w:hint="default" w:ascii="仿宋_GB2312" w:hAnsi="仿宋_GB2312" w:eastAsia="仿宋_GB2312" w:cs="仿宋_GB2312"/>
          <w:color w:val="auto"/>
          <w:sz w:val="32"/>
          <w:szCs w:val="32"/>
          <w:highlight w:val="none"/>
          <w:lang w:val="en-US" w:eastAsia="zh-CN" w:bidi="ar"/>
        </w:rPr>
      </w:pPr>
      <w:r>
        <w:rPr>
          <w:rFonts w:hint="eastAsia" w:ascii="仿宋_GB2312" w:hAnsi="仿宋_GB2312" w:eastAsia="仿宋_GB2312" w:cs="仿宋_GB2312"/>
          <w:color w:val="auto"/>
          <w:sz w:val="32"/>
          <w:szCs w:val="32"/>
          <w:highlight w:val="none"/>
          <w:lang w:val="en-US" w:eastAsia="zh-CN" w:bidi="ar"/>
        </w:rPr>
        <w:t xml:space="preserve">    （三）中选企业被某一省份依据医药价格和招采信用评价制度评定为“严重失信”或“特别严重失信”的，该省份有权拒绝该企业在当地中选。</w:t>
      </w:r>
    </w:p>
    <w:p w14:paraId="47A24E8F">
      <w:pPr>
        <w:keepNext w:val="0"/>
        <w:keepLines w:val="0"/>
        <w:pageBreakBefore w:val="0"/>
        <w:widowControl w:val="0"/>
        <w:kinsoku/>
        <w:wordWrap/>
        <w:overflowPunct/>
        <w:topLinePunct w:val="0"/>
        <w:bidi w:val="0"/>
        <w:adjustRightInd/>
        <w:snapToGrid/>
        <w:spacing w:line="560" w:lineRule="exact"/>
        <w:ind w:firstLine="640" w:firstLineChars="200"/>
        <w:textAlignment w:val="auto"/>
        <w:outlineLvl w:val="1"/>
        <w:rPr>
          <w:rFonts w:ascii="黑体" w:hAnsi="黑体" w:eastAsia="黑体" w:cs="黑体"/>
          <w:color w:val="auto"/>
          <w:kern w:val="0"/>
          <w:sz w:val="32"/>
          <w:szCs w:val="32"/>
          <w:highlight w:val="none"/>
          <w:lang w:bidi="ar"/>
        </w:rPr>
      </w:pPr>
      <w:bookmarkStart w:id="9" w:name="_Toc1068"/>
      <w:bookmarkStart w:id="10" w:name="_Toc4836"/>
      <w:r>
        <w:rPr>
          <w:rFonts w:hint="eastAsia" w:ascii="黑体" w:hAnsi="黑体" w:eastAsia="黑体" w:cs="黑体"/>
          <w:color w:val="auto"/>
          <w:kern w:val="0"/>
          <w:sz w:val="32"/>
          <w:szCs w:val="32"/>
          <w:highlight w:val="none"/>
          <w:lang w:val="en-US" w:eastAsia="zh-CN" w:bidi="ar"/>
        </w:rPr>
        <w:t>十</w:t>
      </w:r>
      <w:r>
        <w:rPr>
          <w:rFonts w:hint="eastAsia" w:ascii="黑体" w:hAnsi="黑体" w:eastAsia="黑体" w:cs="黑体"/>
          <w:color w:val="auto"/>
          <w:kern w:val="0"/>
          <w:sz w:val="32"/>
          <w:szCs w:val="32"/>
          <w:highlight w:val="none"/>
          <w:lang w:bidi="ar"/>
        </w:rPr>
        <w:t>、采购周期及采购协议</w:t>
      </w:r>
      <w:bookmarkEnd w:id="9"/>
      <w:bookmarkEnd w:id="10"/>
    </w:p>
    <w:p w14:paraId="1BCA163A">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spacing w:val="-6"/>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bidi="ar"/>
        </w:rPr>
        <w:t>（一）</w:t>
      </w:r>
      <w:r>
        <w:rPr>
          <w:rFonts w:hint="eastAsia" w:ascii="仿宋_GB2312" w:hAnsi="仿宋_GB2312" w:eastAsia="仿宋_GB2312" w:cs="仿宋_GB2312"/>
          <w:color w:val="auto"/>
          <w:kern w:val="0"/>
          <w:sz w:val="32"/>
          <w:szCs w:val="32"/>
          <w:highlight w:val="none"/>
          <w:u w:val="none"/>
          <w:lang w:bidi="ar"/>
        </w:rPr>
        <w:t>本次带量采购周期自中选结果实际执行之日起</w:t>
      </w:r>
      <w:r>
        <w:rPr>
          <w:rFonts w:hint="eastAsia" w:ascii="仿宋_GB2312" w:hAnsi="仿宋_GB2312" w:eastAsia="仿宋_GB2312" w:cs="仿宋_GB2312"/>
          <w:color w:val="auto"/>
          <w:kern w:val="0"/>
          <w:sz w:val="32"/>
          <w:szCs w:val="32"/>
          <w:highlight w:val="none"/>
          <w:u w:val="none"/>
          <w:lang w:val="en-US" w:eastAsia="zh-CN" w:bidi="ar"/>
        </w:rPr>
        <w:t>至2030年6月30日</w:t>
      </w:r>
      <w:r>
        <w:rPr>
          <w:rFonts w:hint="eastAsia" w:ascii="仿宋_GB2312" w:hAnsi="仿宋_GB2312" w:eastAsia="仿宋_GB2312" w:cs="仿宋_GB2312"/>
          <w:color w:val="auto"/>
          <w:kern w:val="0"/>
          <w:sz w:val="32"/>
          <w:szCs w:val="32"/>
          <w:highlight w:val="none"/>
          <w:u w:val="none"/>
          <w:lang w:eastAsia="zh-CN" w:bidi="ar"/>
        </w:rPr>
        <w:t>。</w:t>
      </w:r>
      <w:r>
        <w:rPr>
          <w:rFonts w:hint="eastAsia" w:ascii="仿宋_GB2312" w:hAnsi="仿宋_GB2312" w:eastAsia="仿宋_GB2312" w:cs="仿宋_GB2312"/>
          <w:color w:val="auto"/>
          <w:kern w:val="0"/>
          <w:sz w:val="32"/>
          <w:szCs w:val="32"/>
          <w:highlight w:val="none"/>
          <w:lang w:val="en-US" w:eastAsia="zh-CN" w:bidi="ar"/>
        </w:rPr>
        <w:t>采购周</w:t>
      </w:r>
      <w:r>
        <w:rPr>
          <w:rFonts w:hint="eastAsia" w:ascii="仿宋_GB2312" w:hAnsi="仿宋_GB2312" w:eastAsia="仿宋_GB2312" w:cs="仿宋_GB2312"/>
          <w:color w:val="auto"/>
          <w:kern w:val="0"/>
          <w:sz w:val="32"/>
          <w:szCs w:val="32"/>
          <w:highlight w:val="none"/>
          <w:lang w:bidi="ar"/>
        </w:rPr>
        <w:t>期</w:t>
      </w:r>
      <w:r>
        <w:rPr>
          <w:rFonts w:hint="eastAsia" w:ascii="仿宋_GB2312" w:hAnsi="仿宋_GB2312" w:eastAsia="仿宋_GB2312" w:cs="仿宋_GB2312"/>
          <w:color w:val="auto"/>
          <w:kern w:val="0"/>
          <w:sz w:val="32"/>
          <w:szCs w:val="32"/>
          <w:highlight w:val="none"/>
          <w:lang w:val="en-US" w:eastAsia="zh-CN" w:bidi="ar"/>
        </w:rPr>
        <w:t>满后，各联盟地区可视情况自行决定延长</w:t>
      </w:r>
      <w:r>
        <w:rPr>
          <w:rFonts w:hint="eastAsia" w:ascii="仿宋_GB2312" w:hAnsi="仿宋_GB2312" w:eastAsia="仿宋_GB2312" w:cs="仿宋_GB2312"/>
          <w:color w:val="auto"/>
          <w:kern w:val="0"/>
          <w:sz w:val="32"/>
          <w:szCs w:val="32"/>
          <w:highlight w:val="none"/>
          <w:lang w:bidi="ar"/>
        </w:rPr>
        <w:t>采购周</w:t>
      </w:r>
      <w:r>
        <w:rPr>
          <w:rFonts w:hint="eastAsia" w:ascii="仿宋_GB2312" w:hAnsi="仿宋_GB2312" w:eastAsia="仿宋_GB2312" w:cs="仿宋_GB2312"/>
          <w:color w:val="auto"/>
          <w:spacing w:val="-6"/>
          <w:kern w:val="0"/>
          <w:sz w:val="32"/>
          <w:szCs w:val="32"/>
          <w:highlight w:val="none"/>
          <w:lang w:bidi="ar"/>
        </w:rPr>
        <w:t>期</w:t>
      </w:r>
      <w:r>
        <w:rPr>
          <w:rFonts w:hint="eastAsia" w:ascii="仿宋_GB2312" w:hAnsi="仿宋_GB2312" w:eastAsia="仿宋_GB2312" w:cs="仿宋_GB2312"/>
          <w:color w:val="auto"/>
          <w:spacing w:val="-6"/>
          <w:kern w:val="0"/>
          <w:sz w:val="32"/>
          <w:szCs w:val="32"/>
          <w:highlight w:val="none"/>
          <w:lang w:eastAsia="zh-CN" w:bidi="ar"/>
        </w:rPr>
        <w:t>。</w:t>
      </w:r>
    </w:p>
    <w:p w14:paraId="76BC3455">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bidi="ar"/>
        </w:rPr>
        <w:t>（二）采购周期内，</w:t>
      </w:r>
      <w:r>
        <w:rPr>
          <w:rFonts w:hint="eastAsia" w:ascii="仿宋_GB2312" w:hAnsi="仿宋_GB2312" w:eastAsia="仿宋_GB2312" w:cs="仿宋_GB2312"/>
          <w:color w:val="auto"/>
          <w:kern w:val="0"/>
          <w:sz w:val="32"/>
          <w:szCs w:val="32"/>
          <w:highlight w:val="none"/>
          <w:lang w:val="en-US" w:eastAsia="zh-CN" w:bidi="ar"/>
        </w:rPr>
        <w:t>采购协议每年一签。每个协议期的协议采购量原则上不少于各联盟地区上个协议期的协议采购量，并参考医疗机构上个协议期实际使用情况、企业供应情况等因素确定。</w:t>
      </w:r>
    </w:p>
    <w:p w14:paraId="39FDD487">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（三）采购周期内，联采办不再重新组织需求量填报。医疗机构因特殊原因下调采购量的，须向辖区医保部门提交书面说明材料及需调整的采购量，经联盟地区省级医保部门审核同意后予以调整。</w:t>
      </w:r>
    </w:p>
    <w:p w14:paraId="63CDB70E">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方正黑体_GBK" w:hAnsi="方正黑体_GBK" w:eastAsia="方正黑体_GBK" w:cs="方正黑体_GBK"/>
          <w:color w:val="auto"/>
          <w:kern w:val="21"/>
          <w:sz w:val="32"/>
          <w:szCs w:val="32"/>
          <w:highlight w:val="none"/>
          <w:lang w:val="en-US" w:eastAsia="zh-CN"/>
        </w:rPr>
      </w:pPr>
      <w:r>
        <w:rPr>
          <w:rFonts w:hint="eastAsia" w:ascii="仿宋_GB2312" w:hAnsi="仿宋_GB2312" w:eastAsia="仿宋_GB2312" w:cs="仿宋_GB2312"/>
          <w:color w:val="auto"/>
          <w:kern w:val="0"/>
          <w:sz w:val="32"/>
          <w:szCs w:val="32"/>
          <w:highlight w:val="none"/>
          <w:lang w:bidi="ar"/>
        </w:rPr>
        <w:t>（</w:t>
      </w:r>
      <w:r>
        <w:rPr>
          <w:rFonts w:hint="eastAsia" w:ascii="仿宋_GB2312" w:hAnsi="仿宋_GB2312" w:eastAsia="仿宋_GB2312" w:cs="仿宋_GB2312"/>
          <w:color w:val="auto"/>
          <w:kern w:val="0"/>
          <w:sz w:val="32"/>
          <w:szCs w:val="32"/>
          <w:highlight w:val="none"/>
          <w:lang w:val="en-US" w:eastAsia="zh-CN" w:bidi="ar"/>
        </w:rPr>
        <w:t>四</w:t>
      </w:r>
      <w:r>
        <w:rPr>
          <w:rFonts w:hint="eastAsia" w:ascii="仿宋_GB2312" w:hAnsi="仿宋_GB2312" w:eastAsia="仿宋_GB2312" w:cs="仿宋_GB2312"/>
          <w:color w:val="auto"/>
          <w:kern w:val="0"/>
          <w:sz w:val="32"/>
          <w:szCs w:val="32"/>
          <w:highlight w:val="none"/>
          <w:lang w:bidi="ar"/>
        </w:rPr>
        <w:t>）采购周期内</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bidi="ar"/>
        </w:rPr>
        <w:t>医疗机构完成</w:t>
      </w:r>
      <w:r>
        <w:rPr>
          <w:rFonts w:hint="eastAsia" w:ascii="仿宋_GB2312" w:hAnsi="仿宋_GB2312" w:eastAsia="仿宋_GB2312" w:cs="仿宋_GB2312"/>
          <w:color w:val="auto"/>
          <w:kern w:val="0"/>
          <w:sz w:val="32"/>
          <w:szCs w:val="32"/>
          <w:highlight w:val="none"/>
          <w:lang w:val="en-US" w:eastAsia="zh-CN" w:bidi="ar"/>
        </w:rPr>
        <w:t>当年协议</w:t>
      </w:r>
      <w:r>
        <w:rPr>
          <w:rFonts w:hint="eastAsia" w:ascii="仿宋_GB2312" w:hAnsi="仿宋_GB2312" w:eastAsia="仿宋_GB2312" w:cs="仿宋_GB2312"/>
          <w:color w:val="auto"/>
          <w:kern w:val="0"/>
          <w:sz w:val="32"/>
          <w:szCs w:val="32"/>
          <w:highlight w:val="none"/>
          <w:lang w:bidi="ar"/>
        </w:rPr>
        <w:t>采购量</w:t>
      </w:r>
      <w:r>
        <w:rPr>
          <w:rFonts w:hint="eastAsia" w:ascii="仿宋_GB2312" w:hAnsi="仿宋_GB2312" w:eastAsia="仿宋_GB2312" w:cs="仿宋_GB2312"/>
          <w:color w:val="auto"/>
          <w:kern w:val="0"/>
          <w:sz w:val="32"/>
          <w:szCs w:val="32"/>
          <w:highlight w:val="none"/>
          <w:lang w:val="en-US" w:eastAsia="zh-CN" w:bidi="ar"/>
        </w:rPr>
        <w:t>后</w:t>
      </w:r>
      <w:r>
        <w:rPr>
          <w:rFonts w:hint="eastAsia" w:ascii="仿宋_GB2312" w:hAnsi="仿宋_GB2312" w:eastAsia="仿宋_GB2312" w:cs="仿宋_GB2312"/>
          <w:color w:val="auto"/>
          <w:kern w:val="0"/>
          <w:sz w:val="32"/>
          <w:szCs w:val="32"/>
          <w:highlight w:val="none"/>
          <w:lang w:bidi="ar"/>
        </w:rPr>
        <w:t>，超出</w:t>
      </w:r>
      <w:r>
        <w:rPr>
          <w:rFonts w:hint="eastAsia" w:ascii="仿宋_GB2312" w:hAnsi="仿宋_GB2312" w:eastAsia="仿宋_GB2312" w:cs="仿宋_GB2312"/>
          <w:color w:val="auto"/>
          <w:kern w:val="0"/>
          <w:sz w:val="32"/>
          <w:szCs w:val="32"/>
          <w:highlight w:val="none"/>
          <w:lang w:val="en-US" w:eastAsia="zh-CN" w:bidi="ar"/>
        </w:rPr>
        <w:t>协议</w:t>
      </w:r>
      <w:r>
        <w:rPr>
          <w:rFonts w:hint="eastAsia" w:ascii="仿宋_GB2312" w:hAnsi="仿宋_GB2312" w:eastAsia="仿宋_GB2312" w:cs="仿宋_GB2312"/>
          <w:color w:val="auto"/>
          <w:kern w:val="0"/>
          <w:sz w:val="32"/>
          <w:szCs w:val="32"/>
          <w:highlight w:val="none"/>
          <w:lang w:bidi="ar"/>
        </w:rPr>
        <w:t>采购量的部分，</w:t>
      </w:r>
      <w:r>
        <w:rPr>
          <w:rFonts w:hint="eastAsia" w:ascii="仿宋_GB2312" w:hAnsi="仿宋_GB2312" w:eastAsia="仿宋_GB2312" w:cs="仿宋_GB2312"/>
          <w:color w:val="auto"/>
          <w:kern w:val="0"/>
          <w:sz w:val="32"/>
          <w:szCs w:val="32"/>
          <w:highlight w:val="none"/>
          <w:lang w:val="en-US" w:eastAsia="zh-CN" w:bidi="ar"/>
        </w:rPr>
        <w:t>中选</w:t>
      </w:r>
      <w:r>
        <w:rPr>
          <w:rFonts w:hint="eastAsia" w:ascii="仿宋_GB2312" w:hAnsi="仿宋_GB2312" w:eastAsia="仿宋_GB2312" w:cs="仿宋_GB2312"/>
          <w:color w:val="auto"/>
          <w:kern w:val="0"/>
          <w:sz w:val="32"/>
          <w:szCs w:val="32"/>
          <w:highlight w:val="none"/>
          <w:lang w:bidi="ar"/>
        </w:rPr>
        <w:t>企业仍</w:t>
      </w:r>
      <w:r>
        <w:rPr>
          <w:rFonts w:hint="eastAsia" w:ascii="仿宋_GB2312" w:hAnsi="仿宋_GB2312" w:eastAsia="仿宋_GB2312" w:cs="仿宋_GB2312"/>
          <w:color w:val="auto"/>
          <w:kern w:val="0"/>
          <w:sz w:val="32"/>
          <w:szCs w:val="32"/>
          <w:highlight w:val="none"/>
          <w:lang w:val="en-US" w:eastAsia="zh-CN" w:bidi="ar"/>
        </w:rPr>
        <w:t>应</w:t>
      </w:r>
      <w:r>
        <w:rPr>
          <w:rFonts w:hint="eastAsia" w:ascii="仿宋_GB2312" w:hAnsi="仿宋_GB2312" w:eastAsia="仿宋_GB2312" w:cs="仿宋_GB2312"/>
          <w:color w:val="auto"/>
          <w:kern w:val="0"/>
          <w:sz w:val="32"/>
          <w:szCs w:val="32"/>
          <w:highlight w:val="none"/>
          <w:lang w:bidi="ar"/>
        </w:rPr>
        <w:t>按中选价格</w:t>
      </w:r>
      <w:r>
        <w:rPr>
          <w:rFonts w:hint="eastAsia" w:ascii="仿宋_GB2312" w:hAnsi="仿宋_GB2312" w:eastAsia="仿宋_GB2312" w:cs="仿宋_GB2312"/>
          <w:color w:val="auto"/>
          <w:kern w:val="0"/>
          <w:sz w:val="32"/>
          <w:szCs w:val="32"/>
          <w:highlight w:val="none"/>
          <w:lang w:val="en-US" w:eastAsia="zh-CN" w:bidi="ar"/>
        </w:rPr>
        <w:t>进行</w:t>
      </w:r>
      <w:r>
        <w:rPr>
          <w:rFonts w:hint="eastAsia" w:ascii="仿宋_GB2312" w:hAnsi="仿宋_GB2312" w:eastAsia="仿宋_GB2312" w:cs="仿宋_GB2312"/>
          <w:color w:val="auto"/>
          <w:kern w:val="0"/>
          <w:sz w:val="32"/>
          <w:szCs w:val="32"/>
          <w:highlight w:val="none"/>
          <w:lang w:bidi="ar"/>
        </w:rPr>
        <w:t>供应，直至采购周期届满。</w:t>
      </w:r>
    </w:p>
    <w:p w14:paraId="58F1DB6D">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outlineLvl w:val="1"/>
        <w:rPr>
          <w:rFonts w:ascii="黑体" w:hAnsi="黑体" w:eastAsia="黑体" w:cs="黑体"/>
          <w:color w:val="auto"/>
          <w:kern w:val="0"/>
          <w:sz w:val="32"/>
          <w:szCs w:val="32"/>
          <w:highlight w:val="none"/>
          <w:lang w:bidi="ar"/>
        </w:rPr>
      </w:pPr>
      <w:r>
        <w:rPr>
          <w:rFonts w:hint="eastAsia" w:ascii="黑体" w:hAnsi="黑体" w:eastAsia="黑体" w:cs="黑体"/>
          <w:color w:val="auto"/>
          <w:kern w:val="0"/>
          <w:sz w:val="32"/>
          <w:szCs w:val="32"/>
          <w:highlight w:val="none"/>
          <w:lang w:val="en-US" w:eastAsia="zh-CN" w:bidi="ar"/>
        </w:rPr>
        <w:t>十一、</w:t>
      </w:r>
      <w:r>
        <w:rPr>
          <w:rFonts w:hint="eastAsia" w:ascii="黑体" w:hAnsi="黑体" w:eastAsia="黑体" w:cs="黑体"/>
          <w:color w:val="auto"/>
          <w:kern w:val="0"/>
          <w:sz w:val="32"/>
          <w:szCs w:val="32"/>
          <w:highlight w:val="none"/>
          <w:lang w:bidi="ar"/>
        </w:rPr>
        <w:t>采购执行说明</w:t>
      </w:r>
    </w:p>
    <w:p w14:paraId="4B51CD9E">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（一）采购周期内，医疗机构应优先</w:t>
      </w:r>
      <w:r>
        <w:rPr>
          <w:rFonts w:hint="eastAsia" w:ascii="仿宋_GB2312" w:hAnsi="仿宋_GB2312" w:eastAsia="仿宋_GB2312" w:cs="仿宋_GB2312"/>
          <w:color w:val="auto"/>
          <w:kern w:val="0"/>
          <w:sz w:val="32"/>
          <w:szCs w:val="32"/>
          <w:highlight w:val="none"/>
          <w:lang w:val="en-US" w:eastAsia="zh-CN" w:bidi="ar"/>
        </w:rPr>
        <w:t>采购和使用</w:t>
      </w:r>
      <w:r>
        <w:rPr>
          <w:rFonts w:hint="eastAsia" w:ascii="仿宋_GB2312" w:hAnsi="仿宋_GB2312" w:eastAsia="仿宋_GB2312" w:cs="仿宋_GB2312"/>
          <w:color w:val="auto"/>
          <w:kern w:val="0"/>
          <w:sz w:val="32"/>
          <w:szCs w:val="32"/>
          <w:highlight w:val="none"/>
          <w:lang w:bidi="ar"/>
        </w:rPr>
        <w:t>本次集中带量采购中选产品，并确保完成</w:t>
      </w:r>
      <w:r>
        <w:rPr>
          <w:rFonts w:hint="eastAsia" w:ascii="仿宋_GB2312" w:hAnsi="仿宋_GB2312" w:eastAsia="仿宋_GB2312" w:cs="仿宋_GB2312"/>
          <w:color w:val="auto"/>
          <w:kern w:val="0"/>
          <w:sz w:val="32"/>
          <w:szCs w:val="32"/>
          <w:highlight w:val="none"/>
          <w:lang w:val="en-US" w:eastAsia="zh-CN" w:bidi="ar"/>
        </w:rPr>
        <w:t>协议</w:t>
      </w:r>
      <w:r>
        <w:rPr>
          <w:rFonts w:hint="eastAsia" w:ascii="仿宋_GB2312" w:hAnsi="仿宋_GB2312" w:eastAsia="仿宋_GB2312" w:cs="仿宋_GB2312"/>
          <w:color w:val="auto"/>
          <w:kern w:val="0"/>
          <w:sz w:val="32"/>
          <w:szCs w:val="32"/>
          <w:highlight w:val="none"/>
          <w:lang w:bidi="ar"/>
        </w:rPr>
        <w:t>采购量。</w:t>
      </w:r>
      <w:r>
        <w:rPr>
          <w:rFonts w:hint="eastAsia" w:ascii="仿宋_GB2312" w:hAnsi="仿宋_GB2312" w:eastAsia="仿宋_GB2312" w:cs="仿宋_GB2312"/>
          <w:color w:val="auto"/>
          <w:kern w:val="0"/>
          <w:sz w:val="32"/>
          <w:szCs w:val="32"/>
          <w:highlight w:val="none"/>
          <w:lang w:val="en-US" w:eastAsia="zh-CN" w:bidi="ar"/>
        </w:rPr>
        <w:t>协议采购量完成后，医疗机构仍应优先使用中选产品。</w:t>
      </w:r>
    </w:p>
    <w:p w14:paraId="5273F586">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bidi="ar"/>
        </w:rPr>
        <w:t>（二）</w:t>
      </w:r>
      <w:r>
        <w:rPr>
          <w:rFonts w:hint="eastAsia" w:ascii="仿宋_GB2312" w:hAnsi="仿宋_GB2312" w:eastAsia="仿宋_GB2312" w:cs="仿宋_GB2312"/>
          <w:color w:val="auto"/>
          <w:kern w:val="0"/>
          <w:sz w:val="32"/>
          <w:szCs w:val="32"/>
          <w:highlight w:val="none"/>
          <w:lang w:val="en-US" w:eastAsia="zh-CN" w:bidi="ar"/>
        </w:rPr>
        <w:t>采购周期内，中选产品的挂网、供应、采购、使用、收费以及结算按各联盟地区政策规定执行。</w:t>
      </w:r>
    </w:p>
    <w:p w14:paraId="5D9EAD85">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val="en-US" w:eastAsia="zh-CN" w:bidi="ar"/>
        </w:rPr>
        <w:t>三）</w:t>
      </w:r>
      <w:r>
        <w:rPr>
          <w:rFonts w:hint="eastAsia" w:ascii="仿宋_GB2312" w:hAnsi="仿宋_GB2312" w:eastAsia="仿宋_GB2312" w:cs="仿宋_GB2312"/>
          <w:color w:val="auto"/>
          <w:kern w:val="0"/>
          <w:sz w:val="32"/>
          <w:szCs w:val="32"/>
          <w:highlight w:val="none"/>
          <w:lang w:bidi="ar"/>
        </w:rPr>
        <w:t>采购周期内，如中选产品注册证更新，中选资格及中选价格维持不变。</w:t>
      </w:r>
    </w:p>
    <w:p w14:paraId="02FF33E5">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val="en-US" w:eastAsia="zh-CN" w:bidi="ar"/>
        </w:rPr>
        <w:t>四</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val="en-US" w:eastAsia="zh-CN" w:bidi="ar"/>
        </w:rPr>
        <w:t>采购周期内，境外企业中选后，在国内设厂生产，并按药监部门有关规定获得同品种的产品医疗器械注册证，视同中选企业新获批产品；中选企业按药监部门有关规定获得同品种的产品医疗器械注册证，视同中选企业新获批产品；如境内设厂的国产产品注册证备注栏中，体现与中选进口产品关联的，则相应国产产品视为同一中选产品。未申报本次集中带量采购的产品、中选企业新获批的产品、未中选企业的产品、新获批企业的产品均视为非中选产品。</w:t>
      </w:r>
      <w:bookmarkStart w:id="13" w:name="_GoBack"/>
      <w:bookmarkEnd w:id="13"/>
    </w:p>
    <w:p w14:paraId="72C1D724">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采购周期内，如中选企业非中选产品接受不高于该企业同采购产品组的中选价格，由企业向联采办申请，符合要求的可作为中选产品执行，但在提出申报的采购年度内无协议采购量；如未中选企业或新获批企业的产品接受不高于同采购产品组的最高中选价格（如遇小数，向下取整至个位），企业可向联采办申请，产品信息经公示无异议后，不作为非中选产品统计。</w:t>
      </w:r>
    </w:p>
    <w:p w14:paraId="1007993B">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五）采购周期内，境外医疗器械注册人如变更协助其履行相应法律义务的我国境内企业法人，境外医疗器械注册人应向联采办递交更换委托代理企业的声明。拟变更的我国境内企业法人，不得为当前被列入联采办“违规名单”的企业。</w:t>
      </w:r>
    </w:p>
    <w:p w14:paraId="54200C74">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（六）同一规格型号的产品，如联盟地区有效挂网价或地方集采中选价低于本次集采中选价，则该产品在该地区按原有低价供应。</w:t>
      </w:r>
    </w:p>
    <w:p w14:paraId="246661A7">
      <w:pPr>
        <w:keepNext w:val="0"/>
        <w:keepLines w:val="0"/>
        <w:pageBreakBefore w:val="0"/>
        <w:widowControl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（七）非中选产品和流标采购产品组纳入价格治理重点范围，联盟各地区完善和规范相关产品挂网工作，落实价格治理要求。</w:t>
      </w:r>
    </w:p>
    <w:p w14:paraId="4AB27A7D">
      <w:pPr>
        <w:keepNext w:val="0"/>
        <w:keepLines w:val="0"/>
        <w:pageBreakBefore w:val="0"/>
        <w:kinsoku/>
        <w:wordWrap/>
        <w:overflowPunct/>
        <w:topLinePunct w:val="0"/>
        <w:bidi w:val="0"/>
        <w:snapToGrid/>
        <w:spacing w:line="560" w:lineRule="exact"/>
        <w:ind w:firstLine="640" w:firstLineChars="200"/>
        <w:textAlignment w:val="auto"/>
        <w:outlineLvl w:val="1"/>
        <w:rPr>
          <w:rFonts w:ascii="黑体" w:hAnsi="黑体" w:eastAsia="黑体" w:cs="黑体"/>
          <w:color w:val="auto"/>
          <w:kern w:val="0"/>
          <w:sz w:val="32"/>
          <w:szCs w:val="32"/>
          <w:highlight w:val="none"/>
          <w:lang w:bidi="ar"/>
        </w:rPr>
      </w:pPr>
      <w:bookmarkStart w:id="11" w:name="_Toc6576"/>
      <w:bookmarkStart w:id="12" w:name="_Toc31768"/>
      <w:r>
        <w:rPr>
          <w:rFonts w:hint="eastAsia" w:ascii="黑体" w:hAnsi="黑体" w:eastAsia="黑体" w:cs="黑体"/>
          <w:color w:val="auto"/>
          <w:kern w:val="0"/>
          <w:sz w:val="32"/>
          <w:szCs w:val="32"/>
          <w:highlight w:val="none"/>
          <w:lang w:val="en-US" w:eastAsia="zh-CN" w:bidi="ar"/>
        </w:rPr>
        <w:t>十二</w:t>
      </w:r>
      <w:r>
        <w:rPr>
          <w:rFonts w:hint="eastAsia" w:ascii="黑体" w:hAnsi="黑体" w:eastAsia="黑体" w:cs="黑体"/>
          <w:color w:val="auto"/>
          <w:kern w:val="0"/>
          <w:sz w:val="32"/>
          <w:szCs w:val="32"/>
          <w:highlight w:val="none"/>
          <w:lang w:bidi="ar"/>
        </w:rPr>
        <w:t>、采购协议履行</w:t>
      </w:r>
      <w:r>
        <w:rPr>
          <w:rFonts w:hint="eastAsia" w:ascii="黑体" w:hAnsi="黑体" w:eastAsia="黑体" w:cs="黑体"/>
          <w:color w:val="auto"/>
          <w:kern w:val="0"/>
          <w:sz w:val="32"/>
          <w:szCs w:val="32"/>
          <w:highlight w:val="none"/>
          <w:lang w:val="en-US" w:eastAsia="zh-CN" w:bidi="ar"/>
        </w:rPr>
        <w:t>及</w:t>
      </w:r>
      <w:r>
        <w:rPr>
          <w:rFonts w:hint="eastAsia" w:ascii="黑体" w:hAnsi="黑体" w:eastAsia="黑体" w:cs="黑体"/>
          <w:color w:val="auto"/>
          <w:kern w:val="0"/>
          <w:sz w:val="32"/>
          <w:szCs w:val="32"/>
          <w:highlight w:val="none"/>
          <w:lang w:bidi="ar"/>
        </w:rPr>
        <w:t>有关问题处理</w:t>
      </w:r>
      <w:bookmarkEnd w:id="11"/>
      <w:bookmarkEnd w:id="12"/>
    </w:p>
    <w:p w14:paraId="59AA764C">
      <w:pPr>
        <w:keepNext w:val="0"/>
        <w:keepLines w:val="0"/>
        <w:pageBreakBefore w:val="0"/>
        <w:widowControl/>
        <w:kinsoku/>
        <w:wordWrap/>
        <w:overflowPunct/>
        <w:topLinePunct w:val="0"/>
        <w:bidi w:val="0"/>
        <w:snapToGrid/>
        <w:spacing w:line="560" w:lineRule="exact"/>
        <w:ind w:firstLine="640" w:firstLineChars="200"/>
        <w:jc w:val="left"/>
        <w:textAlignment w:val="auto"/>
        <w:rPr>
          <w:rFonts w:hint="default" w:ascii="楷体_GB2312" w:hAnsi="楷体_GB2312" w:eastAsia="楷体_GB2312" w:cs="楷体_GB2312"/>
          <w:color w:val="auto"/>
          <w:highlight w:val="none"/>
          <w:lang w:val="en-US"/>
        </w:rPr>
      </w:pPr>
      <w:r>
        <w:rPr>
          <w:rFonts w:hint="eastAsia" w:ascii="楷体_GB2312" w:hAnsi="楷体_GB2312" w:eastAsia="楷体_GB2312" w:cs="楷体_GB2312"/>
          <w:color w:val="auto"/>
          <w:kern w:val="0"/>
          <w:sz w:val="32"/>
          <w:szCs w:val="32"/>
          <w:highlight w:val="none"/>
          <w:lang w:eastAsia="zh-CN" w:bidi="ar"/>
        </w:rPr>
        <w:t>（</w:t>
      </w:r>
      <w:r>
        <w:rPr>
          <w:rFonts w:hint="eastAsia" w:ascii="楷体_GB2312" w:hAnsi="楷体_GB2312" w:eastAsia="楷体_GB2312" w:cs="楷体_GB2312"/>
          <w:color w:val="auto"/>
          <w:kern w:val="0"/>
          <w:sz w:val="32"/>
          <w:szCs w:val="32"/>
          <w:highlight w:val="none"/>
          <w:lang w:val="en-US" w:eastAsia="zh-CN" w:bidi="ar"/>
        </w:rPr>
        <w:t>一</w:t>
      </w:r>
      <w:r>
        <w:rPr>
          <w:rFonts w:hint="eastAsia" w:ascii="楷体_GB2312" w:hAnsi="楷体_GB2312" w:eastAsia="楷体_GB2312" w:cs="楷体_GB2312"/>
          <w:color w:val="auto"/>
          <w:kern w:val="0"/>
          <w:sz w:val="32"/>
          <w:szCs w:val="32"/>
          <w:highlight w:val="none"/>
          <w:lang w:eastAsia="zh-CN" w:bidi="ar"/>
        </w:rPr>
        <w:t>）</w:t>
      </w:r>
      <w:r>
        <w:rPr>
          <w:rFonts w:hint="eastAsia" w:ascii="楷体_GB2312" w:hAnsi="楷体_GB2312" w:eastAsia="楷体_GB2312" w:cs="楷体_GB2312"/>
          <w:color w:val="auto"/>
          <w:kern w:val="0"/>
          <w:sz w:val="32"/>
          <w:szCs w:val="32"/>
          <w:highlight w:val="none"/>
          <w:lang w:val="en-US" w:eastAsia="zh-CN" w:bidi="ar"/>
        </w:rPr>
        <w:t>中选企业应严格履行协议，依法参与集中采购，合理选择配送企业，保障供应</w:t>
      </w:r>
    </w:p>
    <w:p w14:paraId="7F00EF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highlight w:val="none"/>
          <w:lang w:val="en-US" w:eastAsia="zh-CN"/>
        </w:rPr>
      </w:pPr>
      <w:r>
        <w:rPr>
          <w:rFonts w:hint="eastAsia" w:ascii="仿宋_GB2312" w:hAnsi="仿宋_GB2312" w:eastAsia="仿宋_GB2312"/>
          <w:color w:val="auto"/>
          <w:sz w:val="32"/>
          <w:highlight w:val="none"/>
        </w:rPr>
        <w:t>1.</w:t>
      </w:r>
      <w:r>
        <w:rPr>
          <w:rFonts w:hint="eastAsia" w:ascii="仿宋_GB2312" w:hAnsi="仿宋_GB2312" w:eastAsia="仿宋_GB2312"/>
          <w:color w:val="auto"/>
          <w:sz w:val="32"/>
          <w:highlight w:val="none"/>
          <w:lang w:val="en-US" w:eastAsia="zh-CN"/>
        </w:rPr>
        <w:t>按要求申报供应中国市场的年最大产能，并确保质量。</w:t>
      </w:r>
    </w:p>
    <w:p w14:paraId="1739F5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highlight w:val="none"/>
          <w:lang w:val="en-US" w:eastAsia="zh-CN"/>
        </w:rPr>
      </w:pPr>
      <w:r>
        <w:rPr>
          <w:rFonts w:hint="eastAsia" w:ascii="仿宋_GB2312" w:hAnsi="仿宋_GB2312" w:eastAsia="仿宋_GB2312"/>
          <w:color w:val="auto"/>
          <w:sz w:val="32"/>
          <w:highlight w:val="none"/>
          <w:lang w:val="en-US" w:eastAsia="zh-CN"/>
        </w:rPr>
        <w:t>2.严格落实中选企业自主选择配送企业。中选企业向相关省份报备配送企业名单，保证供应配送，并按照采购协议提供伴随服务。</w:t>
      </w:r>
    </w:p>
    <w:p w14:paraId="7A2C34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olor w:val="auto"/>
          <w:sz w:val="32"/>
          <w:highlight w:val="none"/>
          <w:lang w:val="en-US" w:eastAsia="zh-CN"/>
        </w:rPr>
      </w:pPr>
      <w:r>
        <w:rPr>
          <w:rFonts w:hint="default" w:ascii="仿宋_GB2312" w:hAnsi="仿宋_GB2312" w:eastAsia="仿宋_GB2312"/>
          <w:color w:val="auto"/>
          <w:sz w:val="32"/>
          <w:highlight w:val="none"/>
          <w:lang w:val="en-US" w:eastAsia="zh-CN"/>
        </w:rPr>
        <w:t>3.执行中选结果前，中选企业应配备足够的配套工具，应</w:t>
      </w:r>
      <w:r>
        <w:rPr>
          <w:rFonts w:hint="eastAsia" w:ascii="仿宋_GB2312" w:hAnsi="仿宋_GB2312" w:eastAsia="仿宋_GB2312"/>
          <w:color w:val="auto"/>
          <w:sz w:val="32"/>
          <w:highlight w:val="none"/>
          <w:lang w:val="en-US" w:eastAsia="zh-CN"/>
        </w:rPr>
        <w:t>结</w:t>
      </w:r>
      <w:r>
        <w:rPr>
          <w:rFonts w:hint="default" w:ascii="仿宋_GB2312" w:hAnsi="仿宋_GB2312" w:eastAsia="仿宋_GB2312"/>
          <w:color w:val="auto"/>
          <w:sz w:val="32"/>
          <w:highlight w:val="none"/>
          <w:lang w:val="en-US" w:eastAsia="zh-CN"/>
        </w:rPr>
        <w:t>合临床实际，对需求量大、医疗机构数量多的地区，适当增加配套工具投放。</w:t>
      </w:r>
    </w:p>
    <w:p w14:paraId="3B58FE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olor w:val="auto"/>
          <w:sz w:val="32"/>
          <w:highlight w:val="none"/>
          <w:lang w:val="en-US" w:eastAsia="zh-CN"/>
        </w:rPr>
      </w:pPr>
      <w:r>
        <w:rPr>
          <w:rFonts w:hint="default" w:ascii="仿宋_GB2312" w:hAnsi="仿宋_GB2312" w:eastAsia="仿宋_GB2312"/>
          <w:color w:val="auto"/>
          <w:sz w:val="32"/>
          <w:highlight w:val="none"/>
          <w:lang w:val="en-US" w:eastAsia="zh-CN"/>
        </w:rPr>
        <w:t>4.中选企业应严格要求配送企业和代理商，向医疗机构主动提供中选的产品。</w:t>
      </w:r>
    </w:p>
    <w:p w14:paraId="17A623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highlight w:val="none"/>
          <w:lang w:val="en-US" w:eastAsia="zh-CN"/>
        </w:rPr>
      </w:pPr>
      <w:r>
        <w:rPr>
          <w:rFonts w:hint="eastAsia" w:ascii="仿宋_GB2312" w:hAnsi="仿宋_GB2312" w:eastAsia="仿宋_GB2312"/>
          <w:color w:val="auto"/>
          <w:sz w:val="32"/>
          <w:highlight w:val="none"/>
          <w:lang w:val="en-US" w:eastAsia="zh-CN"/>
        </w:rPr>
        <w:t>5.医疗器械注册人作为供应保障的第一责任人，中选后及时、足量按要求组织生产。境外医疗器械注册人指定的申报企业协助其履行相应的义务。配合医疗机构和配送企业，落实耗材追溯法定责任，按规定提供追溯信息，在医疗器械最小销售单元和更高级别的包装或医疗器械产品上赋予医疗器械唯一标识，确保产品的流向清晰可查、质量可追溯。</w:t>
      </w:r>
    </w:p>
    <w:p w14:paraId="2B0730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olor w:val="auto"/>
          <w:sz w:val="32"/>
          <w:highlight w:val="none"/>
          <w:lang w:val="en-US" w:eastAsia="zh-CN"/>
        </w:rPr>
      </w:pPr>
      <w:r>
        <w:rPr>
          <w:rFonts w:hint="eastAsia" w:ascii="仿宋_GB2312" w:hAnsi="仿宋_GB2312" w:eastAsia="仿宋_GB2312"/>
          <w:color w:val="auto"/>
          <w:sz w:val="32"/>
          <w:highlight w:val="none"/>
          <w:lang w:val="en-US" w:eastAsia="zh-CN"/>
        </w:rPr>
        <w:t>6</w:t>
      </w:r>
      <w:r>
        <w:rPr>
          <w:rFonts w:hint="default" w:ascii="仿宋_GB2312" w:hAnsi="仿宋_GB2312" w:eastAsia="仿宋_GB2312"/>
          <w:color w:val="auto"/>
          <w:sz w:val="32"/>
          <w:highlight w:val="none"/>
          <w:lang w:val="en-US" w:eastAsia="zh-CN"/>
        </w:rPr>
        <w:t>.签订购销协议的相关当事人不得擅自变更、中止或终止协</w:t>
      </w:r>
    </w:p>
    <w:p w14:paraId="7FDC7E1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color w:val="auto"/>
          <w:kern w:val="0"/>
          <w:sz w:val="32"/>
          <w:szCs w:val="32"/>
          <w:highlight w:val="none"/>
          <w:lang w:bidi="ar"/>
        </w:rPr>
      </w:pPr>
      <w:r>
        <w:rPr>
          <w:rFonts w:hint="default" w:ascii="仿宋_GB2312" w:hAnsi="仿宋_GB2312" w:eastAsia="仿宋_GB2312"/>
          <w:color w:val="auto"/>
          <w:sz w:val="32"/>
          <w:highlight w:val="none"/>
          <w:lang w:val="en-US" w:eastAsia="zh-CN"/>
        </w:rPr>
        <w:t>议。采购周期内，因市场、技术等因素出现重大变化，继续履行采购合同将损害国家利益和社会公共利益的，联</w:t>
      </w:r>
      <w:r>
        <w:rPr>
          <w:rFonts w:hint="eastAsia" w:ascii="仿宋_GB2312" w:hAnsi="仿宋_GB2312" w:eastAsia="仿宋_GB2312"/>
          <w:color w:val="auto"/>
          <w:sz w:val="32"/>
          <w:highlight w:val="none"/>
          <w:lang w:val="en-US" w:eastAsia="zh-CN"/>
        </w:rPr>
        <w:t>采</w:t>
      </w:r>
      <w:r>
        <w:rPr>
          <w:rFonts w:hint="default" w:ascii="仿宋_GB2312" w:hAnsi="仿宋_GB2312" w:eastAsia="仿宋_GB2312"/>
          <w:color w:val="auto"/>
          <w:sz w:val="32"/>
          <w:highlight w:val="none"/>
          <w:lang w:val="en-US" w:eastAsia="zh-CN"/>
        </w:rPr>
        <w:t>办可组织协议相关当事人协商变更、中止或终止协议。</w:t>
      </w:r>
    </w:p>
    <w:p w14:paraId="27F4288C">
      <w:pPr>
        <w:keepNext w:val="0"/>
        <w:keepLines w:val="0"/>
        <w:pageBreakBefore w:val="0"/>
        <w:widowControl/>
        <w:kinsoku/>
        <w:wordWrap/>
        <w:overflowPunct/>
        <w:topLinePunct w:val="0"/>
        <w:bidi w:val="0"/>
        <w:snapToGrid/>
        <w:spacing w:line="560" w:lineRule="exact"/>
        <w:ind w:firstLine="640" w:firstLineChars="200"/>
        <w:jc w:val="left"/>
        <w:textAlignment w:val="auto"/>
        <w:rPr>
          <w:rFonts w:ascii="楷体_GB2312" w:hAnsi="楷体_GB2312" w:eastAsia="楷体_GB2312" w:cs="楷体_GB2312"/>
          <w:color w:val="auto"/>
          <w:highlight w:val="none"/>
        </w:rPr>
      </w:pPr>
      <w:r>
        <w:rPr>
          <w:rFonts w:hint="eastAsia" w:ascii="楷体_GB2312" w:hAnsi="楷体_GB2312" w:eastAsia="楷体_GB2312" w:cs="楷体_GB2312"/>
          <w:color w:val="auto"/>
          <w:kern w:val="0"/>
          <w:sz w:val="32"/>
          <w:szCs w:val="32"/>
          <w:highlight w:val="none"/>
          <w:lang w:bidi="ar"/>
        </w:rPr>
        <w:t>（</w:t>
      </w:r>
      <w:r>
        <w:rPr>
          <w:rFonts w:hint="eastAsia" w:ascii="楷体_GB2312" w:hAnsi="楷体_GB2312" w:eastAsia="楷体_GB2312" w:cs="楷体_GB2312"/>
          <w:color w:val="auto"/>
          <w:kern w:val="0"/>
          <w:sz w:val="32"/>
          <w:szCs w:val="32"/>
          <w:highlight w:val="none"/>
          <w:lang w:val="en-US" w:eastAsia="zh-CN" w:bidi="ar"/>
        </w:rPr>
        <w:t>二</w:t>
      </w:r>
      <w:r>
        <w:rPr>
          <w:rFonts w:hint="eastAsia" w:ascii="楷体_GB2312" w:hAnsi="楷体_GB2312" w:eastAsia="楷体_GB2312" w:cs="楷体_GB2312"/>
          <w:color w:val="auto"/>
          <w:kern w:val="0"/>
          <w:sz w:val="32"/>
          <w:szCs w:val="32"/>
          <w:highlight w:val="none"/>
          <w:lang w:bidi="ar"/>
        </w:rPr>
        <w:t>）中选企业如有以下行为，经</w:t>
      </w:r>
      <w:r>
        <w:rPr>
          <w:rFonts w:hint="eastAsia" w:ascii="楷体_GB2312" w:hAnsi="楷体_GB2312" w:eastAsia="楷体_GB2312" w:cs="楷体_GB2312"/>
          <w:color w:val="auto"/>
          <w:kern w:val="0"/>
          <w:sz w:val="32"/>
          <w:szCs w:val="32"/>
          <w:highlight w:val="none"/>
          <w:lang w:val="en-US" w:eastAsia="zh-CN" w:bidi="ar"/>
        </w:rPr>
        <w:t>查实将取消中选资格。申报企业、中选企业、配送企业如有以下行为，经</w:t>
      </w:r>
      <w:r>
        <w:rPr>
          <w:rFonts w:hint="eastAsia" w:ascii="楷体_GB2312" w:hAnsi="楷体_GB2312" w:eastAsia="楷体_GB2312" w:cs="楷体_GB2312"/>
          <w:color w:val="auto"/>
          <w:kern w:val="0"/>
          <w:sz w:val="32"/>
          <w:szCs w:val="32"/>
          <w:highlight w:val="none"/>
          <w:lang w:bidi="ar"/>
        </w:rPr>
        <w:t>有关部门认定情节严重的将被列入“违规名单”</w:t>
      </w:r>
    </w:p>
    <w:p w14:paraId="36B628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highlight w:val="none"/>
        </w:rPr>
      </w:pPr>
      <w:r>
        <w:rPr>
          <w:rFonts w:hint="eastAsia" w:ascii="仿宋_GB2312" w:hAnsi="仿宋_GB2312" w:eastAsia="仿宋_GB2312"/>
          <w:color w:val="auto"/>
          <w:sz w:val="32"/>
          <w:highlight w:val="none"/>
          <w:lang w:val="en-US" w:eastAsia="zh-CN"/>
        </w:rPr>
        <w:t>1.</w:t>
      </w:r>
      <w:r>
        <w:rPr>
          <w:rFonts w:hint="eastAsia" w:ascii="仿宋_GB2312" w:hAnsi="仿宋_GB2312" w:eastAsia="仿宋_GB2312"/>
          <w:color w:val="auto"/>
          <w:sz w:val="32"/>
          <w:highlight w:val="none"/>
        </w:rPr>
        <w:t>申报产品不符合“申报产品资格”</w:t>
      </w:r>
      <w:r>
        <w:rPr>
          <w:rFonts w:hint="eastAsia" w:ascii="仿宋_GB2312" w:hAnsi="仿宋_GB2312" w:eastAsia="仿宋_GB2312"/>
          <w:color w:val="auto"/>
          <w:sz w:val="32"/>
          <w:highlight w:val="none"/>
          <w:lang w:val="en-US" w:eastAsia="zh-CN"/>
        </w:rPr>
        <w:t>或</w:t>
      </w:r>
      <w:r>
        <w:rPr>
          <w:rFonts w:hint="eastAsia" w:ascii="仿宋_GB2312" w:hAnsi="仿宋_GB2312" w:eastAsia="仿宋_GB2312"/>
          <w:color w:val="auto"/>
          <w:sz w:val="32"/>
          <w:highlight w:val="none"/>
        </w:rPr>
        <w:t>涉嫌不如实提供材料。</w:t>
      </w:r>
    </w:p>
    <w:p w14:paraId="760D3E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eastAsia="zh-CN" w:bidi="ar"/>
        </w:rPr>
      </w:pPr>
      <w:r>
        <w:rPr>
          <w:rFonts w:hint="eastAsia" w:ascii="仿宋_GB2312" w:hAnsi="仿宋_GB2312" w:eastAsia="仿宋_GB2312" w:cs="仿宋_GB2312"/>
          <w:color w:val="auto"/>
          <w:kern w:val="0"/>
          <w:sz w:val="32"/>
          <w:szCs w:val="32"/>
          <w:highlight w:val="none"/>
          <w:lang w:val="en-US" w:eastAsia="zh-CN" w:bidi="ar"/>
        </w:rPr>
        <w:t>2</w:t>
      </w:r>
      <w:r>
        <w:rPr>
          <w:rFonts w:hint="eastAsia" w:ascii="仿宋_GB2312" w:hAnsi="仿宋_GB2312" w:eastAsia="仿宋_GB2312" w:cs="仿宋_GB2312"/>
          <w:color w:val="auto"/>
          <w:kern w:val="0"/>
          <w:sz w:val="32"/>
          <w:szCs w:val="32"/>
          <w:highlight w:val="none"/>
          <w:lang w:bidi="ar"/>
        </w:rPr>
        <w:t>.提供虚假证明文件及文献资料，或者以其他方式弄虚作假，骗取中选</w:t>
      </w:r>
      <w:r>
        <w:rPr>
          <w:rFonts w:hint="eastAsia" w:ascii="仿宋_GB2312" w:hAnsi="仿宋_GB2312" w:eastAsia="仿宋_GB2312" w:cs="仿宋_GB2312"/>
          <w:color w:val="auto"/>
          <w:kern w:val="0"/>
          <w:sz w:val="32"/>
          <w:szCs w:val="32"/>
          <w:highlight w:val="none"/>
          <w:lang w:eastAsia="zh-CN" w:bidi="ar"/>
        </w:rPr>
        <w:t>。</w:t>
      </w:r>
    </w:p>
    <w:p w14:paraId="7F3543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eastAsia="zh-CN" w:bidi="ar"/>
        </w:rPr>
      </w:pPr>
      <w:r>
        <w:rPr>
          <w:rFonts w:hint="eastAsia" w:ascii="仿宋_GB2312" w:hAnsi="仿宋_GB2312" w:eastAsia="仿宋_GB2312" w:cs="仿宋_GB2312"/>
          <w:color w:val="auto"/>
          <w:kern w:val="0"/>
          <w:sz w:val="32"/>
          <w:szCs w:val="32"/>
          <w:highlight w:val="none"/>
          <w:lang w:val="en-US" w:eastAsia="zh-CN" w:bidi="ar"/>
        </w:rPr>
        <w:t>3</w:t>
      </w:r>
      <w:r>
        <w:rPr>
          <w:rFonts w:hint="eastAsia" w:ascii="仿宋_GB2312" w:hAnsi="仿宋_GB2312" w:eastAsia="仿宋_GB2312" w:cs="仿宋_GB2312"/>
          <w:color w:val="auto"/>
          <w:kern w:val="0"/>
          <w:sz w:val="32"/>
          <w:szCs w:val="32"/>
          <w:highlight w:val="none"/>
          <w:lang w:bidi="ar"/>
        </w:rPr>
        <w:t>.以低于成本的价格恶意申报，扰乱市场秩序。</w:t>
      </w:r>
    </w:p>
    <w:p w14:paraId="490296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eastAsia="zh-CN" w:bidi="ar"/>
        </w:rPr>
      </w:pPr>
      <w:r>
        <w:rPr>
          <w:rFonts w:hint="eastAsia" w:ascii="仿宋_GB2312" w:hAnsi="仿宋_GB2312" w:eastAsia="仿宋_GB2312" w:cs="仿宋_GB2312"/>
          <w:color w:val="auto"/>
          <w:kern w:val="0"/>
          <w:sz w:val="32"/>
          <w:szCs w:val="32"/>
          <w:highlight w:val="none"/>
          <w:lang w:val="en-US" w:eastAsia="zh-CN" w:bidi="ar"/>
        </w:rPr>
        <w:t>4</w:t>
      </w:r>
      <w:r>
        <w:rPr>
          <w:rFonts w:hint="eastAsia" w:ascii="仿宋_GB2312" w:hAnsi="仿宋_GB2312" w:eastAsia="仿宋_GB2312" w:cs="仿宋_GB2312"/>
          <w:color w:val="auto"/>
          <w:kern w:val="0"/>
          <w:sz w:val="32"/>
          <w:szCs w:val="32"/>
          <w:highlight w:val="none"/>
          <w:lang w:bidi="ar"/>
        </w:rPr>
        <w:t>.相互串通申报、协商报价，排斥其他申报企业的公平竞争，损害医疗机构或者其他申报企业的合法利益。</w:t>
      </w:r>
    </w:p>
    <w:p w14:paraId="1208DF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eastAsia="zh-CN" w:bidi="ar"/>
        </w:rPr>
      </w:pPr>
      <w:r>
        <w:rPr>
          <w:rFonts w:hint="eastAsia" w:ascii="仿宋_GB2312" w:hAnsi="仿宋_GB2312" w:eastAsia="仿宋_GB2312" w:cs="仿宋_GB2312"/>
          <w:color w:val="auto"/>
          <w:kern w:val="0"/>
          <w:sz w:val="32"/>
          <w:szCs w:val="32"/>
          <w:highlight w:val="none"/>
          <w:lang w:val="en-US" w:eastAsia="zh-CN" w:bidi="ar"/>
        </w:rPr>
        <w:t>5</w:t>
      </w:r>
      <w:r>
        <w:rPr>
          <w:rFonts w:hint="eastAsia" w:ascii="仿宋_GB2312" w:hAnsi="仿宋_GB2312" w:eastAsia="仿宋_GB2312" w:cs="仿宋_GB2312"/>
          <w:color w:val="auto"/>
          <w:kern w:val="0"/>
          <w:sz w:val="32"/>
          <w:szCs w:val="32"/>
          <w:highlight w:val="none"/>
          <w:lang w:bidi="ar"/>
        </w:rPr>
        <w:t>.以向医疗机构、</w:t>
      </w:r>
      <w:r>
        <w:rPr>
          <w:rFonts w:hint="eastAsia" w:ascii="仿宋_GB2312" w:hAnsi="仿宋_GB2312" w:eastAsia="仿宋_GB2312" w:cs="仿宋_GB2312"/>
          <w:color w:val="auto"/>
          <w:kern w:val="0"/>
          <w:sz w:val="32"/>
          <w:szCs w:val="32"/>
          <w:highlight w:val="none"/>
          <w:lang w:val="en-US" w:eastAsia="zh-CN" w:bidi="ar"/>
        </w:rPr>
        <w:t>联采办</w:t>
      </w:r>
      <w:r>
        <w:rPr>
          <w:rFonts w:hint="eastAsia" w:ascii="仿宋_GB2312" w:hAnsi="仿宋_GB2312" w:eastAsia="仿宋_GB2312" w:cs="仿宋_GB2312"/>
          <w:color w:val="auto"/>
          <w:kern w:val="0"/>
          <w:sz w:val="32"/>
          <w:szCs w:val="32"/>
          <w:highlight w:val="none"/>
          <w:lang w:bidi="ar"/>
        </w:rPr>
        <w:t>行贿等手段牟取中选。</w:t>
      </w:r>
    </w:p>
    <w:p w14:paraId="5D4E1C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highlight w:val="none"/>
        </w:rPr>
      </w:pPr>
      <w:r>
        <w:rPr>
          <w:rFonts w:hint="eastAsia" w:ascii="仿宋_GB2312" w:hAnsi="仿宋_GB2312" w:eastAsia="仿宋_GB2312"/>
          <w:color w:val="auto"/>
          <w:sz w:val="32"/>
          <w:highlight w:val="none"/>
          <w:lang w:val="en-US" w:eastAsia="zh-CN"/>
        </w:rPr>
        <w:t>6</w:t>
      </w:r>
      <w:r>
        <w:rPr>
          <w:rFonts w:hint="eastAsia" w:ascii="仿宋_GB2312" w:hAnsi="仿宋_GB2312" w:eastAsia="仿宋_GB2312"/>
          <w:color w:val="auto"/>
          <w:sz w:val="32"/>
          <w:highlight w:val="none"/>
        </w:rPr>
        <w:t>.提供商业贿赂，进行非法促销活动</w:t>
      </w:r>
      <w:r>
        <w:rPr>
          <w:rFonts w:hint="eastAsia" w:ascii="仿宋_GB2312" w:hAnsi="仿宋_GB2312" w:eastAsia="仿宋_GB2312"/>
          <w:color w:val="auto"/>
          <w:sz w:val="32"/>
          <w:highlight w:val="none"/>
        </w:rPr>
        <w:t>。</w:t>
      </w:r>
    </w:p>
    <w:p w14:paraId="069E9A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bidi="ar"/>
        </w:rPr>
        <w:t>7.</w:t>
      </w:r>
      <w:r>
        <w:rPr>
          <w:rFonts w:hint="eastAsia" w:ascii="仿宋_GB2312" w:hAnsi="仿宋_GB2312" w:eastAsia="仿宋_GB2312" w:cs="仿宋_GB2312"/>
          <w:color w:val="auto"/>
          <w:kern w:val="0"/>
          <w:sz w:val="32"/>
          <w:szCs w:val="32"/>
          <w:highlight w:val="none"/>
          <w:lang w:val="en-US" w:eastAsia="zh-CN" w:bidi="ar"/>
        </w:rPr>
        <w:t>拟中选或中选后放弃中选资格。</w:t>
      </w:r>
    </w:p>
    <w:p w14:paraId="661BF6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8.医疗机构发起签订采购协议后，企业在规定期限内不签订采购协议。</w:t>
      </w:r>
    </w:p>
    <w:p w14:paraId="218C5D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val="en-US" w:eastAsia="zh-CN" w:bidi="ar"/>
        </w:rPr>
        <w:t>9</w:t>
      </w:r>
      <w:r>
        <w:rPr>
          <w:rFonts w:hint="eastAsia" w:ascii="仿宋_GB2312" w:hAnsi="仿宋_GB2312" w:eastAsia="仿宋_GB2312" w:cs="仿宋_GB2312"/>
          <w:color w:val="auto"/>
          <w:kern w:val="0"/>
          <w:sz w:val="32"/>
          <w:szCs w:val="32"/>
          <w:highlight w:val="none"/>
          <w:lang w:bidi="ar"/>
        </w:rPr>
        <w:t>.中选企业、配送企业未按</w:t>
      </w:r>
      <w:r>
        <w:rPr>
          <w:rFonts w:hint="eastAsia" w:ascii="仿宋_GB2312" w:hAnsi="仿宋_GB2312" w:eastAsia="仿宋_GB2312" w:cs="仿宋_GB2312"/>
          <w:color w:val="auto"/>
          <w:kern w:val="0"/>
          <w:sz w:val="32"/>
          <w:szCs w:val="32"/>
          <w:highlight w:val="none"/>
          <w:lang w:val="en-US" w:eastAsia="zh-CN" w:bidi="ar"/>
        </w:rPr>
        <w:t>采购协议</w:t>
      </w:r>
      <w:r>
        <w:rPr>
          <w:rFonts w:hint="eastAsia" w:ascii="仿宋_GB2312" w:hAnsi="仿宋_GB2312" w:eastAsia="仿宋_GB2312" w:cs="仿宋_GB2312"/>
          <w:color w:val="auto"/>
          <w:kern w:val="0"/>
          <w:sz w:val="32"/>
          <w:szCs w:val="32"/>
          <w:highlight w:val="none"/>
          <w:lang w:bidi="ar"/>
        </w:rPr>
        <w:t>及法律法规要求实行配送。</w:t>
      </w:r>
    </w:p>
    <w:p w14:paraId="40DB19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val="en-US" w:eastAsia="zh-CN" w:bidi="ar"/>
        </w:rPr>
        <w:t>10.不履行中选产品、配套工具或伴随服务的</w:t>
      </w:r>
      <w:r>
        <w:rPr>
          <w:rFonts w:hint="eastAsia" w:ascii="仿宋_GB2312" w:hAnsi="仿宋_GB2312" w:eastAsia="仿宋_GB2312" w:cs="仿宋_GB2312"/>
          <w:color w:val="auto"/>
          <w:kern w:val="0"/>
          <w:sz w:val="32"/>
          <w:szCs w:val="32"/>
          <w:highlight w:val="none"/>
          <w:lang w:bidi="ar"/>
        </w:rPr>
        <w:t>供货</w:t>
      </w:r>
      <w:r>
        <w:rPr>
          <w:rFonts w:hint="eastAsia" w:ascii="仿宋_GB2312" w:hAnsi="仿宋_GB2312" w:eastAsia="仿宋_GB2312" w:cs="仿宋_GB2312"/>
          <w:color w:val="auto"/>
          <w:kern w:val="0"/>
          <w:sz w:val="32"/>
          <w:szCs w:val="32"/>
          <w:highlight w:val="none"/>
          <w:lang w:val="en-US" w:eastAsia="zh-CN" w:bidi="ar"/>
        </w:rPr>
        <w:t>承诺，</w:t>
      </w:r>
      <w:r>
        <w:rPr>
          <w:rFonts w:hint="eastAsia" w:ascii="仿宋_GB2312" w:hAnsi="仿宋_GB2312" w:eastAsia="仿宋_GB2312" w:cs="仿宋_GB2312"/>
          <w:color w:val="auto"/>
          <w:kern w:val="0"/>
          <w:sz w:val="32"/>
          <w:szCs w:val="32"/>
          <w:highlight w:val="none"/>
          <w:lang w:bidi="ar"/>
        </w:rPr>
        <w:t>影响到临床使用。</w:t>
      </w:r>
    </w:p>
    <w:p w14:paraId="478A78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11.中选产品</w:t>
      </w:r>
      <w:r>
        <w:rPr>
          <w:rFonts w:hint="eastAsia" w:ascii="仿宋_GB2312" w:hAnsi="仿宋_GB2312" w:eastAsia="仿宋_GB2312" w:cs="仿宋_GB2312"/>
          <w:color w:val="auto"/>
          <w:kern w:val="0"/>
          <w:sz w:val="32"/>
          <w:szCs w:val="32"/>
          <w:highlight w:val="none"/>
          <w:lang w:val="en-US" w:eastAsia="zh-CN" w:bidi="ar"/>
        </w:rPr>
        <w:t>或配套工具</w:t>
      </w:r>
      <w:r>
        <w:rPr>
          <w:rFonts w:hint="eastAsia" w:ascii="仿宋_GB2312" w:hAnsi="仿宋_GB2312" w:eastAsia="仿宋_GB2312" w:cs="仿宋_GB2312"/>
          <w:color w:val="auto"/>
          <w:kern w:val="0"/>
          <w:sz w:val="32"/>
          <w:szCs w:val="32"/>
          <w:highlight w:val="none"/>
          <w:lang w:bidi="ar"/>
        </w:rPr>
        <w:t>发生严重质量问题。</w:t>
      </w:r>
    </w:p>
    <w:p w14:paraId="700D89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bidi="ar"/>
        </w:rPr>
        <w:t>12.</w:t>
      </w:r>
      <w:r>
        <w:rPr>
          <w:rFonts w:hint="eastAsia" w:ascii="仿宋_GB2312" w:hAnsi="仿宋_GB2312" w:eastAsia="仿宋_GB2312" w:cs="仿宋_GB2312"/>
          <w:color w:val="auto"/>
          <w:kern w:val="0"/>
          <w:sz w:val="32"/>
          <w:szCs w:val="32"/>
          <w:highlight w:val="none"/>
          <w:lang w:val="en-US" w:eastAsia="zh-CN" w:bidi="ar"/>
        </w:rPr>
        <w:t>中选产品因不符合医疗器械生产质量管理规范被药品监督管理部门处以暂停生产、进口、经营和使用等控制措施。</w:t>
      </w:r>
    </w:p>
    <w:p w14:paraId="5CFFB2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13.在抽检或飞行检查中发现中选企业严重违背在申报材</w:t>
      </w:r>
      <w:r>
        <w:rPr>
          <w:rFonts w:hint="eastAsia" w:ascii="仿宋_GB2312" w:hAnsi="仿宋_GB2312" w:eastAsia="仿宋_GB2312" w:cs="仿宋_GB2312"/>
          <w:color w:val="auto"/>
          <w:kern w:val="0"/>
          <w:sz w:val="32"/>
          <w:szCs w:val="32"/>
          <w:highlight w:val="none"/>
          <w:lang w:val="en-US" w:eastAsia="zh-CN" w:bidi="ar"/>
        </w:rPr>
        <w:t>料</w:t>
      </w:r>
      <w:r>
        <w:rPr>
          <w:rFonts w:hint="eastAsia" w:ascii="仿宋_GB2312" w:hAnsi="仿宋_GB2312" w:eastAsia="仿宋_GB2312" w:cs="仿宋_GB2312"/>
          <w:color w:val="auto"/>
          <w:kern w:val="0"/>
          <w:sz w:val="32"/>
          <w:szCs w:val="32"/>
          <w:highlight w:val="none"/>
          <w:lang w:bidi="ar"/>
        </w:rPr>
        <w:t>中作出的承诺。</w:t>
      </w:r>
    </w:p>
    <w:p w14:paraId="12BD58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14.通过恶意投诉等不正当手段竞争。</w:t>
      </w:r>
    </w:p>
    <w:p w14:paraId="2DA992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15.蓄意干扰集中带量采购申报材料递交、申报信息公开等相关工作秩序。</w:t>
      </w:r>
    </w:p>
    <w:p w14:paraId="6F2E0B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1</w:t>
      </w:r>
      <w:r>
        <w:rPr>
          <w:rFonts w:hint="eastAsia" w:ascii="仿宋_GB2312" w:hAnsi="仿宋_GB2312" w:eastAsia="仿宋_GB2312" w:cs="仿宋_GB2312"/>
          <w:color w:val="auto"/>
          <w:kern w:val="0"/>
          <w:sz w:val="32"/>
          <w:szCs w:val="32"/>
          <w:highlight w:val="none"/>
          <w:lang w:val="en-US" w:eastAsia="zh-CN" w:bidi="ar"/>
        </w:rPr>
        <w:t>6</w:t>
      </w:r>
      <w:r>
        <w:rPr>
          <w:rFonts w:hint="eastAsia" w:ascii="仿宋_GB2312" w:hAnsi="仿宋_GB2312" w:eastAsia="仿宋_GB2312" w:cs="仿宋_GB2312"/>
          <w:color w:val="auto"/>
          <w:kern w:val="0"/>
          <w:sz w:val="32"/>
          <w:szCs w:val="32"/>
          <w:highlight w:val="none"/>
          <w:lang w:bidi="ar"/>
        </w:rPr>
        <w:t>.其他违反法律法规的行为。</w:t>
      </w:r>
    </w:p>
    <w:p w14:paraId="0A3F3E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color w:val="auto"/>
          <w:kern w:val="0"/>
          <w:sz w:val="32"/>
          <w:szCs w:val="32"/>
          <w:highlight w:val="none"/>
          <w:lang w:bidi="ar"/>
        </w:rPr>
      </w:pPr>
      <w:r>
        <w:rPr>
          <w:rFonts w:hint="eastAsia" w:ascii="楷体_GB2312" w:hAnsi="楷体_GB2312" w:eastAsia="楷体_GB2312" w:cs="楷体_GB2312"/>
          <w:color w:val="auto"/>
          <w:kern w:val="0"/>
          <w:sz w:val="32"/>
          <w:szCs w:val="32"/>
          <w:highlight w:val="none"/>
          <w:lang w:bidi="ar"/>
        </w:rPr>
        <w:t>（</w:t>
      </w:r>
      <w:r>
        <w:rPr>
          <w:rFonts w:hint="eastAsia" w:ascii="楷体_GB2312" w:hAnsi="楷体_GB2312" w:eastAsia="楷体_GB2312" w:cs="楷体_GB2312"/>
          <w:color w:val="auto"/>
          <w:kern w:val="0"/>
          <w:sz w:val="32"/>
          <w:szCs w:val="32"/>
          <w:highlight w:val="none"/>
          <w:lang w:val="en-US" w:eastAsia="zh-CN" w:bidi="ar"/>
        </w:rPr>
        <w:t>三</w:t>
      </w:r>
      <w:r>
        <w:rPr>
          <w:rFonts w:hint="eastAsia" w:ascii="楷体_GB2312" w:hAnsi="楷体_GB2312" w:eastAsia="楷体_GB2312" w:cs="楷体_GB2312"/>
          <w:color w:val="auto"/>
          <w:kern w:val="0"/>
          <w:sz w:val="32"/>
          <w:szCs w:val="32"/>
          <w:highlight w:val="none"/>
          <w:lang w:bidi="ar"/>
        </w:rPr>
        <w:t>）列入“违规名单”的相关企业，按以下</w:t>
      </w:r>
      <w:r>
        <w:rPr>
          <w:rFonts w:hint="eastAsia" w:ascii="楷体_GB2312" w:hAnsi="楷体_GB2312" w:eastAsia="楷体_GB2312" w:cs="楷体_GB2312"/>
          <w:color w:val="auto"/>
          <w:kern w:val="0"/>
          <w:sz w:val="32"/>
          <w:szCs w:val="32"/>
          <w:highlight w:val="none"/>
          <w:lang w:val="en-US" w:eastAsia="zh-CN" w:bidi="ar"/>
        </w:rPr>
        <w:t>条款</w:t>
      </w:r>
      <w:r>
        <w:rPr>
          <w:rFonts w:hint="eastAsia" w:ascii="楷体_GB2312" w:hAnsi="楷体_GB2312" w:eastAsia="楷体_GB2312" w:cs="楷体_GB2312"/>
          <w:color w:val="auto"/>
          <w:kern w:val="0"/>
          <w:sz w:val="32"/>
          <w:szCs w:val="32"/>
          <w:highlight w:val="none"/>
          <w:lang w:bidi="ar"/>
        </w:rPr>
        <w:t>处理</w:t>
      </w:r>
    </w:p>
    <w:p w14:paraId="4C070F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eastAsia="zh-CN" w:bidi="ar"/>
        </w:rPr>
      </w:pPr>
      <w:r>
        <w:rPr>
          <w:rFonts w:hint="eastAsia" w:ascii="仿宋_GB2312" w:hAnsi="仿宋_GB2312" w:eastAsia="仿宋_GB2312" w:cs="仿宋_GB2312"/>
          <w:color w:val="auto"/>
          <w:kern w:val="0"/>
          <w:sz w:val="32"/>
          <w:szCs w:val="32"/>
          <w:highlight w:val="none"/>
          <w:lang w:bidi="ar"/>
        </w:rPr>
        <w:t>1.企业列入“违规名单”的，视情节轻重</w:t>
      </w:r>
      <w:r>
        <w:rPr>
          <w:rFonts w:hint="eastAsia" w:ascii="仿宋_GB2312" w:hAnsi="仿宋_GB2312" w:eastAsia="仿宋_GB2312" w:cs="仿宋_GB2312"/>
          <w:color w:val="auto"/>
          <w:kern w:val="0"/>
          <w:sz w:val="32"/>
          <w:szCs w:val="32"/>
          <w:highlight w:val="none"/>
          <w:lang w:val="en-US" w:eastAsia="zh-CN" w:bidi="ar"/>
        </w:rPr>
        <w:t>及客观实际，可</w:t>
      </w:r>
      <w:r>
        <w:rPr>
          <w:rFonts w:hint="eastAsia" w:ascii="仿宋_GB2312" w:hAnsi="仿宋_GB2312" w:eastAsia="仿宋_GB2312" w:cs="仿宋_GB2312"/>
          <w:color w:val="auto"/>
          <w:kern w:val="0"/>
          <w:sz w:val="32"/>
          <w:szCs w:val="32"/>
          <w:highlight w:val="none"/>
          <w:lang w:bidi="ar"/>
        </w:rPr>
        <w:t>取消上述企业</w:t>
      </w:r>
      <w:r>
        <w:rPr>
          <w:rFonts w:hint="eastAsia" w:ascii="仿宋_GB2312" w:hAnsi="仿宋_GB2312" w:eastAsia="仿宋_GB2312" w:cs="仿宋_GB2312"/>
          <w:color w:val="auto"/>
          <w:kern w:val="0"/>
          <w:sz w:val="32"/>
          <w:szCs w:val="32"/>
          <w:highlight w:val="none"/>
          <w:lang w:val="en-US" w:eastAsia="zh-CN" w:bidi="ar"/>
        </w:rPr>
        <w:t>或产品</w:t>
      </w:r>
      <w:r>
        <w:rPr>
          <w:rFonts w:hint="eastAsia" w:ascii="仿宋_GB2312" w:hAnsi="仿宋_GB2312" w:eastAsia="仿宋_GB2312" w:cs="仿宋_GB2312"/>
          <w:color w:val="auto"/>
          <w:kern w:val="0"/>
          <w:sz w:val="32"/>
          <w:szCs w:val="32"/>
          <w:highlight w:val="none"/>
          <w:lang w:bidi="ar"/>
        </w:rPr>
        <w:t>在列入“违规名单”之日起</w:t>
      </w:r>
      <w:r>
        <w:rPr>
          <w:rFonts w:hint="eastAsia" w:ascii="仿宋_GB2312" w:hAnsi="仿宋_GB2312" w:eastAsia="仿宋_GB2312" w:cs="仿宋_GB2312"/>
          <w:color w:val="auto"/>
          <w:kern w:val="0"/>
          <w:sz w:val="32"/>
          <w:szCs w:val="32"/>
          <w:highlight w:val="none"/>
          <w:lang w:val="en-US" w:eastAsia="zh-CN" w:bidi="ar"/>
        </w:rPr>
        <w:t>6个月至6年（含）</w:t>
      </w:r>
      <w:r>
        <w:rPr>
          <w:rFonts w:hint="eastAsia" w:ascii="仿宋_GB2312" w:hAnsi="仿宋_GB2312" w:eastAsia="仿宋_GB2312" w:cs="仿宋_GB2312"/>
          <w:color w:val="auto"/>
          <w:kern w:val="0"/>
          <w:sz w:val="32"/>
          <w:szCs w:val="32"/>
          <w:highlight w:val="none"/>
          <w:lang w:bidi="ar"/>
        </w:rPr>
        <w:t>参与联盟各地区医用耗材采购活动的资格。</w:t>
      </w:r>
    </w:p>
    <w:p w14:paraId="7EAC64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2.配送企业列入“违规名单”的，</w:t>
      </w:r>
      <w:r>
        <w:rPr>
          <w:rFonts w:hint="eastAsia" w:ascii="仿宋_GB2312" w:hAnsi="仿宋_GB2312" w:eastAsia="仿宋_GB2312" w:cs="仿宋_GB2312"/>
          <w:color w:val="auto"/>
          <w:kern w:val="0"/>
          <w:sz w:val="32"/>
          <w:szCs w:val="32"/>
          <w:highlight w:val="none"/>
          <w:lang w:val="en-US" w:eastAsia="zh-CN" w:bidi="ar"/>
        </w:rPr>
        <w:t>相应地区可</w:t>
      </w:r>
      <w:r>
        <w:rPr>
          <w:rFonts w:hint="eastAsia" w:ascii="仿宋_GB2312" w:hAnsi="仿宋_GB2312" w:eastAsia="仿宋_GB2312" w:cs="仿宋_GB2312"/>
          <w:color w:val="auto"/>
          <w:kern w:val="0"/>
          <w:sz w:val="32"/>
          <w:szCs w:val="32"/>
          <w:highlight w:val="none"/>
          <w:lang w:bidi="ar"/>
        </w:rPr>
        <w:t>取消该企业</w:t>
      </w:r>
      <w:r>
        <w:rPr>
          <w:rFonts w:hint="eastAsia" w:ascii="仿宋_GB2312" w:hAnsi="仿宋_GB2312" w:eastAsia="仿宋_GB2312" w:cs="仿宋_GB2312"/>
          <w:color w:val="auto"/>
          <w:kern w:val="0"/>
          <w:sz w:val="32"/>
          <w:szCs w:val="32"/>
          <w:highlight w:val="none"/>
          <w:lang w:val="en-US" w:eastAsia="zh-CN" w:bidi="ar"/>
        </w:rPr>
        <w:t>的配送资格及</w:t>
      </w:r>
      <w:r>
        <w:rPr>
          <w:rFonts w:hint="eastAsia" w:ascii="仿宋_GB2312" w:hAnsi="仿宋_GB2312" w:eastAsia="仿宋_GB2312" w:cs="仿宋_GB2312"/>
          <w:color w:val="auto"/>
          <w:kern w:val="0"/>
          <w:sz w:val="32"/>
          <w:szCs w:val="32"/>
          <w:highlight w:val="none"/>
          <w:lang w:bidi="ar"/>
        </w:rPr>
        <w:t>列入“违规名单”之日起2年</w:t>
      </w:r>
      <w:r>
        <w:rPr>
          <w:rFonts w:hint="eastAsia" w:ascii="仿宋_GB2312" w:hAnsi="仿宋_GB2312" w:eastAsia="仿宋_GB2312" w:cs="仿宋_GB2312"/>
          <w:color w:val="auto"/>
          <w:kern w:val="0"/>
          <w:sz w:val="32"/>
          <w:szCs w:val="32"/>
          <w:highlight w:val="none"/>
          <w:lang w:val="en-US" w:eastAsia="zh-CN" w:bidi="ar"/>
        </w:rPr>
        <w:t>及以</w:t>
      </w:r>
      <w:r>
        <w:rPr>
          <w:rFonts w:hint="eastAsia" w:ascii="仿宋_GB2312" w:hAnsi="仿宋_GB2312" w:eastAsia="仿宋_GB2312" w:cs="仿宋_GB2312"/>
          <w:color w:val="auto"/>
          <w:kern w:val="0"/>
          <w:sz w:val="32"/>
          <w:szCs w:val="32"/>
          <w:highlight w:val="none"/>
          <w:lang w:bidi="ar"/>
        </w:rPr>
        <w:t>内参与</w:t>
      </w:r>
      <w:r>
        <w:rPr>
          <w:rFonts w:hint="eastAsia" w:ascii="仿宋_GB2312" w:hAnsi="仿宋_GB2312" w:eastAsia="仿宋_GB2312" w:cs="仿宋_GB2312"/>
          <w:color w:val="auto"/>
          <w:kern w:val="0"/>
          <w:sz w:val="32"/>
          <w:szCs w:val="32"/>
          <w:highlight w:val="none"/>
          <w:lang w:val="en-US" w:eastAsia="zh-CN" w:bidi="ar"/>
        </w:rPr>
        <w:t>相应</w:t>
      </w:r>
      <w:r>
        <w:rPr>
          <w:rFonts w:hint="eastAsia" w:ascii="仿宋_GB2312" w:hAnsi="仿宋_GB2312" w:eastAsia="仿宋_GB2312" w:cs="仿宋_GB2312"/>
          <w:color w:val="auto"/>
          <w:kern w:val="0"/>
          <w:sz w:val="32"/>
          <w:szCs w:val="32"/>
          <w:highlight w:val="none"/>
          <w:lang w:bidi="ar"/>
        </w:rPr>
        <w:t>地区医用耗材集中采购</w:t>
      </w:r>
      <w:r>
        <w:rPr>
          <w:rFonts w:hint="eastAsia" w:ascii="仿宋_GB2312" w:hAnsi="仿宋_GB2312" w:eastAsia="仿宋_GB2312" w:cs="仿宋_GB2312"/>
          <w:color w:val="auto"/>
          <w:kern w:val="0"/>
          <w:sz w:val="32"/>
          <w:szCs w:val="32"/>
          <w:highlight w:val="none"/>
          <w:lang w:val="en-US" w:eastAsia="zh-CN" w:bidi="ar"/>
        </w:rPr>
        <w:t>的</w:t>
      </w:r>
      <w:r>
        <w:rPr>
          <w:rFonts w:hint="eastAsia" w:ascii="仿宋_GB2312" w:hAnsi="仿宋_GB2312" w:eastAsia="仿宋_GB2312" w:cs="仿宋_GB2312"/>
          <w:color w:val="auto"/>
          <w:kern w:val="0"/>
          <w:sz w:val="32"/>
          <w:szCs w:val="32"/>
          <w:highlight w:val="none"/>
          <w:lang w:bidi="ar"/>
        </w:rPr>
        <w:t>配送资格。</w:t>
      </w:r>
    </w:p>
    <w:p w14:paraId="22A66C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kern w:val="0"/>
          <w:sz w:val="32"/>
          <w:szCs w:val="32"/>
          <w:highlight w:val="none"/>
          <w:lang w:eastAsia="zh-CN" w:bidi="ar"/>
        </w:rPr>
      </w:pPr>
      <w:r>
        <w:rPr>
          <w:rFonts w:hint="eastAsia" w:ascii="楷体_GB2312" w:hAnsi="楷体_GB2312" w:eastAsia="楷体_GB2312" w:cs="楷体_GB2312"/>
          <w:color w:val="auto"/>
          <w:kern w:val="0"/>
          <w:sz w:val="32"/>
          <w:szCs w:val="32"/>
          <w:highlight w:val="none"/>
          <w:lang w:bidi="ar"/>
        </w:rPr>
        <w:t>（</w:t>
      </w:r>
      <w:r>
        <w:rPr>
          <w:rFonts w:hint="eastAsia" w:ascii="楷体_GB2312" w:hAnsi="楷体_GB2312" w:eastAsia="楷体_GB2312" w:cs="楷体_GB2312"/>
          <w:color w:val="auto"/>
          <w:kern w:val="0"/>
          <w:sz w:val="32"/>
          <w:szCs w:val="32"/>
          <w:highlight w:val="none"/>
          <w:lang w:eastAsia="zh-CN" w:bidi="ar"/>
        </w:rPr>
        <w:t>四</w:t>
      </w:r>
      <w:r>
        <w:rPr>
          <w:rFonts w:hint="eastAsia" w:ascii="楷体_GB2312" w:hAnsi="楷体_GB2312" w:eastAsia="楷体_GB2312" w:cs="楷体_GB2312"/>
          <w:color w:val="auto"/>
          <w:kern w:val="0"/>
          <w:sz w:val="32"/>
          <w:szCs w:val="32"/>
          <w:highlight w:val="none"/>
          <w:lang w:bidi="ar"/>
        </w:rPr>
        <w:t>）其他事项</w:t>
      </w:r>
    </w:p>
    <w:p w14:paraId="7F0107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eastAsia="zh-CN" w:bidi="ar"/>
        </w:rPr>
      </w:pPr>
      <w:r>
        <w:rPr>
          <w:rFonts w:hint="eastAsia" w:ascii="仿宋_GB2312" w:hAnsi="仿宋_GB2312" w:eastAsia="仿宋_GB2312" w:cs="仿宋_GB2312"/>
          <w:color w:val="auto"/>
          <w:kern w:val="0"/>
          <w:sz w:val="32"/>
          <w:szCs w:val="32"/>
          <w:highlight w:val="none"/>
          <w:lang w:bidi="ar"/>
        </w:rPr>
        <w:t>1.中选产品出现被药品监督管理部门暂停生产、销售、使用、进口等情况，取消中选资格。</w:t>
      </w:r>
    </w:p>
    <w:p w14:paraId="7F8AAC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bidi="ar"/>
        </w:rPr>
        <w:t>2.采购周期内，中选企业出现无法保证供应等情况，致使采购协议无法继续履行时，</w:t>
      </w:r>
      <w:r>
        <w:rPr>
          <w:rFonts w:hint="eastAsia" w:ascii="仿宋_GB2312" w:hAnsi="仿宋_GB2312" w:eastAsia="仿宋_GB2312" w:cs="仿宋_GB2312"/>
          <w:color w:val="auto"/>
          <w:kern w:val="0"/>
          <w:sz w:val="32"/>
          <w:szCs w:val="32"/>
          <w:highlight w:val="none"/>
          <w:lang w:val="en-US" w:eastAsia="zh-CN" w:bidi="ar"/>
        </w:rPr>
        <w:t>相关地区与该企业协商后，</w:t>
      </w:r>
      <w:r>
        <w:rPr>
          <w:rFonts w:hint="eastAsia" w:ascii="仿宋_GB2312" w:hAnsi="仿宋_GB2312" w:eastAsia="仿宋_GB2312" w:cs="仿宋_GB2312"/>
          <w:color w:val="auto"/>
          <w:kern w:val="0"/>
          <w:sz w:val="32"/>
          <w:szCs w:val="32"/>
          <w:highlight w:val="none"/>
          <w:lang w:bidi="ar"/>
        </w:rPr>
        <w:t>由医疗机构自主选择价格适宜的中选产品。因保障供应产生的额外支出由无法履行采购协议的原中选企业承担。</w:t>
      </w:r>
    </w:p>
    <w:p w14:paraId="43A121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eastAsia="zh-CN" w:bidi="ar"/>
        </w:rPr>
      </w:pPr>
      <w:r>
        <w:rPr>
          <w:rFonts w:hint="eastAsia" w:ascii="仿宋_GB2312" w:hAnsi="仿宋_GB2312" w:eastAsia="仿宋_GB2312" w:cs="仿宋_GB2312"/>
          <w:color w:val="auto"/>
          <w:kern w:val="0"/>
          <w:sz w:val="32"/>
          <w:szCs w:val="32"/>
          <w:highlight w:val="none"/>
          <w:lang w:val="en-US" w:eastAsia="zh-CN" w:bidi="ar"/>
        </w:rPr>
        <w:t>3.</w:t>
      </w:r>
      <w:r>
        <w:rPr>
          <w:rFonts w:hint="eastAsia" w:ascii="仿宋_GB2312" w:hAnsi="仿宋_GB2312" w:eastAsia="仿宋_GB2312" w:cs="仿宋_GB2312"/>
          <w:color w:val="auto"/>
          <w:kern w:val="0"/>
          <w:sz w:val="32"/>
          <w:szCs w:val="32"/>
          <w:highlight w:val="none"/>
          <w:lang w:bidi="ar"/>
        </w:rPr>
        <w:t>采购周期内，若中选产品的配送企业被列入“违规名单”，中选企业</w:t>
      </w:r>
      <w:r>
        <w:rPr>
          <w:rFonts w:hint="eastAsia" w:ascii="仿宋_GB2312" w:hAnsi="仿宋_GB2312" w:eastAsia="仿宋_GB2312" w:cs="仿宋_GB2312"/>
          <w:color w:val="auto"/>
          <w:kern w:val="0"/>
          <w:sz w:val="32"/>
          <w:szCs w:val="32"/>
          <w:highlight w:val="none"/>
          <w:lang w:val="en-US" w:eastAsia="zh-CN" w:bidi="ar"/>
        </w:rPr>
        <w:t>应及时</w:t>
      </w:r>
      <w:r>
        <w:rPr>
          <w:rFonts w:hint="eastAsia" w:ascii="仿宋_GB2312" w:hAnsi="仿宋_GB2312" w:eastAsia="仿宋_GB2312" w:cs="仿宋_GB2312"/>
          <w:color w:val="auto"/>
          <w:kern w:val="0"/>
          <w:sz w:val="32"/>
          <w:szCs w:val="32"/>
          <w:highlight w:val="none"/>
          <w:lang w:bidi="ar"/>
        </w:rPr>
        <w:t>选择其他配送企业，确保中选产品及时配送。</w:t>
      </w:r>
    </w:p>
    <w:p w14:paraId="0E9714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lang w:eastAsia="zh-CN" w:bidi="ar"/>
        </w:rPr>
      </w:pPr>
      <w:r>
        <w:rPr>
          <w:rFonts w:hint="eastAsia" w:ascii="仿宋_GB2312" w:hAnsi="仿宋_GB2312" w:eastAsia="仿宋_GB2312" w:cs="仿宋_GB2312"/>
          <w:color w:val="auto"/>
          <w:kern w:val="0"/>
          <w:sz w:val="32"/>
          <w:szCs w:val="32"/>
          <w:highlight w:val="none"/>
          <w:lang w:val="en-US" w:eastAsia="zh-CN" w:bidi="ar"/>
        </w:rPr>
        <w:t>4</w:t>
      </w:r>
      <w:r>
        <w:rPr>
          <w:rFonts w:hint="eastAsia" w:ascii="仿宋_GB2312" w:hAnsi="仿宋_GB2312" w:eastAsia="仿宋_GB2312" w:cs="仿宋_GB2312"/>
          <w:color w:val="auto"/>
          <w:kern w:val="0"/>
          <w:sz w:val="32"/>
          <w:szCs w:val="32"/>
          <w:highlight w:val="none"/>
          <w:lang w:bidi="ar"/>
        </w:rPr>
        <w:t>.因中选产品存在生产质量问题，给患者造成损失的，按照相关规定，由中选企业承担全部赔偿责任。</w:t>
      </w:r>
    </w:p>
    <w:p w14:paraId="1DDE04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5.经调查确认中选企业存在串通申报、协商报价等违背在申报材料中作出的承诺等行为的，取消中选资格，并赔偿采购相关方的损失。</w:t>
      </w:r>
    </w:p>
    <w:p w14:paraId="2067CC85">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outlineLvl w:val="9"/>
        <w:rPr>
          <w:rFonts w:hint="default" w:ascii="Times New Roman" w:hAnsi="Times New Roman" w:eastAsia="方正仿宋_GBK" w:cs="仿宋_GB2312"/>
          <w:color w:val="auto"/>
          <w:kern w:val="21"/>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6</w:t>
      </w:r>
      <w:r>
        <w:rPr>
          <w:rFonts w:hint="eastAsia" w:ascii="仿宋_GB2312" w:hAnsi="仿宋_GB2312" w:eastAsia="仿宋_GB2312" w:cs="仿宋_GB2312"/>
          <w:color w:val="auto"/>
          <w:kern w:val="0"/>
          <w:sz w:val="32"/>
          <w:szCs w:val="32"/>
          <w:highlight w:val="none"/>
          <w:lang w:bidi="ar"/>
        </w:rPr>
        <w:t>.鼓励相关企业在集采过程中积极主动提供围标、串标、</w:t>
      </w:r>
      <w:r>
        <w:rPr>
          <w:rFonts w:hint="eastAsia" w:ascii="仿宋_GB2312" w:hAnsi="仿宋_GB2312" w:eastAsia="仿宋_GB2312" w:cs="仿宋_GB2312"/>
          <w:color w:val="auto"/>
          <w:kern w:val="0"/>
          <w:sz w:val="32"/>
          <w:szCs w:val="32"/>
          <w:highlight w:val="none"/>
          <w:lang w:val="en-US" w:eastAsia="zh-CN" w:bidi="ar"/>
        </w:rPr>
        <w:t>弄</w:t>
      </w:r>
      <w:r>
        <w:rPr>
          <w:rFonts w:hint="eastAsia" w:ascii="仿宋_GB2312" w:hAnsi="仿宋_GB2312" w:eastAsia="仿宋_GB2312" w:cs="仿宋_GB2312"/>
          <w:color w:val="auto"/>
          <w:kern w:val="0"/>
          <w:sz w:val="32"/>
          <w:szCs w:val="32"/>
          <w:highlight w:val="none"/>
          <w:lang w:bidi="ar"/>
        </w:rPr>
        <w:t>虚作假等证据，经查证属实，提供证据的企业若涉及医药企业信用失信的，其失信自动修复时限可相应缩短。对于首个提供围标线索及有效证据的企业（含参与围标企业），或围标事件调查过程中首个主动承认参与围标的企业，可依法依规从宽处理。</w:t>
      </w:r>
    </w:p>
    <w:p w14:paraId="4530CD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方正黑体_GBK" w:hAnsi="方正黑体_GBK" w:eastAsia="方正黑体_GBK" w:cs="方正黑体_GBK"/>
          <w:color w:val="auto"/>
          <w:kern w:val="21"/>
          <w:sz w:val="32"/>
          <w:szCs w:val="32"/>
          <w:highlight w:val="none"/>
          <w:lang w:val="en-US" w:eastAsia="zh-CN"/>
        </w:rPr>
      </w:pPr>
      <w:r>
        <w:rPr>
          <w:rFonts w:hint="eastAsia" w:ascii="方正黑体_GBK" w:hAnsi="方正黑体_GBK" w:eastAsia="方正黑体_GBK" w:cs="方正黑体_GBK"/>
          <w:color w:val="auto"/>
          <w:kern w:val="21"/>
          <w:sz w:val="32"/>
          <w:szCs w:val="32"/>
          <w:highlight w:val="none"/>
          <w:lang w:val="en-US" w:eastAsia="zh-CN"/>
        </w:rPr>
        <w:t>十三、其他</w:t>
      </w:r>
    </w:p>
    <w:p w14:paraId="6A0322C4">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outlineLvl w:val="9"/>
        <w:rPr>
          <w:rFonts w:hint="eastAsia" w:ascii="仿宋_GB2312" w:hAnsi="仿宋_GB2312" w:eastAsia="仿宋_GB2312" w:cs="仿宋_GB2312"/>
          <w:color w:val="auto"/>
          <w:kern w:val="0"/>
          <w:sz w:val="32"/>
          <w:szCs w:val="32"/>
          <w:highlight w:val="none"/>
          <w:lang w:bidi="ar"/>
        </w:rPr>
      </w:pPr>
      <w:r>
        <w:rPr>
          <w:rFonts w:hint="default" w:ascii="仿宋_GB2312" w:hAnsi="仿宋_GB2312" w:eastAsia="仿宋_GB2312" w:cs="仿宋_GB2312"/>
          <w:color w:val="auto"/>
          <w:kern w:val="0"/>
          <w:sz w:val="32"/>
          <w:szCs w:val="32"/>
          <w:highlight w:val="none"/>
          <w:lang w:val="en-US" w:eastAsia="zh-CN" w:bidi="ar"/>
        </w:rPr>
        <w:t>本方案由</w:t>
      </w:r>
      <w:r>
        <w:rPr>
          <w:rFonts w:hint="default" w:ascii="仿宋_GB2312" w:hAnsi="仿宋_GB2312" w:eastAsia="仿宋_GB2312" w:cs="仿宋_GB2312"/>
          <w:color w:val="auto"/>
          <w:kern w:val="21"/>
          <w:sz w:val="32"/>
          <w:szCs w:val="32"/>
          <w:highlight w:val="none"/>
          <w:lang w:val="en-US" w:eastAsia="zh-CN" w:bidi="ar"/>
        </w:rPr>
        <w:t>外周血管介入类导引导丝省际联盟集中带量采购工作领导小组办公室</w:t>
      </w:r>
      <w:r>
        <w:rPr>
          <w:rFonts w:hint="default" w:ascii="仿宋_GB2312" w:hAnsi="仿宋_GB2312" w:eastAsia="仿宋_GB2312" w:cs="仿宋_GB2312"/>
          <w:color w:val="auto"/>
          <w:kern w:val="0"/>
          <w:sz w:val="32"/>
          <w:szCs w:val="32"/>
          <w:highlight w:val="none"/>
          <w:lang w:val="en-US" w:eastAsia="zh-CN" w:bidi="ar"/>
        </w:rPr>
        <w:t>（</w:t>
      </w:r>
      <w:r>
        <w:rPr>
          <w:rFonts w:hint="eastAsia" w:ascii="仿宋_GB2312" w:hAnsi="仿宋_GB2312" w:eastAsia="仿宋_GB2312" w:cs="仿宋_GB2312"/>
          <w:color w:val="auto"/>
          <w:kern w:val="0"/>
          <w:sz w:val="32"/>
          <w:szCs w:val="32"/>
          <w:highlight w:val="none"/>
          <w:lang w:val="en-US" w:eastAsia="zh-CN" w:bidi="ar"/>
        </w:rPr>
        <w:t>新疆维吾尔自治区医疗保障局、新疆生产建设兵团医疗保障局</w:t>
      </w:r>
      <w:r>
        <w:rPr>
          <w:rFonts w:hint="default" w:ascii="仿宋_GB2312" w:hAnsi="仿宋_GB2312" w:eastAsia="仿宋_GB2312" w:cs="仿宋_GB2312"/>
          <w:color w:val="auto"/>
          <w:kern w:val="0"/>
          <w:sz w:val="32"/>
          <w:szCs w:val="32"/>
          <w:highlight w:val="none"/>
          <w:lang w:val="en-US" w:eastAsia="zh-CN" w:bidi="ar"/>
        </w:rPr>
        <w:t>）负责解释，遇有国家政策调整，按照国家相关规定执行。</w:t>
      </w:r>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B00472-BEB0-491B-996C-0EACEA2085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2000000000000000000"/>
    <w:charset w:val="86"/>
    <w:family w:val="script"/>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auto"/>
    <w:pitch w:val="default"/>
    <w:sig w:usb0="00000001" w:usb1="080E0000" w:usb2="00000000" w:usb3="00000000" w:csb0="00040000" w:csb1="00000000"/>
    <w:embedRegular r:id="rId2" w:fontKey="{E197ACB9-5FFA-4032-8749-F9CB32DF9482}"/>
  </w:font>
  <w:font w:name="仿宋_GB2312">
    <w:panose1 w:val="02010609030101010101"/>
    <w:charset w:val="86"/>
    <w:family w:val="auto"/>
    <w:pitch w:val="default"/>
    <w:sig w:usb0="00000001" w:usb1="080E0000" w:usb2="00000000" w:usb3="00000000" w:csb0="00040000" w:csb1="00000000"/>
    <w:embedRegular r:id="rId3" w:fontKey="{595A5868-CF90-47C1-ACA4-D956B4161AE2}"/>
  </w:font>
  <w:font w:name="方正黑体_GBK">
    <w:panose1 w:val="03000509000000000000"/>
    <w:charset w:val="86"/>
    <w:family w:val="auto"/>
    <w:pitch w:val="default"/>
    <w:sig w:usb0="00000001" w:usb1="080E0000" w:usb2="00000000" w:usb3="00000000" w:csb0="00040000" w:csb1="00000000"/>
    <w:embedRegular r:id="rId4" w:fontKey="{C460ACB7-7F5A-4CA3-944F-CC30E46B187D}"/>
  </w:font>
  <w:font w:name="楷体_GB2312">
    <w:panose1 w:val="02010609030101010101"/>
    <w:charset w:val="86"/>
    <w:family w:val="auto"/>
    <w:pitch w:val="default"/>
    <w:sig w:usb0="00000001" w:usb1="080E0000" w:usb2="00000000" w:usb3="00000000" w:csb0="00040000" w:csb1="00000000"/>
    <w:embedRegular r:id="rId5" w:fontKey="{45E77B72-5F4D-4A14-8BBA-C71CEBCA0700}"/>
  </w:font>
  <w:font w:name="方正楷体_GBK">
    <w:panose1 w:val="03000509000000000000"/>
    <w:charset w:val="86"/>
    <w:family w:val="auto"/>
    <w:pitch w:val="default"/>
    <w:sig w:usb0="00000001" w:usb1="080E0000" w:usb2="00000000" w:usb3="00000000" w:csb0="00040000" w:csb1="00000000"/>
    <w:embedRegular r:id="rId6" w:fontKey="{8F2992C8-6C23-45D2-8224-7951FDC27F5F}"/>
  </w:font>
  <w:font w:name="方正仿宋_GBK">
    <w:panose1 w:val="03000509000000000000"/>
    <w:charset w:val="86"/>
    <w:family w:val="script"/>
    <w:pitch w:val="default"/>
    <w:sig w:usb0="00000001" w:usb1="080E0000" w:usb2="00000000" w:usb3="00000000" w:csb0="00040000" w:csb1="00000000"/>
    <w:embedRegular r:id="rId7" w:fontKey="{5710E930-4341-4818-8910-71EB678E0B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986B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B4991">
                          <w:pPr>
                            <w:pStyle w:val="2"/>
                            <w:rPr>
                              <w:sz w:val="21"/>
                              <w:szCs w:val="21"/>
                            </w:rPr>
                          </w:pPr>
                          <w:r>
                            <w:rPr>
                              <w:rFonts w:hint="eastAsia" w:ascii="方正仿宋_GBK" w:hAnsi="方正仿宋_GBK" w:eastAsia="方正仿宋_GBK" w:cs="方正仿宋_GBK"/>
                              <w:sz w:val="21"/>
                              <w:szCs w:val="21"/>
                            </w:rPr>
                            <w:fldChar w:fldCharType="begin"/>
                          </w:r>
                          <w:r>
                            <w:rPr>
                              <w:rFonts w:hint="eastAsia" w:ascii="方正仿宋_GBK" w:hAnsi="方正仿宋_GBK" w:eastAsia="方正仿宋_GBK" w:cs="方正仿宋_GBK"/>
                              <w:sz w:val="21"/>
                              <w:szCs w:val="21"/>
                            </w:rPr>
                            <w:instrText xml:space="preserve"> PAGE  \* MERGEFORMAT </w:instrText>
                          </w:r>
                          <w:r>
                            <w:rPr>
                              <w:rFonts w:hint="eastAsia" w:ascii="方正仿宋_GBK" w:hAnsi="方正仿宋_GBK" w:eastAsia="方正仿宋_GBK" w:cs="方正仿宋_GBK"/>
                              <w:sz w:val="21"/>
                              <w:szCs w:val="21"/>
                            </w:rPr>
                            <w:fldChar w:fldCharType="separate"/>
                          </w:r>
                          <w:r>
                            <w:rPr>
                              <w:rFonts w:hint="eastAsia" w:ascii="方正仿宋_GBK" w:hAnsi="方正仿宋_GBK" w:eastAsia="方正仿宋_GBK" w:cs="方正仿宋_GBK"/>
                              <w:sz w:val="21"/>
                              <w:szCs w:val="21"/>
                            </w:rPr>
                            <w:t>1</w:t>
                          </w:r>
                          <w:r>
                            <w:rPr>
                              <w:rFonts w:hint="eastAsia" w:ascii="方正仿宋_GBK" w:hAnsi="方正仿宋_GBK" w:eastAsia="方正仿宋_GBK" w:cs="方正仿宋_GBK"/>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AB4991">
                    <w:pPr>
                      <w:pStyle w:val="2"/>
                      <w:rPr>
                        <w:sz w:val="21"/>
                        <w:szCs w:val="21"/>
                      </w:rPr>
                    </w:pPr>
                    <w:r>
                      <w:rPr>
                        <w:rFonts w:hint="eastAsia" w:ascii="方正仿宋_GBK" w:hAnsi="方正仿宋_GBK" w:eastAsia="方正仿宋_GBK" w:cs="方正仿宋_GBK"/>
                        <w:sz w:val="21"/>
                        <w:szCs w:val="21"/>
                      </w:rPr>
                      <w:fldChar w:fldCharType="begin"/>
                    </w:r>
                    <w:r>
                      <w:rPr>
                        <w:rFonts w:hint="eastAsia" w:ascii="方正仿宋_GBK" w:hAnsi="方正仿宋_GBK" w:eastAsia="方正仿宋_GBK" w:cs="方正仿宋_GBK"/>
                        <w:sz w:val="21"/>
                        <w:szCs w:val="21"/>
                      </w:rPr>
                      <w:instrText xml:space="preserve"> PAGE  \* MERGEFORMAT </w:instrText>
                    </w:r>
                    <w:r>
                      <w:rPr>
                        <w:rFonts w:hint="eastAsia" w:ascii="方正仿宋_GBK" w:hAnsi="方正仿宋_GBK" w:eastAsia="方正仿宋_GBK" w:cs="方正仿宋_GBK"/>
                        <w:sz w:val="21"/>
                        <w:szCs w:val="21"/>
                      </w:rPr>
                      <w:fldChar w:fldCharType="separate"/>
                    </w:r>
                    <w:r>
                      <w:rPr>
                        <w:rFonts w:hint="eastAsia" w:ascii="方正仿宋_GBK" w:hAnsi="方正仿宋_GBK" w:eastAsia="方正仿宋_GBK" w:cs="方正仿宋_GBK"/>
                        <w:sz w:val="21"/>
                        <w:szCs w:val="21"/>
                      </w:rPr>
                      <w:t>1</w:t>
                    </w:r>
                    <w:r>
                      <w:rPr>
                        <w:rFonts w:hint="eastAsia" w:ascii="方正仿宋_GBK" w:hAnsi="方正仿宋_GBK" w:eastAsia="方正仿宋_GBK" w:cs="方正仿宋_GBK"/>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1NjNlY2M1MzY4MDU4YzA1YzNhZDFiNGE1M2Q4ZjMifQ=="/>
  </w:docVars>
  <w:rsids>
    <w:rsidRoot w:val="3CE12188"/>
    <w:rsid w:val="003D21B2"/>
    <w:rsid w:val="00501EE6"/>
    <w:rsid w:val="00867931"/>
    <w:rsid w:val="00C33E5A"/>
    <w:rsid w:val="00D64AE1"/>
    <w:rsid w:val="01361677"/>
    <w:rsid w:val="015821CD"/>
    <w:rsid w:val="015B3238"/>
    <w:rsid w:val="0195764A"/>
    <w:rsid w:val="01BB3CD7"/>
    <w:rsid w:val="02076F1C"/>
    <w:rsid w:val="02263357"/>
    <w:rsid w:val="023F2212"/>
    <w:rsid w:val="025263E9"/>
    <w:rsid w:val="032B09E8"/>
    <w:rsid w:val="03304250"/>
    <w:rsid w:val="03394EB3"/>
    <w:rsid w:val="035148F2"/>
    <w:rsid w:val="040E548E"/>
    <w:rsid w:val="043774CE"/>
    <w:rsid w:val="045035F6"/>
    <w:rsid w:val="048B5207"/>
    <w:rsid w:val="04934A97"/>
    <w:rsid w:val="051F457C"/>
    <w:rsid w:val="054D733B"/>
    <w:rsid w:val="055E32F7"/>
    <w:rsid w:val="056337B3"/>
    <w:rsid w:val="05791EDF"/>
    <w:rsid w:val="05B3330C"/>
    <w:rsid w:val="05C95532"/>
    <w:rsid w:val="05CA7B12"/>
    <w:rsid w:val="06262334"/>
    <w:rsid w:val="063B53E6"/>
    <w:rsid w:val="064C75F3"/>
    <w:rsid w:val="066C37F1"/>
    <w:rsid w:val="06954AF6"/>
    <w:rsid w:val="06A50AB1"/>
    <w:rsid w:val="06F061D0"/>
    <w:rsid w:val="06FA704F"/>
    <w:rsid w:val="07247C28"/>
    <w:rsid w:val="07351E35"/>
    <w:rsid w:val="0741116F"/>
    <w:rsid w:val="078D7EC3"/>
    <w:rsid w:val="07D000A4"/>
    <w:rsid w:val="083245C7"/>
    <w:rsid w:val="083D3697"/>
    <w:rsid w:val="084C7436"/>
    <w:rsid w:val="08AB0B44"/>
    <w:rsid w:val="08B7391C"/>
    <w:rsid w:val="08B97B9F"/>
    <w:rsid w:val="0990452D"/>
    <w:rsid w:val="09A84B40"/>
    <w:rsid w:val="09B71227"/>
    <w:rsid w:val="09D516AE"/>
    <w:rsid w:val="0A2F0DBE"/>
    <w:rsid w:val="0A665632"/>
    <w:rsid w:val="0A6749FB"/>
    <w:rsid w:val="0A680E2B"/>
    <w:rsid w:val="0A9438A6"/>
    <w:rsid w:val="0AD53D4E"/>
    <w:rsid w:val="0AED6EE1"/>
    <w:rsid w:val="0B0C1872"/>
    <w:rsid w:val="0B0E4E77"/>
    <w:rsid w:val="0B4F7789"/>
    <w:rsid w:val="0B505490"/>
    <w:rsid w:val="0BB04180"/>
    <w:rsid w:val="0BC55E7E"/>
    <w:rsid w:val="0CB437FC"/>
    <w:rsid w:val="0D051E9D"/>
    <w:rsid w:val="0D0D38A1"/>
    <w:rsid w:val="0D467B40"/>
    <w:rsid w:val="0D470B14"/>
    <w:rsid w:val="0DBF06AB"/>
    <w:rsid w:val="0DCB35EB"/>
    <w:rsid w:val="0DDC74AE"/>
    <w:rsid w:val="0DF04D08"/>
    <w:rsid w:val="0E6354DA"/>
    <w:rsid w:val="0EA24254"/>
    <w:rsid w:val="0ECF491D"/>
    <w:rsid w:val="0F0526A1"/>
    <w:rsid w:val="0F1467D4"/>
    <w:rsid w:val="0F264E85"/>
    <w:rsid w:val="0F7668F1"/>
    <w:rsid w:val="0F87344A"/>
    <w:rsid w:val="0FB022B6"/>
    <w:rsid w:val="0FB029A1"/>
    <w:rsid w:val="0FCB3337"/>
    <w:rsid w:val="10742706"/>
    <w:rsid w:val="1074577C"/>
    <w:rsid w:val="11FD79F3"/>
    <w:rsid w:val="12A762DD"/>
    <w:rsid w:val="13313DF9"/>
    <w:rsid w:val="13A04ADA"/>
    <w:rsid w:val="1481490C"/>
    <w:rsid w:val="14CA0061"/>
    <w:rsid w:val="14CB4E38"/>
    <w:rsid w:val="14E97911"/>
    <w:rsid w:val="15010E85"/>
    <w:rsid w:val="159348F7"/>
    <w:rsid w:val="15EC4007"/>
    <w:rsid w:val="16FE0C22"/>
    <w:rsid w:val="17F17FFA"/>
    <w:rsid w:val="180E64B6"/>
    <w:rsid w:val="182D7CAB"/>
    <w:rsid w:val="183D2B26"/>
    <w:rsid w:val="18475E6C"/>
    <w:rsid w:val="185F4F64"/>
    <w:rsid w:val="187F5606"/>
    <w:rsid w:val="189F35B2"/>
    <w:rsid w:val="189F50E8"/>
    <w:rsid w:val="1934019F"/>
    <w:rsid w:val="196063AA"/>
    <w:rsid w:val="197D7D98"/>
    <w:rsid w:val="19DD0836"/>
    <w:rsid w:val="19F57A56"/>
    <w:rsid w:val="1A662169"/>
    <w:rsid w:val="1A7B3BAB"/>
    <w:rsid w:val="1AA621A8"/>
    <w:rsid w:val="1AE14356"/>
    <w:rsid w:val="1AFF29CD"/>
    <w:rsid w:val="1B0A2B9D"/>
    <w:rsid w:val="1B124510"/>
    <w:rsid w:val="1B1A63CD"/>
    <w:rsid w:val="1B6A60FA"/>
    <w:rsid w:val="1B6C1E3B"/>
    <w:rsid w:val="1B866CAC"/>
    <w:rsid w:val="1BD94F72"/>
    <w:rsid w:val="1BE539D2"/>
    <w:rsid w:val="1C277C3F"/>
    <w:rsid w:val="1C6E1C1A"/>
    <w:rsid w:val="1CB104B8"/>
    <w:rsid w:val="1CB8386C"/>
    <w:rsid w:val="1D5C5F16"/>
    <w:rsid w:val="1D712D63"/>
    <w:rsid w:val="1DEC54EC"/>
    <w:rsid w:val="1E1F1D09"/>
    <w:rsid w:val="1E262080"/>
    <w:rsid w:val="1E4D16C6"/>
    <w:rsid w:val="1E894AE9"/>
    <w:rsid w:val="1EEE2B9E"/>
    <w:rsid w:val="1EEE7443"/>
    <w:rsid w:val="1F2554B9"/>
    <w:rsid w:val="1F84433B"/>
    <w:rsid w:val="1F8B663F"/>
    <w:rsid w:val="1FC81641"/>
    <w:rsid w:val="200B5A7A"/>
    <w:rsid w:val="206770AC"/>
    <w:rsid w:val="20C16190"/>
    <w:rsid w:val="20C35D22"/>
    <w:rsid w:val="20DE4E6F"/>
    <w:rsid w:val="21577120"/>
    <w:rsid w:val="217A28E4"/>
    <w:rsid w:val="21BA76AF"/>
    <w:rsid w:val="21C10A3D"/>
    <w:rsid w:val="220646A2"/>
    <w:rsid w:val="222C075C"/>
    <w:rsid w:val="224156DA"/>
    <w:rsid w:val="229B752C"/>
    <w:rsid w:val="22B42350"/>
    <w:rsid w:val="22CD6F6E"/>
    <w:rsid w:val="2318468D"/>
    <w:rsid w:val="234F76AA"/>
    <w:rsid w:val="239C52BE"/>
    <w:rsid w:val="243D0531"/>
    <w:rsid w:val="24746352"/>
    <w:rsid w:val="247D4E1C"/>
    <w:rsid w:val="254F010E"/>
    <w:rsid w:val="256F255E"/>
    <w:rsid w:val="2593459F"/>
    <w:rsid w:val="2593624D"/>
    <w:rsid w:val="259F1096"/>
    <w:rsid w:val="26655897"/>
    <w:rsid w:val="2681079B"/>
    <w:rsid w:val="2688125E"/>
    <w:rsid w:val="27037402"/>
    <w:rsid w:val="27075144"/>
    <w:rsid w:val="27565784"/>
    <w:rsid w:val="279664C8"/>
    <w:rsid w:val="279B3ADF"/>
    <w:rsid w:val="27D54F23"/>
    <w:rsid w:val="27E234BC"/>
    <w:rsid w:val="27F1185C"/>
    <w:rsid w:val="282835C4"/>
    <w:rsid w:val="282E6701"/>
    <w:rsid w:val="2858552C"/>
    <w:rsid w:val="285C501C"/>
    <w:rsid w:val="28ED3EC6"/>
    <w:rsid w:val="294D1FF0"/>
    <w:rsid w:val="29564161"/>
    <w:rsid w:val="29CE1F49"/>
    <w:rsid w:val="2A64640A"/>
    <w:rsid w:val="2A73664D"/>
    <w:rsid w:val="2A915087"/>
    <w:rsid w:val="2B1E2A5D"/>
    <w:rsid w:val="2B5B780D"/>
    <w:rsid w:val="2B773E3F"/>
    <w:rsid w:val="2B97636B"/>
    <w:rsid w:val="2C1253C9"/>
    <w:rsid w:val="2C1E0A5C"/>
    <w:rsid w:val="2CF00429"/>
    <w:rsid w:val="2D5E1836"/>
    <w:rsid w:val="2D614E83"/>
    <w:rsid w:val="2D653177"/>
    <w:rsid w:val="2DB63420"/>
    <w:rsid w:val="2DF61A6F"/>
    <w:rsid w:val="2E0777D8"/>
    <w:rsid w:val="2E165C6D"/>
    <w:rsid w:val="2E7C1194"/>
    <w:rsid w:val="2ED973C6"/>
    <w:rsid w:val="2EEE0998"/>
    <w:rsid w:val="2F9E23BE"/>
    <w:rsid w:val="2F9F7A4B"/>
    <w:rsid w:val="2FA06136"/>
    <w:rsid w:val="30087837"/>
    <w:rsid w:val="301937F3"/>
    <w:rsid w:val="303E14AB"/>
    <w:rsid w:val="30850E88"/>
    <w:rsid w:val="308F0A11"/>
    <w:rsid w:val="30D2231F"/>
    <w:rsid w:val="313A6116"/>
    <w:rsid w:val="313B4368"/>
    <w:rsid w:val="31662A68"/>
    <w:rsid w:val="318D4498"/>
    <w:rsid w:val="319120C4"/>
    <w:rsid w:val="32476D3D"/>
    <w:rsid w:val="326351F9"/>
    <w:rsid w:val="32D22AAA"/>
    <w:rsid w:val="331D35FA"/>
    <w:rsid w:val="332B5D17"/>
    <w:rsid w:val="3330157F"/>
    <w:rsid w:val="33641229"/>
    <w:rsid w:val="33CF2B46"/>
    <w:rsid w:val="342E1F62"/>
    <w:rsid w:val="344D4FE3"/>
    <w:rsid w:val="34931DC5"/>
    <w:rsid w:val="349E1E18"/>
    <w:rsid w:val="34E268A9"/>
    <w:rsid w:val="35523A2F"/>
    <w:rsid w:val="35527ED3"/>
    <w:rsid w:val="35690D78"/>
    <w:rsid w:val="35BF175E"/>
    <w:rsid w:val="36B81FB7"/>
    <w:rsid w:val="36DA1F2E"/>
    <w:rsid w:val="36EC7EB3"/>
    <w:rsid w:val="372B6CFB"/>
    <w:rsid w:val="375D66BB"/>
    <w:rsid w:val="378D51F2"/>
    <w:rsid w:val="381D77E4"/>
    <w:rsid w:val="3842422E"/>
    <w:rsid w:val="3843006F"/>
    <w:rsid w:val="385B52F0"/>
    <w:rsid w:val="38C90653"/>
    <w:rsid w:val="39522F81"/>
    <w:rsid w:val="3982065B"/>
    <w:rsid w:val="3A4129CE"/>
    <w:rsid w:val="3A5007F7"/>
    <w:rsid w:val="3A971EE4"/>
    <w:rsid w:val="3AD60179"/>
    <w:rsid w:val="3B163750"/>
    <w:rsid w:val="3B4D0803"/>
    <w:rsid w:val="3B9F54F4"/>
    <w:rsid w:val="3C7D5B01"/>
    <w:rsid w:val="3CA8487C"/>
    <w:rsid w:val="3CB054DF"/>
    <w:rsid w:val="3CE12188"/>
    <w:rsid w:val="3D2263DC"/>
    <w:rsid w:val="3DD31485"/>
    <w:rsid w:val="3E0E6DE1"/>
    <w:rsid w:val="3E66054B"/>
    <w:rsid w:val="3E817133"/>
    <w:rsid w:val="3E8C5546"/>
    <w:rsid w:val="3EFB0629"/>
    <w:rsid w:val="3F780536"/>
    <w:rsid w:val="3F9E5AC2"/>
    <w:rsid w:val="400C0C7E"/>
    <w:rsid w:val="40181D19"/>
    <w:rsid w:val="4038621E"/>
    <w:rsid w:val="406927C1"/>
    <w:rsid w:val="407231D7"/>
    <w:rsid w:val="40CB6D8B"/>
    <w:rsid w:val="41232723"/>
    <w:rsid w:val="41FB5F2C"/>
    <w:rsid w:val="426E5C20"/>
    <w:rsid w:val="42A11B51"/>
    <w:rsid w:val="42DE0FF8"/>
    <w:rsid w:val="43374264"/>
    <w:rsid w:val="4339622E"/>
    <w:rsid w:val="43593FDA"/>
    <w:rsid w:val="437D2099"/>
    <w:rsid w:val="43807FB6"/>
    <w:rsid w:val="43D13E35"/>
    <w:rsid w:val="43DE6DD5"/>
    <w:rsid w:val="441A605F"/>
    <w:rsid w:val="442A4ACB"/>
    <w:rsid w:val="44DE52DF"/>
    <w:rsid w:val="44EB79FC"/>
    <w:rsid w:val="45126D36"/>
    <w:rsid w:val="453749EF"/>
    <w:rsid w:val="46195F3D"/>
    <w:rsid w:val="46396545"/>
    <w:rsid w:val="46A61E2C"/>
    <w:rsid w:val="46A9191C"/>
    <w:rsid w:val="46DC3AA0"/>
    <w:rsid w:val="471634EF"/>
    <w:rsid w:val="47867568"/>
    <w:rsid w:val="478B2DD0"/>
    <w:rsid w:val="47AD71EA"/>
    <w:rsid w:val="47CA56A6"/>
    <w:rsid w:val="47E10C42"/>
    <w:rsid w:val="47FD50B0"/>
    <w:rsid w:val="482524AE"/>
    <w:rsid w:val="4851401A"/>
    <w:rsid w:val="48684EBF"/>
    <w:rsid w:val="49496A9F"/>
    <w:rsid w:val="49A85EBB"/>
    <w:rsid w:val="4A7465C4"/>
    <w:rsid w:val="4AAA655F"/>
    <w:rsid w:val="4B2772B4"/>
    <w:rsid w:val="4BF93947"/>
    <w:rsid w:val="4BFE1DC3"/>
    <w:rsid w:val="4C343F17"/>
    <w:rsid w:val="4C673E0C"/>
    <w:rsid w:val="4C7E2F03"/>
    <w:rsid w:val="4CC01E3B"/>
    <w:rsid w:val="4CC9196A"/>
    <w:rsid w:val="4CFD651E"/>
    <w:rsid w:val="4D0B0C3B"/>
    <w:rsid w:val="4D185106"/>
    <w:rsid w:val="4D791D20"/>
    <w:rsid w:val="4D907392"/>
    <w:rsid w:val="4FB96CA6"/>
    <w:rsid w:val="4FBD1F95"/>
    <w:rsid w:val="505B6325"/>
    <w:rsid w:val="51343C08"/>
    <w:rsid w:val="51736DAF"/>
    <w:rsid w:val="51C969CF"/>
    <w:rsid w:val="522C47C1"/>
    <w:rsid w:val="523522B6"/>
    <w:rsid w:val="52622F06"/>
    <w:rsid w:val="52B551A5"/>
    <w:rsid w:val="52E77F2A"/>
    <w:rsid w:val="52F77EAA"/>
    <w:rsid w:val="53746E0E"/>
    <w:rsid w:val="537A08C9"/>
    <w:rsid w:val="539227A8"/>
    <w:rsid w:val="53E67D0C"/>
    <w:rsid w:val="53EE7631"/>
    <w:rsid w:val="53F8359B"/>
    <w:rsid w:val="54330A77"/>
    <w:rsid w:val="54436FEB"/>
    <w:rsid w:val="545A6004"/>
    <w:rsid w:val="546D5D37"/>
    <w:rsid w:val="548B5A86"/>
    <w:rsid w:val="54AD082A"/>
    <w:rsid w:val="550B72FE"/>
    <w:rsid w:val="55676C2B"/>
    <w:rsid w:val="55EC0647"/>
    <w:rsid w:val="55EC65BF"/>
    <w:rsid w:val="56352885"/>
    <w:rsid w:val="564156CE"/>
    <w:rsid w:val="56617B1E"/>
    <w:rsid w:val="56625829"/>
    <w:rsid w:val="56794E67"/>
    <w:rsid w:val="567F7FA4"/>
    <w:rsid w:val="56C66E8C"/>
    <w:rsid w:val="56ED3A4D"/>
    <w:rsid w:val="572A52CC"/>
    <w:rsid w:val="579B2BBB"/>
    <w:rsid w:val="57B70A7D"/>
    <w:rsid w:val="585428CB"/>
    <w:rsid w:val="58675193"/>
    <w:rsid w:val="58A62CD4"/>
    <w:rsid w:val="599B6EA3"/>
    <w:rsid w:val="59C3343C"/>
    <w:rsid w:val="59C83A10"/>
    <w:rsid w:val="59EA0B52"/>
    <w:rsid w:val="5A2450EA"/>
    <w:rsid w:val="5A84202D"/>
    <w:rsid w:val="5AB81CD6"/>
    <w:rsid w:val="5AB86683"/>
    <w:rsid w:val="5AD22D98"/>
    <w:rsid w:val="5ADC59C5"/>
    <w:rsid w:val="5AEB3E5A"/>
    <w:rsid w:val="5B1909C7"/>
    <w:rsid w:val="5B280C0A"/>
    <w:rsid w:val="5C653798"/>
    <w:rsid w:val="5C7A5495"/>
    <w:rsid w:val="5C936557"/>
    <w:rsid w:val="5D335644"/>
    <w:rsid w:val="5D777C27"/>
    <w:rsid w:val="5D8414DD"/>
    <w:rsid w:val="5D852344"/>
    <w:rsid w:val="5D8B722E"/>
    <w:rsid w:val="5DC733C2"/>
    <w:rsid w:val="5DD95C58"/>
    <w:rsid w:val="5E070FAB"/>
    <w:rsid w:val="5E68584B"/>
    <w:rsid w:val="5ED54C05"/>
    <w:rsid w:val="5F1D2B10"/>
    <w:rsid w:val="5F2416FD"/>
    <w:rsid w:val="5FE80968"/>
    <w:rsid w:val="603718EF"/>
    <w:rsid w:val="60C11BD3"/>
    <w:rsid w:val="61042335"/>
    <w:rsid w:val="612A47CD"/>
    <w:rsid w:val="613D1187"/>
    <w:rsid w:val="616D2728"/>
    <w:rsid w:val="61C96577"/>
    <w:rsid w:val="621E68C3"/>
    <w:rsid w:val="624520A2"/>
    <w:rsid w:val="626D784A"/>
    <w:rsid w:val="63716EC6"/>
    <w:rsid w:val="63743B6A"/>
    <w:rsid w:val="637D216D"/>
    <w:rsid w:val="63EE6769"/>
    <w:rsid w:val="645A5BAC"/>
    <w:rsid w:val="64654C7D"/>
    <w:rsid w:val="64EC0EFA"/>
    <w:rsid w:val="651D10B4"/>
    <w:rsid w:val="653463FD"/>
    <w:rsid w:val="65670581"/>
    <w:rsid w:val="65776167"/>
    <w:rsid w:val="665C32B6"/>
    <w:rsid w:val="665C7F15"/>
    <w:rsid w:val="66850D80"/>
    <w:rsid w:val="66C1740B"/>
    <w:rsid w:val="66F66060"/>
    <w:rsid w:val="67C1041C"/>
    <w:rsid w:val="68153AD4"/>
    <w:rsid w:val="681542C4"/>
    <w:rsid w:val="68437083"/>
    <w:rsid w:val="68490412"/>
    <w:rsid w:val="68531770"/>
    <w:rsid w:val="686B1367"/>
    <w:rsid w:val="68A42935"/>
    <w:rsid w:val="68BD6E02"/>
    <w:rsid w:val="692844CB"/>
    <w:rsid w:val="694921C5"/>
    <w:rsid w:val="698C4A5A"/>
    <w:rsid w:val="699102C2"/>
    <w:rsid w:val="69C441F4"/>
    <w:rsid w:val="69D2436E"/>
    <w:rsid w:val="6A1539B6"/>
    <w:rsid w:val="6A4964A7"/>
    <w:rsid w:val="6A5E63F6"/>
    <w:rsid w:val="6A9736B6"/>
    <w:rsid w:val="6A9A4143"/>
    <w:rsid w:val="6ACB7804"/>
    <w:rsid w:val="6AD42215"/>
    <w:rsid w:val="6B037A92"/>
    <w:rsid w:val="6B207439"/>
    <w:rsid w:val="6B3B2900"/>
    <w:rsid w:val="6B3E3B32"/>
    <w:rsid w:val="6B413622"/>
    <w:rsid w:val="6B4A0729"/>
    <w:rsid w:val="6BA075EE"/>
    <w:rsid w:val="6BC71D79"/>
    <w:rsid w:val="6BE26BB3"/>
    <w:rsid w:val="6BEE37AA"/>
    <w:rsid w:val="6BF171C2"/>
    <w:rsid w:val="6C103720"/>
    <w:rsid w:val="6C930247"/>
    <w:rsid w:val="6CB979E0"/>
    <w:rsid w:val="6CE2561C"/>
    <w:rsid w:val="6D3C0545"/>
    <w:rsid w:val="6D6313BF"/>
    <w:rsid w:val="6DEB3BCA"/>
    <w:rsid w:val="6DF64B98"/>
    <w:rsid w:val="6E9D5013"/>
    <w:rsid w:val="6EB66ECE"/>
    <w:rsid w:val="6ECB1B80"/>
    <w:rsid w:val="6EFE1F56"/>
    <w:rsid w:val="6F280D81"/>
    <w:rsid w:val="6F4436E1"/>
    <w:rsid w:val="6F564CDB"/>
    <w:rsid w:val="6FBB7E47"/>
    <w:rsid w:val="6FC772D4"/>
    <w:rsid w:val="6FCA62DC"/>
    <w:rsid w:val="6FF00911"/>
    <w:rsid w:val="700C3276"/>
    <w:rsid w:val="702819A6"/>
    <w:rsid w:val="70877D29"/>
    <w:rsid w:val="70CB2853"/>
    <w:rsid w:val="70CE7706"/>
    <w:rsid w:val="70F96E79"/>
    <w:rsid w:val="710870BC"/>
    <w:rsid w:val="710F68B9"/>
    <w:rsid w:val="7128150C"/>
    <w:rsid w:val="713C4FB8"/>
    <w:rsid w:val="714300F4"/>
    <w:rsid w:val="715A3959"/>
    <w:rsid w:val="71755DD4"/>
    <w:rsid w:val="71B34E0B"/>
    <w:rsid w:val="71D7319F"/>
    <w:rsid w:val="722A12B4"/>
    <w:rsid w:val="722A4E10"/>
    <w:rsid w:val="72A17885"/>
    <w:rsid w:val="72F71196"/>
    <w:rsid w:val="731358A4"/>
    <w:rsid w:val="733F2EED"/>
    <w:rsid w:val="7386076C"/>
    <w:rsid w:val="73A44F2A"/>
    <w:rsid w:val="73BF4107"/>
    <w:rsid w:val="7420471D"/>
    <w:rsid w:val="747173C1"/>
    <w:rsid w:val="74B135C7"/>
    <w:rsid w:val="75412B9C"/>
    <w:rsid w:val="7553071F"/>
    <w:rsid w:val="75D752AF"/>
    <w:rsid w:val="763B2320"/>
    <w:rsid w:val="764964C6"/>
    <w:rsid w:val="76691158"/>
    <w:rsid w:val="769431A0"/>
    <w:rsid w:val="769E7B7B"/>
    <w:rsid w:val="772462D2"/>
    <w:rsid w:val="77434C5B"/>
    <w:rsid w:val="780D4FB8"/>
    <w:rsid w:val="787D038F"/>
    <w:rsid w:val="78DA7590"/>
    <w:rsid w:val="793B1C09"/>
    <w:rsid w:val="7941548E"/>
    <w:rsid w:val="799064EC"/>
    <w:rsid w:val="799D05BD"/>
    <w:rsid w:val="79ED50A1"/>
    <w:rsid w:val="7A195E96"/>
    <w:rsid w:val="7A3507F6"/>
    <w:rsid w:val="7A8814C8"/>
    <w:rsid w:val="7A9C0875"/>
    <w:rsid w:val="7AE364A4"/>
    <w:rsid w:val="7B05005E"/>
    <w:rsid w:val="7B2F737D"/>
    <w:rsid w:val="7B537186"/>
    <w:rsid w:val="7BAD71C2"/>
    <w:rsid w:val="7C907955"/>
    <w:rsid w:val="7D3E5C13"/>
    <w:rsid w:val="7D580FFF"/>
    <w:rsid w:val="7D6F401F"/>
    <w:rsid w:val="7D715FE9"/>
    <w:rsid w:val="7D76564E"/>
    <w:rsid w:val="7D7B4DB2"/>
    <w:rsid w:val="7DAC5273"/>
    <w:rsid w:val="7E096221"/>
    <w:rsid w:val="7EB048EF"/>
    <w:rsid w:val="7EE50A3C"/>
    <w:rsid w:val="7EE84089"/>
    <w:rsid w:val="7EEA7E01"/>
    <w:rsid w:val="7F2257ED"/>
    <w:rsid w:val="7F5F6693"/>
    <w:rsid w:val="7F9E2A92"/>
    <w:rsid w:val="7FB95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Default"/>
    <w:qFormat/>
    <w:uiPriority w:val="99"/>
    <w:pPr>
      <w:widowControl w:val="0"/>
      <w:autoSpaceDE w:val="0"/>
      <w:autoSpaceDN w:val="0"/>
      <w:adjustRightInd w:val="0"/>
    </w:pPr>
    <w:rPr>
      <w:rFonts w:ascii="方正仿宋简体" w:hAnsi="方正仿宋简体" w:eastAsia="方正仿宋简体" w:cs="方正仿宋简体"/>
      <w:color w:val="000000"/>
      <w:sz w:val="24"/>
      <w:szCs w:val="24"/>
      <w:lang w:val="en-US" w:eastAsia="zh-CN" w:bidi="ar-SA"/>
    </w:rPr>
  </w:style>
  <w:style w:type="paragraph" w:customStyle="1" w:styleId="9">
    <w:name w:val="Fließtext"/>
    <w:basedOn w:val="1"/>
    <w:qFormat/>
    <w:uiPriority w:val="99"/>
    <w:pPr>
      <w:overflowPunct w:val="0"/>
      <w:autoSpaceDE w:val="0"/>
      <w:autoSpaceDN w:val="0"/>
      <w:adjustRightInd w:val="0"/>
      <w:textAlignment w:val="baseline"/>
    </w:pPr>
    <w:rPr>
      <w:kern w:val="28"/>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8340</Words>
  <Characters>8589</Characters>
  <Lines>0</Lines>
  <Paragraphs>0</Paragraphs>
  <TotalTime>6</TotalTime>
  <ScaleCrop>false</ScaleCrop>
  <LinksUpToDate>false</LinksUpToDate>
  <CharactersWithSpaces>8602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2024-03-06T02:33:00Z</dcterms:created>
  <dc:creator>叶思渊</dc:creator>
  <cp:lastModifiedBy>叶思渊</cp:lastModifiedBy>
  <dcterms:modified xsi:type="dcterms:W3CDTF">2026-11-03T10:52:10Z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03D552F368754DD8BA2B8E1F4D4474C4_13</vt:lpwstr>
  </property>
  <property fmtid="{D5CDD505-2E9C-101B-9397-08002B2CF9AE}" pid="4" name="KSOTemplateDocerSaveRecord">
    <vt:lpwstr>eyJoZGlkIjoiMGU1NjNlY2M1MzY4MDU4YzA1YzNhZDFiNGE1M2Q4ZjMiLCJ1c2VySWQiOiIyODI0ODY2In0=</vt:lpwstr>
  </property>
</Properties>
</file>