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lang w:eastAsia="zh-CN"/>
        </w:rPr>
      </w:pPr>
      <w:r>
        <w:rPr>
          <w:rFonts w:hint="eastAsia" w:ascii="黑体" w:hAnsi="黑体" w:eastAsia="黑体" w:cs="黑体"/>
          <w:lang w:eastAsia="zh-CN"/>
        </w:rPr>
        <w:t>关于《吉林市健康影响评估制度建设试点工作实施方案（试行）（征求意见稿）》公开征求意见</w:t>
      </w:r>
    </w:p>
    <w:p>
      <w:pPr>
        <w:spacing w:line="600" w:lineRule="exact"/>
        <w:ind w:firstLine="688" w:firstLineChars="200"/>
        <w:jc w:val="left"/>
        <w:rPr>
          <w:rFonts w:hint="eastAsia" w:ascii="仿宋" w:hAnsi="仿宋"/>
          <w:spacing w:val="14"/>
          <w:lang w:eastAsia="zh-CN"/>
        </w:rPr>
      </w:pPr>
    </w:p>
    <w:p>
      <w:pPr>
        <w:spacing w:line="600" w:lineRule="exact"/>
        <w:ind w:firstLine="688" w:firstLineChars="200"/>
        <w:jc w:val="left"/>
        <w:rPr>
          <w:rFonts w:hint="eastAsia" w:ascii="仿宋" w:hAnsi="仿宋"/>
          <w:spacing w:val="14"/>
          <w:lang w:eastAsia="zh-CN"/>
        </w:rPr>
      </w:pPr>
      <w:r>
        <w:rPr>
          <w:rFonts w:hint="eastAsia" w:ascii="仿宋" w:hAnsi="仿宋"/>
          <w:spacing w:val="14"/>
          <w:lang w:eastAsia="zh-CN"/>
        </w:rPr>
        <w:t>为推进我市健康评估制度建设试点工作，推进“</w:t>
      </w:r>
      <w:r>
        <w:rPr>
          <w:rFonts w:hint="eastAsia" w:ascii="Arial" w:hAnsi="Arial" w:cs="Arial"/>
          <w:color w:val="333333"/>
          <w:shd w:val="clear" w:color="auto" w:fill="FFFFFF"/>
        </w:rPr>
        <w:t>把健康融入所有政策</w:t>
      </w:r>
      <w:r>
        <w:rPr>
          <w:rFonts w:hint="eastAsia" w:ascii="仿宋" w:hAnsi="仿宋"/>
          <w:spacing w:val="14"/>
          <w:lang w:eastAsia="zh-CN"/>
        </w:rPr>
        <w:t>”，</w:t>
      </w:r>
      <w:r>
        <w:rPr>
          <w:rFonts w:hint="default" w:ascii="Arial" w:hAnsi="Arial" w:cs="Arial"/>
          <w:i w:val="0"/>
          <w:iCs w:val="0"/>
          <w:caps w:val="0"/>
          <w:color w:val="333333"/>
          <w:spacing w:val="0"/>
          <w:sz w:val="32"/>
          <w:szCs w:val="32"/>
          <w:shd w:val="clear" w:fill="FFFFFF"/>
        </w:rPr>
        <w:t>全方位、全周期维护和保障人民健康</w:t>
      </w:r>
      <w:r>
        <w:rPr>
          <w:rFonts w:hint="eastAsia" w:ascii="Arial" w:hAnsi="Arial" w:cs="Arial"/>
          <w:i w:val="0"/>
          <w:iCs w:val="0"/>
          <w:caps w:val="0"/>
          <w:color w:val="333333"/>
          <w:spacing w:val="0"/>
          <w:sz w:val="32"/>
          <w:szCs w:val="32"/>
          <w:shd w:val="clear" w:fill="FFFFFF"/>
          <w:lang w:eastAsia="zh-CN"/>
        </w:rPr>
        <w:t>。根据</w:t>
      </w:r>
      <w:r>
        <w:rPr>
          <w:rFonts w:hint="default" w:ascii="Arial" w:hAnsi="Arial" w:cs="Arial"/>
          <w:color w:val="333333"/>
          <w:shd w:val="clear" w:color="auto" w:fill="FFFFFF"/>
        </w:rPr>
        <w:t>国家及省有关</w:t>
      </w:r>
      <w:r>
        <w:rPr>
          <w:rFonts w:hint="eastAsia" w:ascii="仿宋" w:hAnsi="仿宋"/>
          <w:spacing w:val="14"/>
          <w:lang w:eastAsia="zh-CN"/>
        </w:rPr>
        <w:t>要求，吉林市爱卫办拟定了《吉林市健康影响评估制度建设试点工作实施方案（试行）（征求意见稿）》。</w:t>
      </w:r>
    </w:p>
    <w:p>
      <w:pPr>
        <w:spacing w:line="600" w:lineRule="exact"/>
        <w:ind w:firstLine="688" w:firstLineChars="200"/>
        <w:jc w:val="left"/>
        <w:rPr>
          <w:rFonts w:hint="eastAsia" w:ascii="仿宋" w:hAnsi="仿宋"/>
          <w:spacing w:val="14"/>
          <w:lang w:eastAsia="zh-CN"/>
        </w:rPr>
      </w:pPr>
      <w:r>
        <w:rPr>
          <w:rFonts w:hint="eastAsia" w:ascii="仿宋" w:hAnsi="仿宋"/>
          <w:spacing w:val="14"/>
          <w:lang w:eastAsia="zh-CN"/>
        </w:rPr>
        <w:t>现面向社会征求各界对本方案的意见和建议，欢迎有关公民、法人或者其他组织对方案内容提出宝贵意见建议。</w:t>
      </w:r>
    </w:p>
    <w:p>
      <w:pPr>
        <w:spacing w:line="600" w:lineRule="exact"/>
        <w:jc w:val="left"/>
        <w:rPr>
          <w:rFonts w:hint="eastAsia" w:ascii="黑体" w:hAnsi="黑体" w:eastAsia="黑体" w:cs="黑体"/>
          <w:lang w:val="en-US" w:eastAsia="zh-CN"/>
        </w:rPr>
      </w:pPr>
      <w:r>
        <w:rPr>
          <w:rFonts w:hint="eastAsia" w:ascii="黑体" w:hAnsi="黑体" w:eastAsia="黑体" w:cs="黑体"/>
          <w:lang w:val="en-US" w:eastAsia="zh-CN"/>
        </w:rPr>
        <w:t xml:space="preserve">    一、征求意见建议截止时间</w:t>
      </w:r>
    </w:p>
    <w:p>
      <w:pPr>
        <w:spacing w:line="600" w:lineRule="exact"/>
        <w:ind w:firstLine="631"/>
        <w:jc w:val="left"/>
        <w:rPr>
          <w:rFonts w:hint="eastAsia" w:ascii="黑体" w:hAnsi="黑体" w:eastAsia="黑体" w:cs="黑体"/>
          <w:lang w:val="en-US" w:eastAsia="zh-CN"/>
        </w:rPr>
      </w:pPr>
      <w:r>
        <w:rPr>
          <w:rFonts w:hint="eastAsia" w:ascii="仿宋" w:hAnsi="仿宋"/>
          <w:spacing w:val="14"/>
          <w:lang w:val="en-US" w:eastAsia="zh-CN"/>
        </w:rPr>
        <w:t>2022年10月6日16时。</w:t>
      </w:r>
    </w:p>
    <w:p>
      <w:pPr>
        <w:spacing w:line="600" w:lineRule="exact"/>
        <w:ind w:firstLine="631"/>
        <w:jc w:val="left"/>
        <w:rPr>
          <w:rFonts w:hint="eastAsia" w:ascii="黑体" w:hAnsi="黑体" w:eastAsia="黑体" w:cs="黑体"/>
          <w:lang w:val="en-US" w:eastAsia="zh-CN"/>
        </w:rPr>
      </w:pPr>
      <w:r>
        <w:rPr>
          <w:rFonts w:hint="eastAsia" w:ascii="黑体" w:hAnsi="黑体" w:eastAsia="黑体" w:cs="黑体"/>
          <w:lang w:val="en-US" w:eastAsia="zh-CN"/>
        </w:rPr>
        <w:t>二、征求意见建议提交方式</w:t>
      </w:r>
      <w:bookmarkStart w:id="0" w:name="_GoBack"/>
      <w:bookmarkEnd w:id="0"/>
    </w:p>
    <w:p>
      <w:pPr>
        <w:spacing w:line="600" w:lineRule="exact"/>
        <w:ind w:firstLine="631"/>
        <w:jc w:val="left"/>
        <w:rPr>
          <w:rFonts w:hint="eastAsia" w:ascii="仿宋" w:hAnsi="仿宋"/>
          <w:spacing w:val="14"/>
          <w:lang w:val="en-US" w:eastAsia="zh-CN"/>
        </w:rPr>
      </w:pPr>
      <w:r>
        <w:rPr>
          <w:rFonts w:hint="eastAsia" w:ascii="仿宋" w:hAnsi="仿宋"/>
          <w:spacing w:val="14"/>
          <w:lang w:val="en-US" w:eastAsia="zh-CN"/>
        </w:rPr>
        <w:t>（一）</w:t>
      </w:r>
      <w:r>
        <w:rPr>
          <w:rFonts w:hint="eastAsia" w:ascii="楷体" w:hAnsi="楷体" w:eastAsia="楷体" w:cs="楷体"/>
          <w:spacing w:val="14"/>
          <w:lang w:val="en-US" w:eastAsia="zh-CN"/>
        </w:rPr>
        <w:t>电话</w:t>
      </w:r>
      <w:r>
        <w:rPr>
          <w:rFonts w:hint="eastAsia" w:ascii="仿宋" w:hAnsi="仿宋"/>
          <w:spacing w:val="14"/>
          <w:lang w:val="en-US" w:eastAsia="zh-CN"/>
        </w:rPr>
        <w:t>。接听时间：工作日上午9：00－11：30，下午13：30－16：00，联系人：王树林，联系电话：0432－62049357</w:t>
      </w:r>
    </w:p>
    <w:p>
      <w:pPr>
        <w:spacing w:line="600" w:lineRule="exact"/>
        <w:ind w:firstLine="631"/>
        <w:jc w:val="left"/>
        <w:rPr>
          <w:rFonts w:hint="eastAsia" w:ascii="仿宋" w:hAnsi="仿宋"/>
          <w:spacing w:val="14"/>
          <w:lang w:val="en-US" w:eastAsia="zh-CN"/>
        </w:rPr>
      </w:pPr>
      <w:r>
        <w:rPr>
          <w:rFonts w:hint="eastAsia" w:ascii="仿宋" w:hAnsi="仿宋"/>
          <w:spacing w:val="14"/>
          <w:lang w:val="en-US" w:eastAsia="zh-CN"/>
        </w:rPr>
        <w:t>（二）</w:t>
      </w:r>
      <w:r>
        <w:rPr>
          <w:rFonts w:hint="eastAsia" w:ascii="楷体" w:hAnsi="楷体" w:eastAsia="楷体" w:cs="楷体"/>
          <w:spacing w:val="14"/>
          <w:lang w:val="en-US" w:eastAsia="zh-CN"/>
        </w:rPr>
        <w:t>信函</w:t>
      </w:r>
      <w:r>
        <w:rPr>
          <w:rFonts w:hint="eastAsia" w:ascii="仿宋" w:hAnsi="仿宋"/>
          <w:spacing w:val="14"/>
          <w:lang w:val="en-US" w:eastAsia="zh-CN"/>
        </w:rPr>
        <w:t>。联系地址：吉林市卫生健康委员会爱卫办（吉林市船营区松江中路65号），请标注“健康评价”等字样。</w:t>
      </w:r>
    </w:p>
    <w:p>
      <w:pPr>
        <w:spacing w:line="600" w:lineRule="exact"/>
        <w:ind w:firstLine="631"/>
        <w:jc w:val="left"/>
        <w:rPr>
          <w:rFonts w:hint="eastAsia" w:ascii="仿宋" w:hAnsi="仿宋"/>
          <w:spacing w:val="14"/>
          <w:lang w:val="en-US" w:eastAsia="zh-CN"/>
        </w:rPr>
      </w:pPr>
      <w:r>
        <w:rPr>
          <w:rFonts w:hint="eastAsia" w:ascii="仿宋" w:hAnsi="仿宋"/>
          <w:spacing w:val="14"/>
          <w:lang w:val="en-US" w:eastAsia="zh-CN"/>
        </w:rPr>
        <w:t>（二）</w:t>
      </w:r>
      <w:r>
        <w:rPr>
          <w:rFonts w:hint="eastAsia" w:ascii="楷体" w:hAnsi="楷体" w:eastAsia="楷体" w:cs="楷体"/>
          <w:spacing w:val="14"/>
          <w:lang w:val="en-US" w:eastAsia="zh-CN"/>
        </w:rPr>
        <w:t>电子邮箱</w:t>
      </w:r>
      <w:r>
        <w:rPr>
          <w:rFonts w:hint="eastAsia" w:ascii="仿宋" w:hAnsi="仿宋"/>
          <w:spacing w:val="14"/>
          <w:lang w:val="en-US" w:eastAsia="zh-CN"/>
        </w:rPr>
        <w:t>。邮箱号码：904858000@qq.com,请标注“健康评价”等字样。</w:t>
      </w:r>
    </w:p>
    <w:p>
      <w:pPr>
        <w:spacing w:line="600" w:lineRule="exact"/>
        <w:jc w:val="left"/>
        <w:rPr>
          <w:rFonts w:hint="eastAsia" w:ascii="仿宋" w:hAnsi="仿宋"/>
          <w:spacing w:val="14"/>
          <w:lang w:val="en-US" w:eastAsia="zh-CN"/>
        </w:rPr>
      </w:pPr>
    </w:p>
    <w:p>
      <w:pPr>
        <w:spacing w:line="600" w:lineRule="exact"/>
        <w:ind w:firstLine="631"/>
        <w:jc w:val="left"/>
        <w:rPr>
          <w:rFonts w:hint="eastAsia" w:ascii="仿宋" w:hAnsi="仿宋"/>
          <w:spacing w:val="14"/>
          <w:lang w:eastAsia="zh-CN"/>
        </w:rPr>
      </w:pPr>
      <w:r>
        <w:rPr>
          <w:rFonts w:hint="eastAsia" w:ascii="仿宋" w:hAnsi="仿宋"/>
          <w:spacing w:val="14"/>
          <w:lang w:val="en-US" w:eastAsia="zh-CN"/>
        </w:rPr>
        <w:t>附：</w:t>
      </w:r>
      <w:r>
        <w:rPr>
          <w:rFonts w:hint="eastAsia" w:ascii="仿宋" w:hAnsi="仿宋"/>
          <w:spacing w:val="14"/>
          <w:lang w:eastAsia="zh-CN"/>
        </w:rPr>
        <w:t>吉林市健康影响评估制度建设试点工作实施方案（试行）（征求意见稿）</w:t>
      </w:r>
    </w:p>
    <w:p>
      <w:pPr>
        <w:spacing w:line="600" w:lineRule="exact"/>
        <w:ind w:firstLine="631"/>
        <w:jc w:val="left"/>
        <w:rPr>
          <w:rFonts w:hint="eastAsia" w:ascii="仿宋" w:hAnsi="仿宋"/>
          <w:spacing w:val="14"/>
          <w:lang w:eastAsia="zh-CN"/>
        </w:rPr>
      </w:pPr>
    </w:p>
    <w:p>
      <w:pPr>
        <w:spacing w:line="600" w:lineRule="exact"/>
        <w:ind w:firstLine="631"/>
        <w:jc w:val="left"/>
        <w:rPr>
          <w:rFonts w:hint="eastAsia" w:ascii="仿宋" w:hAnsi="仿宋"/>
          <w:spacing w:val="14"/>
          <w:lang w:eastAsia="zh-CN"/>
        </w:rPr>
      </w:pPr>
    </w:p>
    <w:p>
      <w:pPr>
        <w:spacing w:line="600" w:lineRule="exact"/>
        <w:ind w:firstLine="631"/>
        <w:jc w:val="left"/>
        <w:rPr>
          <w:rFonts w:hint="eastAsia" w:ascii="仿宋" w:hAnsi="仿宋"/>
          <w:spacing w:val="14"/>
          <w:lang w:eastAsia="zh-CN"/>
        </w:rPr>
      </w:pPr>
    </w:p>
    <w:p>
      <w:pPr>
        <w:wordWrap w:val="0"/>
        <w:spacing w:line="600" w:lineRule="exact"/>
        <w:ind w:firstLine="631"/>
        <w:jc w:val="right"/>
        <w:rPr>
          <w:rFonts w:hint="default" w:ascii="仿宋" w:hAnsi="仿宋"/>
          <w:spacing w:val="14"/>
          <w:lang w:val="en-US" w:eastAsia="zh-CN"/>
        </w:rPr>
      </w:pPr>
      <w:r>
        <w:rPr>
          <w:rFonts w:hint="eastAsia" w:ascii="仿宋" w:hAnsi="仿宋"/>
          <w:spacing w:val="14"/>
          <w:lang w:eastAsia="zh-CN"/>
        </w:rPr>
        <w:t>吉林市</w:t>
      </w:r>
      <w:r>
        <w:rPr>
          <w:rFonts w:hint="default" w:ascii="仿宋" w:hAnsi="仿宋"/>
          <w:spacing w:val="14"/>
          <w:lang w:eastAsia="zh-CN"/>
        </w:rPr>
        <w:t>爱国卫生运动委员会办公室</w:t>
      </w:r>
      <w:r>
        <w:rPr>
          <w:rFonts w:hint="eastAsia" w:ascii="仿宋" w:hAnsi="仿宋"/>
          <w:spacing w:val="14"/>
          <w:lang w:val="en-US" w:eastAsia="zh-CN"/>
        </w:rPr>
        <w:t xml:space="preserve">    </w:t>
      </w:r>
    </w:p>
    <w:p>
      <w:pPr>
        <w:wordWrap w:val="0"/>
        <w:spacing w:line="600" w:lineRule="exact"/>
        <w:ind w:firstLine="631"/>
        <w:jc w:val="right"/>
        <w:rPr>
          <w:rFonts w:hint="default" w:ascii="仿宋" w:hAnsi="仿宋"/>
          <w:spacing w:val="14"/>
          <w:lang w:val="en-US" w:eastAsia="zh-CN"/>
        </w:rPr>
      </w:pPr>
      <w:r>
        <w:rPr>
          <w:rFonts w:hint="eastAsia" w:ascii="仿宋" w:hAnsi="仿宋"/>
          <w:spacing w:val="14"/>
          <w:lang w:val="en-US" w:eastAsia="zh-CN"/>
        </w:rPr>
        <w:t>2022年9月</w:t>
      </w:r>
      <w:r>
        <w:rPr>
          <w:rFonts w:hint="default" w:ascii="仿宋" w:hAnsi="仿宋"/>
          <w:spacing w:val="14"/>
          <w:lang w:eastAsia="zh-CN"/>
        </w:rPr>
        <w:t>6</w:t>
      </w:r>
      <w:r>
        <w:rPr>
          <w:rFonts w:hint="eastAsia" w:ascii="仿宋" w:hAnsi="仿宋"/>
          <w:spacing w:val="14"/>
          <w:lang w:val="en-US" w:eastAsia="zh-CN"/>
        </w:rPr>
        <w:t xml:space="preserve">日      </w:t>
      </w:r>
    </w:p>
    <w:p>
      <w:pPr>
        <w:spacing w:line="600" w:lineRule="exact"/>
        <w:jc w:val="left"/>
        <w:rPr>
          <w:rFonts w:ascii="黑体" w:hAnsi="黑体" w:eastAsia="黑体" w:cs="黑体"/>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hint="eastAsia" w:ascii="方正小标宋_GBK" w:hAnsi="Calibri" w:eastAsia="方正小标宋_GBK"/>
          <w:sz w:val="44"/>
          <w:szCs w:val="44"/>
        </w:rPr>
      </w:pPr>
    </w:p>
    <w:p>
      <w:pPr>
        <w:spacing w:line="600" w:lineRule="exact"/>
        <w:jc w:val="center"/>
        <w:rPr>
          <w:rFonts w:ascii="方正小标宋_GBK" w:hAnsi="Calibri" w:eastAsia="方正小标宋_GBK"/>
          <w:sz w:val="44"/>
          <w:szCs w:val="44"/>
        </w:rPr>
      </w:pPr>
      <w:r>
        <w:rPr>
          <w:rFonts w:hint="eastAsia" w:ascii="方正小标宋_GBK" w:hAnsi="Calibri" w:eastAsia="方正小标宋_GBK"/>
          <w:sz w:val="44"/>
          <w:szCs w:val="44"/>
        </w:rPr>
        <w:t>吉林市健康影响评估制度建设</w:t>
      </w:r>
    </w:p>
    <w:p>
      <w:pPr>
        <w:spacing w:line="600" w:lineRule="exact"/>
        <w:jc w:val="center"/>
        <w:rPr>
          <w:rFonts w:hint="eastAsia" w:ascii="方正小标宋_GBK" w:hAnsi="Calibri" w:eastAsia="方正小标宋_GBK"/>
          <w:sz w:val="44"/>
          <w:szCs w:val="44"/>
          <w:lang w:eastAsia="zh-CN"/>
        </w:rPr>
      </w:pPr>
      <w:r>
        <w:rPr>
          <w:rFonts w:hint="eastAsia" w:ascii="方正小标宋_GBK" w:hAnsi="Calibri" w:eastAsia="方正小标宋_GBK"/>
          <w:sz w:val="44"/>
          <w:szCs w:val="44"/>
        </w:rPr>
        <w:t>试点工作实施方案</w:t>
      </w:r>
      <w:r>
        <w:rPr>
          <w:rFonts w:hint="eastAsia" w:ascii="方正小标宋_GBK" w:hAnsi="Calibri" w:eastAsia="方正小标宋_GBK"/>
          <w:sz w:val="44"/>
          <w:szCs w:val="44"/>
          <w:lang w:eastAsia="zh-CN"/>
        </w:rPr>
        <w:t>（试行）</w:t>
      </w:r>
    </w:p>
    <w:p>
      <w:pPr>
        <w:spacing w:line="600" w:lineRule="exact"/>
        <w:jc w:val="center"/>
        <w:rPr>
          <w:rFonts w:hint="eastAsia" w:ascii="仿宋" w:eastAsia="仿宋"/>
          <w:spacing w:val="14"/>
          <w:lang w:eastAsia="zh-CN"/>
        </w:rPr>
      </w:pPr>
      <w:r>
        <w:rPr>
          <w:rFonts w:hint="eastAsia" w:ascii="仿宋"/>
          <w:spacing w:val="14"/>
          <w:lang w:eastAsia="zh-CN"/>
        </w:rPr>
        <w:t>（征求意见稿）</w:t>
      </w:r>
    </w:p>
    <w:p>
      <w:pPr>
        <w:spacing w:line="600" w:lineRule="exact"/>
        <w:ind w:firstLine="688" w:firstLineChars="200"/>
        <w:jc w:val="left"/>
        <w:rPr>
          <w:rFonts w:hint="eastAsia" w:ascii="仿宋" w:hAnsi="仿宋"/>
          <w:spacing w:val="14"/>
        </w:rPr>
      </w:pPr>
    </w:p>
    <w:p>
      <w:pPr>
        <w:spacing w:line="600" w:lineRule="exact"/>
        <w:ind w:firstLine="688" w:firstLineChars="200"/>
        <w:jc w:val="left"/>
        <w:rPr>
          <w:rFonts w:ascii="仿宋"/>
          <w:spacing w:val="14"/>
        </w:rPr>
      </w:pPr>
      <w:r>
        <w:rPr>
          <w:rFonts w:hint="eastAsia" w:ascii="仿宋" w:hAnsi="仿宋"/>
          <w:spacing w:val="14"/>
        </w:rPr>
        <w:t>为深入</w:t>
      </w:r>
      <w:r>
        <w:rPr>
          <w:rFonts w:hint="eastAsia" w:ascii="仿宋" w:hAnsi="仿宋"/>
          <w:spacing w:val="14"/>
          <w:lang w:eastAsia="zh-CN"/>
        </w:rPr>
        <w:t>贯彻</w:t>
      </w:r>
      <w:r>
        <w:rPr>
          <w:rFonts w:hint="eastAsia" w:ascii="Arial" w:hAnsi="Arial" w:cs="Arial"/>
          <w:color w:val="333333"/>
          <w:shd w:val="clear" w:color="auto" w:fill="FFFFFF"/>
        </w:rPr>
        <w:t>落实《</w:t>
      </w:r>
      <w:r>
        <w:rPr>
          <w:rFonts w:ascii="Arial" w:hAnsi="Arial" w:cs="Arial"/>
          <w:color w:val="333333"/>
          <w:shd w:val="clear" w:color="auto" w:fill="FFFFFF"/>
        </w:rPr>
        <w:t>"</w:t>
      </w:r>
      <w:r>
        <w:rPr>
          <w:rFonts w:hint="eastAsia" w:ascii="Arial" w:hAnsi="Arial" w:cs="Arial"/>
          <w:color w:val="333333"/>
          <w:shd w:val="clear" w:color="auto" w:fill="FFFFFF"/>
        </w:rPr>
        <w:t>健康中国</w:t>
      </w:r>
      <w:r>
        <w:rPr>
          <w:rFonts w:ascii="Arial" w:hAnsi="Arial" w:cs="Arial"/>
          <w:color w:val="333333"/>
          <w:shd w:val="clear" w:color="auto" w:fill="FFFFFF"/>
        </w:rPr>
        <w:t>2030"</w:t>
      </w:r>
      <w:r>
        <w:rPr>
          <w:rFonts w:hint="eastAsia" w:ascii="Arial" w:hAnsi="Arial" w:cs="Arial"/>
          <w:color w:val="333333"/>
          <w:shd w:val="clear" w:color="auto" w:fill="FFFFFF"/>
        </w:rPr>
        <w:t>规划纲要》</w:t>
      </w:r>
      <w:r>
        <w:rPr>
          <w:rFonts w:hint="eastAsia" w:ascii="Arial" w:hAnsi="Arial" w:cs="Arial"/>
          <w:color w:val="333333"/>
          <w:shd w:val="clear" w:color="auto" w:fill="FFFFFF"/>
          <w:lang w:eastAsia="zh-CN"/>
        </w:rPr>
        <w:t>，</w:t>
      </w:r>
      <w:r>
        <w:rPr>
          <w:rFonts w:hint="eastAsia" w:ascii="Arial" w:hAnsi="Arial" w:cs="Arial"/>
          <w:color w:val="333333"/>
          <w:shd w:val="clear" w:color="auto" w:fill="FFFFFF"/>
        </w:rPr>
        <w:t>把健康融入所有政策</w:t>
      </w:r>
      <w:r>
        <w:rPr>
          <w:rFonts w:hint="eastAsia" w:ascii="Arial" w:hAnsi="Arial" w:cs="Arial"/>
          <w:color w:val="333333"/>
          <w:shd w:val="clear" w:color="auto" w:fill="FFFFFF"/>
          <w:lang w:eastAsia="zh-CN"/>
        </w:rPr>
        <w:t>。推进</w:t>
      </w:r>
      <w:r>
        <w:rPr>
          <w:rFonts w:hint="eastAsia" w:ascii="Arial" w:hAnsi="Arial" w:cs="Arial"/>
          <w:color w:val="333333"/>
          <w:shd w:val="clear" w:color="auto" w:fill="FFFFFF"/>
        </w:rPr>
        <w:t>全面建立健康影响评价评估制度，系统评估各项经济社会发展规划和政策、重大工程项目对健康的影响。按照</w:t>
      </w:r>
      <w:r>
        <w:rPr>
          <w:rFonts w:hint="eastAsia" w:ascii="Arial" w:hAnsi="Arial" w:cs="Arial"/>
          <w:color w:val="333333"/>
          <w:shd w:val="clear" w:color="auto" w:fill="FFFFFF"/>
          <w:lang w:eastAsia="zh-CN"/>
        </w:rPr>
        <w:t>吉林</w:t>
      </w:r>
      <w:r>
        <w:rPr>
          <w:rFonts w:hint="eastAsia" w:ascii="仿宋" w:hAnsi="仿宋"/>
          <w:spacing w:val="14"/>
        </w:rPr>
        <w:t>省爱卫办《关于进一步加强健康影响评估制度建设试点工作的通知》</w:t>
      </w:r>
      <w:r>
        <w:rPr>
          <w:rFonts w:hint="eastAsia" w:ascii="仿宋" w:hAnsi="仿宋"/>
          <w:spacing w:val="14"/>
          <w:lang w:eastAsia="zh-CN"/>
        </w:rPr>
        <w:t>要求</w:t>
      </w:r>
      <w:r>
        <w:rPr>
          <w:rFonts w:hint="eastAsia" w:ascii="仿宋" w:hAnsi="仿宋"/>
          <w:spacing w:val="14"/>
        </w:rPr>
        <w:t>，结合我市实际，制定本方案。</w:t>
      </w:r>
    </w:p>
    <w:p>
      <w:pPr>
        <w:spacing w:line="600" w:lineRule="exact"/>
        <w:ind w:firstLine="632" w:firstLineChars="200"/>
        <w:rPr>
          <w:rFonts w:ascii="黑体" w:hAnsi="黑体" w:eastAsia="黑体"/>
        </w:rPr>
      </w:pPr>
      <w:r>
        <w:rPr>
          <w:rFonts w:hint="eastAsia" w:ascii="黑体" w:hAnsi="黑体" w:eastAsia="黑体"/>
        </w:rPr>
        <w:t>一、指导思想</w:t>
      </w:r>
    </w:p>
    <w:p>
      <w:pPr>
        <w:spacing w:line="600" w:lineRule="exact"/>
        <w:ind w:firstLine="632" w:firstLineChars="200"/>
        <w:jc w:val="left"/>
        <w:rPr>
          <w:rFonts w:hint="eastAsia" w:ascii="Arial" w:hAnsi="Arial" w:eastAsia="仿宋" w:cs="Arial"/>
          <w:i w:val="0"/>
          <w:iCs w:val="0"/>
          <w:caps w:val="0"/>
          <w:color w:val="333333"/>
          <w:spacing w:val="0"/>
          <w:sz w:val="32"/>
          <w:szCs w:val="32"/>
          <w:shd w:val="clear" w:fill="FFFFFF"/>
          <w:lang w:eastAsia="zh-CN"/>
        </w:rPr>
      </w:pPr>
      <w:r>
        <w:rPr>
          <w:rFonts w:hint="default" w:ascii="Arial" w:hAnsi="Arial" w:cs="Arial"/>
          <w:i w:val="0"/>
          <w:iCs w:val="0"/>
          <w:caps w:val="0"/>
          <w:color w:val="333333"/>
          <w:spacing w:val="0"/>
          <w:sz w:val="32"/>
          <w:szCs w:val="32"/>
          <w:shd w:val="clear" w:fill="FFFFFF"/>
        </w:rPr>
        <w:t>推进健康中国建设，认真落实党中央、国务院决策部署，坚持以人民为中心的发展思想，牢固树立和贯彻落实新发展理念，坚持正确的卫生与健康工作方针，以提高人民健康水平为核心，以体制机制改革创新为动力，以普及健康生活、优化健康服务、完善健康保障、建设健康环境、发展健康产业为重点，把健康融入所有政策，加快转变健康领域发展方式，全方位、全周期维护和保障人民健康</w:t>
      </w:r>
      <w:r>
        <w:rPr>
          <w:rFonts w:hint="eastAsia" w:ascii="Arial" w:hAnsi="Arial" w:cs="Arial"/>
          <w:i w:val="0"/>
          <w:iCs w:val="0"/>
          <w:caps w:val="0"/>
          <w:color w:val="333333"/>
          <w:spacing w:val="0"/>
          <w:sz w:val="32"/>
          <w:szCs w:val="32"/>
          <w:shd w:val="clear" w:fill="FFFFFF"/>
          <w:lang w:eastAsia="zh-CN"/>
        </w:rPr>
        <w:t>。</w:t>
      </w:r>
      <w:r>
        <w:rPr>
          <w:rFonts w:hint="eastAsia" w:ascii="Arial" w:hAnsi="Arial" w:cs="Arial"/>
          <w:i w:val="0"/>
          <w:iCs w:val="0"/>
          <w:caps w:val="0"/>
          <w:color w:val="333333"/>
          <w:spacing w:val="0"/>
          <w:sz w:val="32"/>
          <w:szCs w:val="32"/>
          <w:shd w:val="clear" w:fill="FFFFFF"/>
        </w:rPr>
        <w:t>遵循政府主导，各部门各行业沟通协作，形成促进健康的合力。</w:t>
      </w:r>
    </w:p>
    <w:p>
      <w:pPr>
        <w:spacing w:line="600" w:lineRule="exact"/>
        <w:ind w:firstLine="632" w:firstLineChars="200"/>
        <w:rPr>
          <w:rFonts w:ascii="黑体" w:hAnsi="黑体" w:eastAsia="黑体"/>
        </w:rPr>
      </w:pPr>
      <w:r>
        <w:rPr>
          <w:rFonts w:hint="eastAsia" w:ascii="黑体" w:hAnsi="黑体" w:eastAsia="黑体"/>
        </w:rPr>
        <w:t>二、总体目标</w:t>
      </w:r>
    </w:p>
    <w:p>
      <w:pPr>
        <w:spacing w:line="600" w:lineRule="exact"/>
        <w:ind w:firstLine="688" w:firstLineChars="200"/>
        <w:jc w:val="left"/>
        <w:rPr>
          <w:rFonts w:hint="eastAsia" w:ascii="仿宋" w:hAnsi="仿宋"/>
          <w:spacing w:val="14"/>
        </w:rPr>
      </w:pPr>
      <w:r>
        <w:rPr>
          <w:rFonts w:hint="default" w:ascii="仿宋" w:hAnsi="仿宋"/>
          <w:spacing w:val="14"/>
        </w:rPr>
        <w:t>加强各部门各行业的沟通协作，形成促进健康的合力。</w:t>
      </w:r>
      <w:r>
        <w:rPr>
          <w:rFonts w:hint="eastAsia" w:ascii="仿宋" w:hAnsi="仿宋"/>
          <w:spacing w:val="14"/>
        </w:rPr>
        <w:t>全面建立健康影响评价评估制度，系统评估我市各项经济社会发展规划和政策、重大工程项目对健康的影响，健全监督机制。2022年，组织启动对我市部分公共政策开展健康影响评价评估。2023年，不断提高评价评估比例，逐步实现市政府及政府所属部门对拟订的政策和重大工程项目进行健康影响评价评估。</w:t>
      </w:r>
    </w:p>
    <w:p>
      <w:pPr>
        <w:spacing w:line="600" w:lineRule="exact"/>
        <w:ind w:firstLine="632" w:firstLineChars="200"/>
        <w:rPr>
          <w:rFonts w:hint="eastAsia" w:ascii="黑体" w:hAnsi="黑体" w:eastAsia="黑体"/>
          <w:lang w:eastAsia="zh-CN"/>
        </w:rPr>
      </w:pPr>
      <w:r>
        <w:rPr>
          <w:rFonts w:hint="eastAsia" w:ascii="黑体" w:hAnsi="黑体" w:eastAsia="黑体"/>
        </w:rPr>
        <w:t>三、评价评估</w:t>
      </w:r>
      <w:r>
        <w:rPr>
          <w:rFonts w:hint="eastAsia" w:ascii="黑体" w:hAnsi="黑体" w:eastAsia="黑体"/>
          <w:lang w:eastAsia="zh-CN"/>
        </w:rPr>
        <w:t>原则</w:t>
      </w:r>
    </w:p>
    <w:p>
      <w:pPr>
        <w:spacing w:line="600" w:lineRule="exact"/>
        <w:ind w:firstLine="632" w:firstLineChars="200"/>
        <w:jc w:val="left"/>
        <w:rPr>
          <w:rFonts w:hint="eastAsia" w:ascii="仿宋" w:hAnsi="仿宋"/>
          <w:spacing w:val="14"/>
          <w:lang w:eastAsia="zh-CN"/>
        </w:rPr>
      </w:pPr>
      <w:r>
        <w:rPr>
          <w:rFonts w:hint="eastAsia" w:ascii="楷体" w:hAnsi="楷体" w:eastAsia="楷体" w:cs="楷体"/>
          <w:lang w:eastAsia="zh-CN"/>
        </w:rPr>
        <w:t>（一）党委领导、政府负责的原则：</w:t>
      </w:r>
      <w:r>
        <w:rPr>
          <w:rFonts w:hint="eastAsia" w:ascii="仿宋" w:hAnsi="仿宋"/>
          <w:spacing w:val="14"/>
          <w:lang w:eastAsia="zh-CN"/>
        </w:rPr>
        <w:t>保障人民健康是各级党政部门的共同责任和重要使命。重要公共政策涉及面广、覆盖人群多、有效时间长、影响较大，对其开展健康影响评价评估涉及部门多、政策领域多。重大</w:t>
      </w:r>
      <w:r>
        <w:rPr>
          <w:rFonts w:hint="eastAsia" w:ascii="仿宋" w:hAnsi="仿宋"/>
          <w:spacing w:val="14"/>
        </w:rPr>
        <w:t>工程</w:t>
      </w:r>
      <w:r>
        <w:rPr>
          <w:rFonts w:hint="eastAsia" w:ascii="仿宋" w:hAnsi="仿宋"/>
          <w:spacing w:val="14"/>
          <w:lang w:eastAsia="zh-CN"/>
        </w:rPr>
        <w:t>项目中健康影响评价评估涉及部门多，关系到人民群众切身利益。必须在同级党委和政府的领导下和制度约束下，才能规范化、制度化推进。</w:t>
      </w:r>
    </w:p>
    <w:p>
      <w:pPr>
        <w:spacing w:line="600" w:lineRule="exact"/>
        <w:ind w:firstLine="632" w:firstLineChars="200"/>
        <w:jc w:val="left"/>
        <w:rPr>
          <w:rFonts w:hint="eastAsia" w:ascii="仿宋" w:hAnsi="仿宋"/>
          <w:spacing w:val="14"/>
          <w:lang w:eastAsia="zh-CN"/>
        </w:rPr>
      </w:pPr>
      <w:r>
        <w:rPr>
          <w:rFonts w:hint="eastAsia" w:ascii="楷体" w:hAnsi="楷体" w:eastAsia="楷体" w:cs="楷体"/>
          <w:lang w:eastAsia="zh-CN"/>
        </w:rPr>
        <w:t>（二）部门参与、协同配合原则：</w:t>
      </w:r>
      <w:r>
        <w:rPr>
          <w:rFonts w:hint="eastAsia" w:ascii="仿宋" w:hAnsi="仿宋"/>
          <w:spacing w:val="14"/>
          <w:lang w:eastAsia="zh-CN"/>
        </w:rPr>
        <w:t>在重要公共政策的制定、颁布、实施和修订中，政府各职能部门发挥着主体作用，对政策的导向作用和社会效果负有责任。部门主动申报、积极协同配合、参与评估是推进重要公共政策健康影响评价评估常态化运作的基础。</w:t>
      </w:r>
    </w:p>
    <w:p>
      <w:pPr>
        <w:spacing w:line="600" w:lineRule="exact"/>
        <w:ind w:firstLine="632" w:firstLineChars="200"/>
        <w:jc w:val="left"/>
        <w:rPr>
          <w:rFonts w:hint="eastAsia" w:ascii="仿宋" w:hAnsi="仿宋"/>
          <w:spacing w:val="14"/>
        </w:rPr>
      </w:pPr>
      <w:r>
        <w:rPr>
          <w:rFonts w:hint="eastAsia" w:ascii="楷体" w:hAnsi="楷体" w:eastAsia="楷体" w:cs="楷体"/>
          <w:lang w:eastAsia="zh-CN"/>
        </w:rPr>
        <w:t>（三）客观、公正、民主的原则：</w:t>
      </w:r>
      <w:r>
        <w:rPr>
          <w:rFonts w:hint="eastAsia" w:ascii="仿宋" w:hAnsi="仿宋"/>
          <w:spacing w:val="14"/>
          <w:lang w:eastAsia="zh-CN"/>
        </w:rPr>
        <w:t>重要公共政策健康影响评价评估是针对影响本地人群健康的主要社会决定因素进行的，要充分考虑当地政治、经济、文化和人文环境等客观因素，评价建议要强调可持续发展性和现实可行性。要畅通公众参与重大</w:t>
      </w:r>
      <w:r>
        <w:rPr>
          <w:rFonts w:hint="eastAsia" w:ascii="仿宋" w:hAnsi="仿宋"/>
          <w:spacing w:val="14"/>
        </w:rPr>
        <w:t>工程</w:t>
      </w:r>
      <w:r>
        <w:rPr>
          <w:rFonts w:hint="eastAsia" w:ascii="仿宋" w:hAnsi="仿宋"/>
          <w:spacing w:val="14"/>
          <w:lang w:eastAsia="zh-CN"/>
        </w:rPr>
        <w:t>项目健康影响评价评估的途径，确保公众维护自身合法权益，保障社会公正。</w:t>
      </w:r>
    </w:p>
    <w:p>
      <w:pPr>
        <w:spacing w:line="600" w:lineRule="exact"/>
        <w:ind w:firstLine="632" w:firstLineChars="200"/>
        <w:rPr>
          <w:rFonts w:ascii="黑体" w:hAnsi="黑体" w:eastAsia="黑体"/>
        </w:rPr>
      </w:pPr>
      <w:r>
        <w:rPr>
          <w:rFonts w:hint="eastAsia" w:ascii="黑体" w:hAnsi="黑体" w:eastAsia="黑体"/>
          <w:lang w:eastAsia="zh-CN"/>
        </w:rPr>
        <w:t>四</w:t>
      </w:r>
      <w:r>
        <w:rPr>
          <w:rFonts w:hint="eastAsia" w:ascii="黑体" w:hAnsi="黑体" w:eastAsia="黑体"/>
        </w:rPr>
        <w:t>、评价评估对象</w:t>
      </w:r>
    </w:p>
    <w:p>
      <w:pPr>
        <w:spacing w:line="600" w:lineRule="exact"/>
        <w:ind w:firstLine="632" w:firstLineChars="200"/>
        <w:jc w:val="left"/>
        <w:rPr>
          <w:rFonts w:ascii="仿宋"/>
          <w:spacing w:val="14"/>
        </w:rPr>
      </w:pPr>
      <w:r>
        <w:rPr>
          <w:rFonts w:hint="eastAsia" w:ascii="楷体" w:hAnsi="楷体" w:eastAsia="楷体" w:cs="楷体"/>
          <w:lang w:eastAsia="zh-CN"/>
        </w:rPr>
        <w:t>（一）公共政策。</w:t>
      </w:r>
      <w:r>
        <w:rPr>
          <w:rFonts w:ascii="仿宋_GB2312" w:eastAsia="仿宋_GB2312"/>
        </w:rPr>
        <w:t xml:space="preserve"> </w:t>
      </w:r>
      <w:r>
        <w:rPr>
          <w:rFonts w:hint="eastAsia" w:ascii="仿宋" w:hAnsi="仿宋"/>
          <w:spacing w:val="14"/>
        </w:rPr>
        <w:t>由市政府及其所属部门拟定的行政规范性文件，即以市人民政府名义和市人民政府所属工作部门（不含卫生健康部门）名义，依照法定权限、程序制定并公开发布，涉及公民、法人和其他组织权利义务，在本行政区域或者其管理范围内具有普遍约束力，在一定时期内反复适用的公文。</w:t>
      </w:r>
    </w:p>
    <w:p>
      <w:pPr>
        <w:spacing w:line="600" w:lineRule="exact"/>
        <w:ind w:firstLine="688" w:firstLineChars="200"/>
        <w:jc w:val="left"/>
        <w:rPr>
          <w:rFonts w:ascii="仿宋"/>
          <w:spacing w:val="14"/>
        </w:rPr>
      </w:pPr>
      <w:r>
        <w:rPr>
          <w:rFonts w:hint="eastAsia" w:ascii="仿宋" w:hAnsi="仿宋"/>
          <w:spacing w:val="14"/>
        </w:rPr>
        <w:t>市人民政府内设机构、市人民政府所属工作部门内设机构发布的公文，以及转发上级政府或部门的文件，不属于本方案评价评估对象。</w:t>
      </w:r>
    </w:p>
    <w:p>
      <w:pPr>
        <w:numPr>
          <w:ilvl w:val="0"/>
          <w:numId w:val="1"/>
        </w:numPr>
        <w:spacing w:line="600" w:lineRule="exact"/>
        <w:ind w:firstLine="632" w:firstLineChars="200"/>
        <w:rPr>
          <w:rFonts w:ascii="仿宋"/>
          <w:spacing w:val="14"/>
        </w:rPr>
      </w:pPr>
      <w:r>
        <w:rPr>
          <w:rFonts w:hint="eastAsia" w:ascii="楷体" w:hAnsi="楷体" w:eastAsia="楷体" w:cs="楷体"/>
          <w:lang w:eastAsia="zh-CN"/>
        </w:rPr>
        <w:t>重大工程和项目。</w:t>
      </w:r>
      <w:r>
        <w:rPr>
          <w:rFonts w:hint="eastAsia" w:ascii="仿宋" w:hAnsi="仿宋"/>
          <w:spacing w:val="14"/>
        </w:rPr>
        <w:t>列入经济社会发展规划由政府投资的重大工程和项目。</w:t>
      </w:r>
    </w:p>
    <w:p>
      <w:pPr>
        <w:numPr>
          <w:ilvl w:val="0"/>
          <w:numId w:val="2"/>
        </w:numPr>
        <w:spacing w:line="600" w:lineRule="exact"/>
        <w:ind w:left="743" w:leftChars="0" w:firstLine="0" w:firstLineChars="0"/>
        <w:rPr>
          <w:rFonts w:hint="eastAsia" w:ascii="黑体" w:hAnsi="黑体" w:eastAsia="黑体"/>
          <w:lang w:val="en-US" w:eastAsia="zh-CN"/>
        </w:rPr>
      </w:pPr>
      <w:r>
        <w:rPr>
          <w:rFonts w:hint="eastAsia" w:ascii="黑体" w:hAnsi="黑体" w:eastAsia="黑体"/>
          <w:lang w:val="en-US" w:eastAsia="zh-CN"/>
        </w:rPr>
        <w:t>主要健康影响因素</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（一）重要公共政策主要健康影响因素</w:t>
      </w:r>
    </w:p>
    <w:p>
      <w:pPr>
        <w:numPr>
          <w:ilvl w:val="0"/>
          <w:numId w:val="0"/>
        </w:numPr>
        <w:spacing w:line="600" w:lineRule="exact"/>
        <w:rPr>
          <w:rFonts w:hint="eastAsia" w:ascii="仿宋" w:hAnsi="仿宋"/>
          <w:spacing w:val="14"/>
          <w:lang w:val="en-US" w:eastAsia="zh-CN"/>
        </w:rPr>
      </w:pPr>
      <w:r>
        <w:rPr>
          <w:rFonts w:hint="eastAsia" w:ascii="仿宋" w:hAnsi="仿宋"/>
          <w:spacing w:val="14"/>
          <w:lang w:val="en-US" w:eastAsia="zh-CN"/>
        </w:rPr>
        <w:t xml:space="preserve">     1.环境因素：空气质量，水质量，土壤质量，噪声，废物处理，气候变化，能源的清洁性，食物原材料供应及其安全性，食品生产、加工和运输，病媒生物，绿化环境，工作、生活、学习微观环境，自然灾害，交通安全性，生物多样性，文化娱乐休闲场所和设施，健身场地和设施，基础卫生设施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2.个体（行为）危险因素：饮食，身体活动或静坐生活方式，出行方式，吸烟，饮酒，毒品及药物滥用，休闲娱乐活动，不安全性行为，生活技能，世界观、人生观和价值观，健康理念和意识，压力，自尊、自信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3.公共服务的可及性、公平性和质量：教育，社会保障，医疗卫生服务，养老服务，残疾人服务，社会救助，幼儿托管服务，食品零售，交通运输，文化娱乐休闲服务，治安、安全保障和应急响应，能源可及性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4.家庭和社区：相互支持，孤立，家庭结构和家庭关系，志愿团体的参与，文化风俗、传统习俗，犯罪和暴力，歧视等。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5.就业：就业和工作保障，收入和福利，职业危害因素，职业防护和健康管理等。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6.住房：住房供给、价格以及可及性，房屋大小和拥挤程度，住房安全等。</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（二）重大工程项目主要健康影响因素</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1.项目准备阶段的主要健康影响因素。就业，心理健康，动物疫源性疾病、病媒生物、自然灾害，服务利用的可及性和公平性等。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2.项目实施阶段的主要健康影响因素。废物处理、病媒生物、自然灾害，基础设施、治安（安全）保障和应急响应、不安全性行为，医疗卫生服务等。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3.项目运营阶段的主要健康影响因素。废物处理、病媒生物、自然灾害，应急响应，职业防护和健康管理、职业危害因素，医疗卫生服务等。</w:t>
      </w:r>
    </w:p>
    <w:p>
      <w:pPr>
        <w:numPr>
          <w:ilvl w:val="0"/>
          <w:numId w:val="0"/>
        </w:numPr>
        <w:spacing w:line="600" w:lineRule="exact"/>
        <w:ind w:firstLine="743"/>
        <w:rPr>
          <w:rFonts w:hint="eastAsia" w:ascii="仿宋" w:hAnsi="仿宋"/>
          <w:spacing w:val="14"/>
          <w:lang w:val="en-US" w:eastAsia="zh-CN"/>
        </w:rPr>
      </w:pPr>
      <w:r>
        <w:rPr>
          <w:rFonts w:hint="eastAsia" w:ascii="仿宋" w:hAnsi="仿宋"/>
          <w:spacing w:val="14"/>
          <w:lang w:val="en-US" w:eastAsia="zh-CN"/>
        </w:rPr>
        <w:t>4.生产性工程项目的主要健康影响因素。环境因素，违反社会法律、道德的健康危害行为，就业，职业危害因素，职业防护和健康管理，交通运输，医疗卫生服务，治安（安全）保障和应急响应等。</w:t>
      </w:r>
    </w:p>
    <w:p>
      <w:pPr>
        <w:numPr>
          <w:ilvl w:val="0"/>
          <w:numId w:val="0"/>
        </w:numPr>
        <w:spacing w:line="600" w:lineRule="exact"/>
        <w:ind w:firstLine="743"/>
        <w:rPr>
          <w:rFonts w:hint="default" w:ascii="仿宋" w:hAnsi="仿宋"/>
          <w:spacing w:val="14"/>
          <w:lang w:val="en-US" w:eastAsia="zh-CN"/>
        </w:rPr>
      </w:pPr>
      <w:r>
        <w:rPr>
          <w:rFonts w:hint="eastAsia" w:ascii="仿宋" w:hAnsi="仿宋"/>
          <w:spacing w:val="14"/>
          <w:lang w:val="en-US" w:eastAsia="zh-CN"/>
        </w:rPr>
        <w:t>5.非生产性工程项目的主要健康影响因素。环境因素，公共服务因素，文化因素，健康理念和意识，社会保障，就业，福利，公平，治安（安全）保障和应急响应等。</w:t>
      </w:r>
    </w:p>
    <w:p>
      <w:pPr>
        <w:spacing w:line="600" w:lineRule="exact"/>
        <w:ind w:firstLine="632" w:firstLineChars="200"/>
        <w:rPr>
          <w:rFonts w:hint="eastAsia" w:ascii="黑体" w:hAnsi="黑体" w:eastAsia="黑体"/>
          <w:lang w:eastAsia="zh-CN"/>
        </w:rPr>
      </w:pPr>
      <w:r>
        <w:rPr>
          <w:rFonts w:hint="eastAsia" w:ascii="黑体" w:hAnsi="黑体" w:eastAsia="黑体"/>
          <w:lang w:eastAsia="zh-CN"/>
        </w:rPr>
        <w:t>六</w:t>
      </w:r>
      <w:r>
        <w:rPr>
          <w:rFonts w:hint="eastAsia" w:ascii="黑体" w:hAnsi="黑体" w:eastAsia="黑体"/>
        </w:rPr>
        <w:t>、</w:t>
      </w:r>
      <w:r>
        <w:rPr>
          <w:rFonts w:hint="eastAsia" w:ascii="黑体" w:hAnsi="黑体" w:eastAsia="黑体"/>
          <w:lang w:eastAsia="zh-CN"/>
        </w:rPr>
        <w:t>工作组织构架</w:t>
      </w:r>
    </w:p>
    <w:p>
      <w:pPr>
        <w:spacing w:line="600" w:lineRule="exact"/>
        <w:ind w:firstLine="632" w:firstLineChars="200"/>
        <w:rPr>
          <w:rFonts w:hint="eastAsia" w:ascii="楷体" w:hAnsi="楷体" w:eastAsia="楷体" w:cs="楷体"/>
        </w:rPr>
      </w:pPr>
      <w:r>
        <w:rPr>
          <w:rFonts w:hint="eastAsia" w:ascii="楷体" w:hAnsi="楷体" w:eastAsia="楷体" w:cs="楷体"/>
          <w:lang w:eastAsia="zh-CN"/>
        </w:rPr>
        <w:t>（一）</w:t>
      </w:r>
      <w:r>
        <w:rPr>
          <w:rFonts w:hint="eastAsia" w:ascii="楷体" w:hAnsi="楷体" w:eastAsia="楷体" w:cs="楷体"/>
        </w:rPr>
        <w:t>成立工作领导小组</w:t>
      </w:r>
    </w:p>
    <w:p>
      <w:pPr>
        <w:spacing w:line="600" w:lineRule="exact"/>
        <w:ind w:firstLine="688" w:firstLineChars="200"/>
        <w:jc w:val="left"/>
        <w:rPr>
          <w:rFonts w:ascii="仿宋"/>
          <w:spacing w:val="14"/>
        </w:rPr>
      </w:pPr>
      <w:r>
        <w:rPr>
          <w:rFonts w:hint="eastAsia" w:ascii="仿宋" w:hAnsi="仿宋"/>
          <w:spacing w:val="14"/>
        </w:rPr>
        <w:t>成立吉林市健康影响评估制度建设试点工作领导小组，负责部署、协调、推进全市健康影响评估制度建设工作。</w:t>
      </w:r>
    </w:p>
    <w:p>
      <w:pPr>
        <w:spacing w:line="600" w:lineRule="exact"/>
        <w:ind w:firstLine="688" w:firstLineChars="200"/>
        <w:jc w:val="left"/>
        <w:rPr>
          <w:rFonts w:ascii="仿宋"/>
          <w:spacing w:val="14"/>
        </w:rPr>
      </w:pPr>
      <w:r>
        <w:rPr>
          <w:rFonts w:hint="eastAsia" w:ascii="仿宋" w:hAnsi="仿宋"/>
          <w:spacing w:val="14"/>
        </w:rPr>
        <w:t>组</w:t>
      </w:r>
      <w:r>
        <w:rPr>
          <w:rFonts w:ascii="仿宋" w:hAnsi="仿宋"/>
          <w:spacing w:val="14"/>
        </w:rPr>
        <w:t xml:space="preserve">  </w:t>
      </w:r>
      <w:r>
        <w:rPr>
          <w:rFonts w:hint="eastAsia" w:ascii="仿宋" w:hAnsi="仿宋"/>
          <w:spacing w:val="14"/>
        </w:rPr>
        <w:t>长：张静辉</w:t>
      </w:r>
      <w:r>
        <w:rPr>
          <w:rFonts w:ascii="仿宋" w:hAnsi="仿宋"/>
          <w:spacing w:val="14"/>
        </w:rPr>
        <w:t xml:space="preserve"> </w:t>
      </w:r>
      <w:r>
        <w:rPr>
          <w:rFonts w:hint="eastAsia" w:ascii="仿宋" w:hAnsi="仿宋"/>
          <w:spacing w:val="14"/>
        </w:rPr>
        <w:t>市政府副市长</w:t>
      </w:r>
    </w:p>
    <w:p>
      <w:pPr>
        <w:spacing w:line="600" w:lineRule="exact"/>
        <w:ind w:firstLine="688" w:firstLineChars="200"/>
        <w:jc w:val="left"/>
        <w:rPr>
          <w:rFonts w:hint="eastAsia" w:ascii="仿宋" w:eastAsia="仿宋"/>
          <w:spacing w:val="14"/>
          <w:lang w:eastAsia="zh-CN"/>
        </w:rPr>
      </w:pPr>
      <w:r>
        <w:rPr>
          <w:rFonts w:hint="eastAsia" w:ascii="仿宋" w:hAnsi="仿宋"/>
          <w:spacing w:val="14"/>
        </w:rPr>
        <w:t>副组长：</w:t>
      </w:r>
      <w:r>
        <w:rPr>
          <w:rFonts w:hint="eastAsia" w:ascii="仿宋" w:hAnsi="仿宋"/>
          <w:spacing w:val="14"/>
          <w:lang w:eastAsia="zh-CN"/>
        </w:rPr>
        <w:t>杨伟光</w:t>
      </w:r>
      <w:r>
        <w:rPr>
          <w:rFonts w:ascii="仿宋" w:hAnsi="仿宋"/>
          <w:spacing w:val="14"/>
        </w:rPr>
        <w:t xml:space="preserve"> </w:t>
      </w:r>
      <w:r>
        <w:rPr>
          <w:rFonts w:hint="eastAsia" w:ascii="仿宋" w:hAnsi="仿宋"/>
          <w:spacing w:val="14"/>
        </w:rPr>
        <w:t>市政府</w:t>
      </w:r>
      <w:r>
        <w:rPr>
          <w:rFonts w:hint="eastAsia" w:ascii="仿宋" w:hAnsi="仿宋"/>
          <w:spacing w:val="14"/>
          <w:lang w:eastAsia="zh-CN"/>
        </w:rPr>
        <w:t>办一级调研员</w:t>
      </w:r>
    </w:p>
    <w:p>
      <w:pPr>
        <w:spacing w:line="600" w:lineRule="exact"/>
        <w:ind w:firstLine="688" w:firstLineChars="200"/>
        <w:jc w:val="left"/>
        <w:rPr>
          <w:rFonts w:ascii="仿宋"/>
          <w:spacing w:val="14"/>
        </w:rPr>
      </w:pPr>
      <w:r>
        <w:rPr>
          <w:rFonts w:ascii="仿宋" w:hAnsi="仿宋"/>
          <w:spacing w:val="14"/>
        </w:rPr>
        <w:t xml:space="preserve">       </w:t>
      </w:r>
      <w:r>
        <w:rPr>
          <w:rFonts w:hint="eastAsia" w:ascii="仿宋" w:hAnsi="仿宋"/>
          <w:spacing w:val="14"/>
        </w:rPr>
        <w:t>罗</w:t>
      </w:r>
      <w:r>
        <w:rPr>
          <w:rFonts w:ascii="仿宋" w:hAnsi="仿宋"/>
          <w:spacing w:val="14"/>
        </w:rPr>
        <w:t xml:space="preserve">  </w:t>
      </w:r>
      <w:r>
        <w:rPr>
          <w:rFonts w:hint="eastAsia" w:ascii="仿宋" w:hAnsi="仿宋"/>
          <w:spacing w:val="14"/>
        </w:rPr>
        <w:t>兵</w:t>
      </w:r>
      <w:r>
        <w:rPr>
          <w:rFonts w:ascii="仿宋" w:hAnsi="仿宋"/>
          <w:spacing w:val="14"/>
        </w:rPr>
        <w:t xml:space="preserve"> </w:t>
      </w:r>
      <w:r>
        <w:rPr>
          <w:rFonts w:hint="eastAsia" w:ascii="仿宋" w:hAnsi="仿宋"/>
          <w:spacing w:val="14"/>
        </w:rPr>
        <w:t>市卫生健康委党组书记</w:t>
      </w:r>
    </w:p>
    <w:p>
      <w:pPr>
        <w:spacing w:line="600" w:lineRule="exact"/>
        <w:ind w:firstLine="688" w:firstLineChars="200"/>
        <w:jc w:val="left"/>
        <w:rPr>
          <w:rFonts w:ascii="仿宋" w:cs="仿宋"/>
        </w:rPr>
      </w:pPr>
      <w:r>
        <w:rPr>
          <w:rFonts w:hint="eastAsia" w:ascii="仿宋" w:hAnsi="仿宋"/>
          <w:spacing w:val="14"/>
        </w:rPr>
        <w:t>成</w:t>
      </w:r>
      <w:r>
        <w:rPr>
          <w:rFonts w:ascii="仿宋" w:hAnsi="仿宋"/>
          <w:spacing w:val="14"/>
        </w:rPr>
        <w:t xml:space="preserve">  </w:t>
      </w:r>
      <w:r>
        <w:rPr>
          <w:rFonts w:hint="eastAsia" w:ascii="仿宋" w:hAnsi="仿宋"/>
          <w:spacing w:val="14"/>
        </w:rPr>
        <w:t>员：</w:t>
      </w:r>
      <w:r>
        <w:rPr>
          <w:rFonts w:hint="eastAsia" w:ascii="仿宋" w:hAnsi="仿宋" w:cs="仿宋"/>
        </w:rPr>
        <w:t>市政府各委、办、局主要领导</w:t>
      </w:r>
    </w:p>
    <w:p>
      <w:pPr>
        <w:spacing w:line="600" w:lineRule="exact"/>
        <w:ind w:firstLine="632" w:firstLineChars="200"/>
        <w:jc w:val="left"/>
        <w:rPr>
          <w:rFonts w:hint="eastAsia" w:ascii="仿宋" w:hAnsi="仿宋" w:eastAsia="仿宋" w:cs="仿宋"/>
          <w:lang w:eastAsia="zh-CN"/>
        </w:rPr>
      </w:pPr>
      <w:r>
        <w:rPr>
          <w:rFonts w:hint="eastAsia" w:ascii="仿宋" w:hAnsi="仿宋" w:cs="仿宋"/>
        </w:rPr>
        <w:t>领导下组下设办公室，设在</w:t>
      </w:r>
      <w:r>
        <w:rPr>
          <w:rFonts w:hint="eastAsia" w:ascii="仿宋" w:hAnsi="仿宋" w:cs="仿宋"/>
          <w:lang w:val="en-US" w:eastAsia="zh-CN"/>
        </w:rPr>
        <w:t>市爱国卫生运动委员会办公室</w:t>
      </w:r>
      <w:r>
        <w:rPr>
          <w:rFonts w:hint="eastAsia" w:ascii="仿宋" w:hAnsi="仿宋" w:cs="仿宋"/>
        </w:rPr>
        <w:t>，负责</w:t>
      </w:r>
      <w:r>
        <w:rPr>
          <w:rFonts w:hint="eastAsia" w:ascii="仿宋" w:hAnsi="仿宋" w:cs="仿宋"/>
          <w:lang w:eastAsia="zh-CN"/>
        </w:rPr>
        <w:t>承担全市健康影响评价具体</w:t>
      </w:r>
      <w:r>
        <w:rPr>
          <w:rFonts w:hint="eastAsia" w:ascii="仿宋" w:hAnsi="仿宋" w:cs="仿宋"/>
        </w:rPr>
        <w:t>工作，办公室主任由李吉哲同志兼任。领导小组办公室具体负责</w:t>
      </w:r>
      <w:r>
        <w:rPr>
          <w:rFonts w:hint="eastAsia" w:ascii="仿宋" w:hAnsi="仿宋" w:cs="仿宋"/>
          <w:lang w:eastAsia="zh-CN"/>
        </w:rPr>
        <w:t>组织、协调、监督、考评全市健康影响评价工作，确保各项制度和措施落实；组建健康影响评价专家委员会，持续构建健康影响评价工作网络；受理全市健康影响评价备案登记；组织实施相关评价工作。</w:t>
      </w:r>
    </w:p>
    <w:p>
      <w:pPr>
        <w:spacing w:line="600" w:lineRule="exact"/>
        <w:ind w:firstLine="632" w:firstLineChars="200"/>
        <w:jc w:val="left"/>
        <w:rPr>
          <w:rFonts w:hint="eastAsia" w:ascii="仿宋" w:hAnsi="仿宋" w:cs="仿宋"/>
          <w:lang w:eastAsia="zh-CN"/>
        </w:rPr>
      </w:pPr>
      <w:r>
        <w:rPr>
          <w:rFonts w:hint="eastAsia" w:ascii="楷体" w:hAnsi="楷体" w:eastAsia="楷体" w:cs="楷体"/>
          <w:lang w:eastAsia="zh-CN"/>
        </w:rPr>
        <w:t>（二）组建健康影响评价专家委员会</w:t>
      </w:r>
    </w:p>
    <w:p>
      <w:pPr>
        <w:spacing w:line="600" w:lineRule="exact"/>
        <w:ind w:firstLine="632" w:firstLineChars="200"/>
        <w:jc w:val="left"/>
        <w:rPr>
          <w:rFonts w:hint="eastAsia" w:ascii="仿宋" w:hAnsi="仿宋" w:cs="仿宋"/>
          <w:lang w:val="en-US" w:eastAsia="zh-CN"/>
        </w:rPr>
      </w:pPr>
      <w:r>
        <w:rPr>
          <w:rFonts w:hint="eastAsia" w:ascii="仿宋" w:hAnsi="仿宋" w:cs="仿宋"/>
          <w:lang w:eastAsia="zh-CN"/>
        </w:rPr>
        <w:t>遴选专家若干名，组建市健康影响评价专家委员会。专家来源：市政府所属工作部门及企事业单位的专业技术人员，高等院校、科研机构中区域与城市规划、建设、环境与资源、产业发展、卫生健康、新闻传播等领域的专家和技术人员。其中卫生健康领域专家占比约</w:t>
      </w:r>
      <w:r>
        <w:rPr>
          <w:rFonts w:hint="eastAsia" w:ascii="仿宋" w:hAnsi="仿宋" w:cs="仿宋"/>
          <w:lang w:val="en-US" w:eastAsia="zh-CN"/>
        </w:rPr>
        <w:t>25%到35%，专业涵盖卫生管理与政策、公共卫生、临床、康复等方向。</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（三）实施主体和职责</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市政府是健康影响评估制度实施的责任主体，市爱国卫生运动委员会是健康影响评估工作的管理主体，市爱国卫生运动委员会办公室、公共政策制定部门、重大工程项目主持部门是健康影响评估工作的实施主体，市健康影响评价专家委员会及市卫生健康部门是健康影响评估工作的技术支撑主体。</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1.实施主体。以市人民政府名义发布的行政规范性文件和市政府主持的重大工程项目，由市爱卫办组织实施健康影响评价。必要时，市爱卫办可委托相关专业机构进行健康影响评价。</w:t>
      </w:r>
    </w:p>
    <w:p>
      <w:pPr>
        <w:spacing w:line="600" w:lineRule="exact"/>
        <w:ind w:firstLine="632" w:firstLineChars="200"/>
        <w:jc w:val="both"/>
        <w:rPr>
          <w:rFonts w:hint="eastAsia" w:ascii="仿宋" w:hAnsi="仿宋" w:cs="仿宋"/>
          <w:lang w:val="en-US" w:eastAsia="zh-CN"/>
        </w:rPr>
      </w:pPr>
      <w:r>
        <w:rPr>
          <w:rFonts w:hint="eastAsia" w:ascii="仿宋" w:hAnsi="仿宋" w:cs="仿宋"/>
          <w:lang w:val="en-US" w:eastAsia="zh-CN"/>
        </w:rPr>
        <w:t>以市政府所属部门名议发布的行政规范性方件和市政府所属部门主持的重大工程项目，由政策制定部门和项目主持部门组织实施健康影响评价，并将评价结果及使用情况报市爱卫办备案。各部门可协调相关专家或机构组织实施健康影响评价，必要时，可请求市爱卫办支持。</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2.管理主体。市爱国卫生运动委员会负责市行政区域内重要公共政策和重大工程项目健康影响评估工作的指导和规范，研究重要公共政策和重大工程项目健康影响评估实施中的重大问题，审议和推动健康影响评估工作。</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市爱卫办负责承担市行政区域内重要公共政策和重大工程项目健康影响评估的具体管理和督导实施工作。</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3.技术支撑主体。市卫生健康部门为政策制定部门开展健康影响评估工作提供行业支撑和技术支持。</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市健康影响评价专家委员会受市爱卫办的委托，按照健康影响评价技术流程，对受理的重要公共政策或重大工程项目进行评价，并完成评价报告和提出建议。</w:t>
      </w:r>
    </w:p>
    <w:p>
      <w:pPr>
        <w:spacing w:line="600" w:lineRule="exact"/>
        <w:ind w:firstLine="632" w:firstLineChars="200"/>
        <w:rPr>
          <w:rFonts w:hint="eastAsia" w:ascii="黑体" w:hAnsi="黑体" w:eastAsia="黑体"/>
          <w:lang w:val="en-US" w:eastAsia="zh-CN"/>
        </w:rPr>
      </w:pPr>
      <w:r>
        <w:rPr>
          <w:rFonts w:hint="eastAsia" w:ascii="黑体" w:hAnsi="黑体" w:eastAsia="黑体"/>
          <w:lang w:val="en-US" w:eastAsia="zh-CN"/>
        </w:rPr>
        <w:t>七、工作流程</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健康影响评价的实施过程分为：提交备案登记、组建专家组、筛选、分析评估、出具评价报告、评价结果备案、评价结果使用、监测评估等8个阶段。</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（一）提交备案登记</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1.行政规范性文件。行政规范性文件草拟完成后，送交相关部门征求意见的同时，提交备案登记。市政府拟定的行政规范性文件，由文件起草部门提交市爱卫办进行备案登记，由市爱卫办组织实施健康影响评价。市政府所属工作部门拟定的行政规范性文件，由文件起草部门自行组织实施健康影响评价，并向市爱卫办备案登记。</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2.重大工程项目。重大工程项目在编制建议书阶段，提交备案登记。市政府主持的重大工程项目，由建设单位或主管部门提交市爱卫办进行备案登记，由市爱卫办组织实施健康影响评价。由建设单位或主管部门通过签定合同委托开展环境影响评价的，应在合同中要求评价单位在进行环境影响调查和评价工作之前，</w:t>
      </w:r>
      <w:r>
        <w:rPr>
          <w:rFonts w:hint="eastAsia" w:ascii="仿宋" w:hAnsi="仿宋" w:cs="仿宋"/>
          <w:color w:val="auto"/>
          <w:lang w:val="en-US" w:eastAsia="zh-CN"/>
        </w:rPr>
        <w:t>协调市爱卫办建立环境影响评价单位与健康影响评价专家组的工作联系。未开展或未通过健康影响评价的重大工程项目，不宜通过环境影响评价。</w:t>
      </w:r>
      <w:r>
        <w:rPr>
          <w:rFonts w:hint="eastAsia" w:ascii="仿宋" w:hAnsi="仿宋" w:cs="仿宋"/>
          <w:lang w:val="en-US" w:eastAsia="zh-CN"/>
        </w:rPr>
        <w:t>市政府所属工作部门主持的重大工程项目，由项目主持部门自行组织实施健康影响评价，并向市爱卫办备案登记。</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重大工程项目是指可能造成重大环境影响、应当编写环境影响报告书，对产生的环境影响进行全面评价的建设项目。</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（二）组建专家组</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遵照客观、公正、科学原则，健康影响评价实施主体根据起草文件和拟定项目所涉及领域，从健康影响评价专家委会中采用“2+X模式”，遴选相关领域专家组成健康影响评价专家组（专家组人数以奇数定员，原则上不少于5人），推选专家组组长。</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1.重要公共政策健康影响评价中，“2”为卫生健康领域和法律法规领域专家，“X”为根据拟定政策所选择的相关领域的学科专家。</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2.重大工程项目健康影响评价中，“2”为卫生健康领域（结合项目选择环境卫生、职业卫生、健康促进和健康教育、传染病防治和流行病学等领域）和法律法规领域专家，“X”为根据拟定项目所选择的相关领域的学科专家（结合项目选择环境工程、环境科学、生态学、化学、应用化学、生物科学、资源环境与城乡规划管理、大气科学、给水排水工程、水文与水资源工程、化学工程与工艺、生物工程、农业建筑环境与能源工程、森林资源保护与游憩、野生动物与自然保护管理、水土保持与荒漠化防治、农业资源与环境、土地资源管理等相关专业专家）。</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3.必要时，健康影响评价选择可能受所拟定重要公共政策或拟定重大工程项目影响的人群代表参加阶段性讨论。</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（三）筛选</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专家组对拟定政策或拟定项目是否对健康产生影响、影响范围、影响严重程度和是否为社会关注焦点等方面进行快速评估，决定是否做进一步分析评估。</w:t>
      </w:r>
    </w:p>
    <w:p>
      <w:pPr>
        <w:spacing w:line="600" w:lineRule="exact"/>
        <w:ind w:firstLine="632" w:firstLineChars="200"/>
        <w:jc w:val="left"/>
        <w:rPr>
          <w:rFonts w:hint="default" w:ascii="仿宋" w:hAnsi="仿宋" w:cs="仿宋"/>
          <w:color w:val="0000FF"/>
          <w:lang w:val="en-US" w:eastAsia="zh-CN"/>
        </w:rPr>
      </w:pPr>
      <w:r>
        <w:rPr>
          <w:rFonts w:hint="eastAsia" w:ascii="仿宋" w:hAnsi="仿宋" w:cs="仿宋"/>
          <w:lang w:val="en-US" w:eastAsia="zh-CN"/>
        </w:rPr>
        <w:t>筛</w:t>
      </w:r>
      <w:r>
        <w:rPr>
          <w:rFonts w:hint="eastAsia" w:ascii="仿宋" w:hAnsi="仿宋" w:cs="仿宋"/>
          <w:color w:val="auto"/>
          <w:lang w:val="en-US" w:eastAsia="zh-CN"/>
        </w:rPr>
        <w:t>选结论为没有必要实施进一步分析评估的，完成筛选意见汇总，并提交备案。筛选结论反馈给文件起草部门继续按流程出台政策或反馈给项目主持部门继续开展环境影响评价的审批。</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筛选结论为有必要实施进一步分析评估的，完成筛选意见汇总，进入分析评估环节。其中，重大工程项目的健康影响评价专家组与环境影响评价单位协同进行调查和评价，共享项目相关资料、评价内容和评价结果。</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（四）分析评估</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通过分析评估，确定拟定政策或拟定项目所涉及的健康决定因素，预估其可能产生的健康影响，并提出优化建议。</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1.拟定政策或拟定项目涉及的健康决定因素。</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2.拟定政策或拟定项目潜在健康影响的人群，拟定政策或拟定项目的潜在健康影响表现形式及严重程度。</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3.拟定政策或拟定项目对社会弱势群体的影响，或在未来政策或拟定项目实施过程中，是否会造成新的弱势群体的产生。</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4.针对政策或拟定项目影响，拟定优化建议。</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5.形成专家组对拟定政策或拟定项目的健康影响评价结果。</w:t>
      </w:r>
    </w:p>
    <w:p>
      <w:pPr>
        <w:spacing w:line="600" w:lineRule="exact"/>
        <w:ind w:firstLine="632" w:firstLineChars="200"/>
        <w:jc w:val="left"/>
        <w:rPr>
          <w:rFonts w:hint="default" w:ascii="楷体" w:hAnsi="楷体" w:eastAsia="楷体" w:cs="楷体"/>
          <w:lang w:val="en-US" w:eastAsia="zh-CN"/>
        </w:rPr>
      </w:pPr>
      <w:r>
        <w:rPr>
          <w:rFonts w:hint="eastAsia" w:ascii="楷体" w:hAnsi="楷体" w:eastAsia="楷体" w:cs="楷体"/>
          <w:lang w:val="en-US" w:eastAsia="zh-CN"/>
        </w:rPr>
        <w:t>（五）出具评价报告</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在完成对拟定政策或拟定项目的健康影响评价后，专家组出具评价报告，提出相关建议。评价报告包括：评价背景，评价过程，评价人员、组织和资源，评价过程中的合作和参与程度评估，对该政策或拟定项目健康影响的预估，评估结论，加强积极影响至最大化或减弱消极影响至最小化的建议等。</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（六）评价结果备案</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专家组填写健康影响评价意见及备案表，连同健康影响评价报告一起交至本次健康影响评价工作的实施主体（市爱卫办或文件起草部门、项目主持部门），最终归口市爱卫办进行备案。</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（七）评价结果使用</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1.通过健康影响评价的，由市爱卫办将健康影响评价结论反馈至文件起草部门或项目主持部门。</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1）文件起草部门需充分考虑健康影响评价的意见和建议，并综合相关部门反馈意见，对征求意见稿进行修改完善，形成发文稿件（发文稿件和健康影响评价结论同时报司法部门，进行合法性审查。司法部门审核是否进行了健康影响评价及健康影响评价结论，并反馈意见至文件起草部门）。将意见采纳情况填入健康影响评价结果采纳情况反馈表，提交至市爱卫办，并经健康影响评价专家组再次审核确认。专家组确认通过的，继续政策出台流程。专家组审核确认未通过者，不宜发文。</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合法性审查后，部门核签期间，如果期他部门对健康影响评价结果有异议，可向市爱卫办提请复议，由原评价专家组复议并出具复议结果及意见。</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2）建设单位或主管部门在收到重大工程项目健康影响评价反馈意见后，需按照相关建议对拟定项目进行相应变动。将意见采纳使用情况（如不采纳相关建议则需说明理由），提交至市爱卫办备案。通过健康影响评价的重大工程项目可继续环境影响评价的审批。</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2.未通过健康影响评价的，由市爱卫办将健康影响评价相关意见反馈至文件起草部门或项目主持部门。</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（1）文件起草部门按照相关建议修订完善征求意见稿，重新提交专家组开展健康影响评价。</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（2）建设单位或主管部门根据健康影响评价建议进一步修改完善项目建议书，重新提交专家组开展健康影响评价。</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3.市政府所属工作部门自行组织实施健康影响评价的，由文件起草部门或项目主持部门自行参考健康影响评价结果，进行修订完善，填写健康影响评价结果采纳情况反馈表或健康影响评价结果采纳使用情况，提交至市爱卫办备案。</w:t>
      </w:r>
    </w:p>
    <w:p>
      <w:pPr>
        <w:spacing w:line="600" w:lineRule="exact"/>
        <w:ind w:firstLine="632" w:firstLineChars="200"/>
        <w:jc w:val="left"/>
        <w:rPr>
          <w:rFonts w:hint="eastAsia" w:ascii="楷体" w:hAnsi="楷体" w:eastAsia="楷体" w:cs="楷体"/>
          <w:lang w:val="en-US" w:eastAsia="zh-CN"/>
        </w:rPr>
      </w:pPr>
      <w:r>
        <w:rPr>
          <w:rFonts w:hint="eastAsia" w:ascii="楷体" w:hAnsi="楷体" w:eastAsia="楷体" w:cs="楷体"/>
          <w:lang w:val="en-US" w:eastAsia="zh-CN"/>
        </w:rPr>
        <w:t>（八）监测评估</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市爱卫办牵头，健康影响评价专家委员会、市卫生健康部门和市政府各部门相互配合开展监测评估工作。</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1.对健康影响评价过程本身的监测评估。</w:t>
      </w:r>
    </w:p>
    <w:p>
      <w:pPr>
        <w:spacing w:line="600" w:lineRule="exact"/>
        <w:ind w:firstLine="632" w:firstLineChars="200"/>
        <w:jc w:val="left"/>
        <w:rPr>
          <w:rFonts w:hint="eastAsia" w:ascii="仿宋" w:hAnsi="仿宋" w:cs="仿宋"/>
          <w:lang w:val="en-US" w:eastAsia="zh-CN"/>
        </w:rPr>
      </w:pPr>
      <w:r>
        <w:rPr>
          <w:rFonts w:hint="eastAsia" w:ascii="仿宋" w:hAnsi="仿宋" w:cs="仿宋"/>
          <w:lang w:val="en-US" w:eastAsia="zh-CN"/>
        </w:rPr>
        <w:t>2.对拟定政策发布实施过程、重大工程项目设计和施工阶段对健康决定因素和健康所产生影响的监测评估。</w:t>
      </w:r>
    </w:p>
    <w:p>
      <w:pPr>
        <w:spacing w:line="600" w:lineRule="exact"/>
        <w:ind w:firstLine="632" w:firstLineChars="200"/>
        <w:jc w:val="left"/>
        <w:rPr>
          <w:rFonts w:hint="default" w:ascii="仿宋" w:hAnsi="仿宋" w:cs="仿宋"/>
          <w:lang w:val="en-US" w:eastAsia="zh-CN"/>
        </w:rPr>
      </w:pPr>
      <w:r>
        <w:rPr>
          <w:rFonts w:hint="eastAsia" w:ascii="仿宋" w:hAnsi="仿宋" w:cs="仿宋"/>
          <w:lang w:val="en-US" w:eastAsia="zh-CN"/>
        </w:rPr>
        <w:t>3.对拟定政策发布实施后、重大工程项目运营阶段对健康决定因素和健康所产生影响的监测评估。</w:t>
      </w:r>
    </w:p>
    <w:p>
      <w:pPr>
        <w:spacing w:line="600" w:lineRule="exact"/>
        <w:ind w:firstLine="632" w:firstLineChars="200"/>
        <w:rPr>
          <w:rFonts w:ascii="黑体" w:hAnsi="黑体" w:eastAsia="黑体"/>
        </w:rPr>
      </w:pPr>
      <w:r>
        <w:rPr>
          <w:rFonts w:hint="eastAsia" w:ascii="黑体" w:hAnsi="黑体" w:eastAsia="黑体"/>
          <w:lang w:eastAsia="zh-CN"/>
        </w:rPr>
        <w:t>八</w:t>
      </w:r>
      <w:r>
        <w:rPr>
          <w:rFonts w:hint="eastAsia" w:ascii="黑体" w:hAnsi="黑体" w:eastAsia="黑体"/>
        </w:rPr>
        <w:t>、工作步骤</w:t>
      </w:r>
    </w:p>
    <w:p>
      <w:pPr>
        <w:spacing w:line="600" w:lineRule="exact"/>
        <w:ind w:firstLine="632" w:firstLineChars="200"/>
        <w:rPr>
          <w:rFonts w:ascii="仿宋"/>
          <w:spacing w:val="14"/>
        </w:rPr>
      </w:pPr>
      <w:r>
        <w:rPr>
          <w:rFonts w:hint="eastAsia" w:ascii="楷体" w:hAnsi="楷体" w:eastAsia="楷体" w:cs="楷体"/>
          <w:lang w:eastAsia="zh-CN"/>
        </w:rPr>
        <w:t>（一）建立保障机制。</w:t>
      </w:r>
      <w:r>
        <w:rPr>
          <w:rFonts w:hint="eastAsia" w:ascii="仿宋" w:hAnsi="仿宋"/>
          <w:spacing w:val="14"/>
        </w:rPr>
        <w:t>建立以市政府为责任主体，市卫生健康委为牵头部门，</w:t>
      </w:r>
      <w:r>
        <w:rPr>
          <w:rFonts w:hint="eastAsia" w:ascii="仿宋_GB2312" w:eastAsia="仿宋_GB2312"/>
          <w:sz w:val="32"/>
          <w:szCs w:val="32"/>
          <w:lang w:eastAsia="zh-CN"/>
        </w:rPr>
        <w:t>市爱卫办、</w:t>
      </w:r>
      <w:r>
        <w:rPr>
          <w:rFonts w:hint="eastAsia" w:ascii="仿宋_GB2312" w:eastAsia="仿宋_GB2312"/>
          <w:sz w:val="32"/>
          <w:szCs w:val="32"/>
        </w:rPr>
        <w:t>公共政策拟定部门</w:t>
      </w:r>
      <w:r>
        <w:rPr>
          <w:rFonts w:hint="eastAsia" w:ascii="仿宋_GB2312" w:eastAsia="仿宋_GB2312"/>
          <w:sz w:val="32"/>
          <w:szCs w:val="32"/>
          <w:lang w:eastAsia="zh-CN"/>
        </w:rPr>
        <w:t>、重大工程项目主持部门</w:t>
      </w:r>
      <w:r>
        <w:rPr>
          <w:rFonts w:hint="eastAsia" w:ascii="仿宋_GB2312" w:eastAsia="仿宋_GB2312"/>
          <w:sz w:val="32"/>
          <w:szCs w:val="32"/>
        </w:rPr>
        <w:t>为实施主体，市疾</w:t>
      </w:r>
      <w:r>
        <w:rPr>
          <w:rFonts w:hint="eastAsia" w:ascii="仿宋_GB2312" w:eastAsia="仿宋_GB2312"/>
          <w:sz w:val="32"/>
          <w:szCs w:val="32"/>
          <w:lang w:eastAsia="zh-CN"/>
        </w:rPr>
        <w:t>病预防</w:t>
      </w:r>
      <w:r>
        <w:rPr>
          <w:rFonts w:hint="eastAsia" w:ascii="仿宋_GB2312" w:eastAsia="仿宋_GB2312"/>
          <w:sz w:val="32"/>
          <w:szCs w:val="32"/>
        </w:rPr>
        <w:t>控</w:t>
      </w:r>
      <w:r>
        <w:rPr>
          <w:rFonts w:hint="eastAsia" w:ascii="仿宋_GB2312" w:eastAsia="仿宋_GB2312"/>
          <w:sz w:val="32"/>
          <w:szCs w:val="32"/>
          <w:lang w:eastAsia="zh-CN"/>
        </w:rPr>
        <w:t>制部门</w:t>
      </w:r>
      <w:r>
        <w:rPr>
          <w:rFonts w:hint="eastAsia" w:ascii="仿宋_GB2312" w:eastAsia="仿宋_GB2312"/>
          <w:sz w:val="32"/>
          <w:szCs w:val="32"/>
        </w:rPr>
        <w:t>、相关科研院所和</w:t>
      </w:r>
      <w:r>
        <w:rPr>
          <w:rFonts w:hint="eastAsia" w:ascii="仿宋_GB2312" w:eastAsia="仿宋_GB2312"/>
          <w:sz w:val="32"/>
          <w:szCs w:val="32"/>
          <w:lang w:eastAsia="zh-CN"/>
        </w:rPr>
        <w:t>医疗机构、</w:t>
      </w:r>
      <w:r>
        <w:rPr>
          <w:rFonts w:hint="eastAsia" w:ascii="仿宋_GB2312" w:eastAsia="仿宋_GB2312"/>
          <w:sz w:val="32"/>
          <w:szCs w:val="32"/>
        </w:rPr>
        <w:t>评价机构为技术支撑主体</w:t>
      </w:r>
      <w:r>
        <w:rPr>
          <w:rFonts w:hint="eastAsia" w:ascii="仿宋" w:hAnsi="仿宋"/>
          <w:spacing w:val="14"/>
        </w:rPr>
        <w:t>的健康影响评估组织管理框架，明确各主体相应的权利和职责；构建与市政府所属部门的协同工作网络；遴选健康影响评价专家库，组建健康影响评价专家委员会；制定健康影响评估的各项相关制度、工作流程和系列技术方案。</w:t>
      </w:r>
    </w:p>
    <w:p>
      <w:pPr>
        <w:spacing w:line="600" w:lineRule="exact"/>
        <w:ind w:firstLine="632" w:firstLineChars="200"/>
        <w:rPr>
          <w:rFonts w:ascii="仿宋"/>
          <w:spacing w:val="14"/>
        </w:rPr>
      </w:pPr>
      <w:r>
        <w:rPr>
          <w:rFonts w:hint="eastAsia" w:ascii="楷体" w:hAnsi="楷体" w:eastAsia="楷体" w:cs="楷体"/>
        </w:rPr>
        <w:t>（二）启动开展健康影响评价评估（</w:t>
      </w:r>
      <w:r>
        <w:rPr>
          <w:rFonts w:ascii="楷体" w:hAnsi="楷体" w:eastAsia="楷体" w:cs="楷体"/>
        </w:rPr>
        <w:t>2022</w:t>
      </w:r>
      <w:r>
        <w:rPr>
          <w:rFonts w:hint="eastAsia" w:ascii="楷体" w:hAnsi="楷体" w:eastAsia="楷体" w:cs="楷体"/>
        </w:rPr>
        <w:t>年）。</w:t>
      </w:r>
      <w:r>
        <w:rPr>
          <w:rFonts w:hint="eastAsia" w:ascii="仿宋" w:hAnsi="仿宋"/>
          <w:spacing w:val="14"/>
        </w:rPr>
        <w:t>首先选取一个与健康相关的重大行政规范性文件开展健康影响评估工作，及时总结经验和方法；再以此实践案例为依托，对部分市政府及政府所属部门重大行政规范性文件开展健康影响评估工作。</w:t>
      </w:r>
    </w:p>
    <w:p>
      <w:pPr>
        <w:spacing w:line="600" w:lineRule="exact"/>
        <w:ind w:firstLine="632" w:firstLineChars="200"/>
        <w:rPr>
          <w:rFonts w:ascii="仿宋"/>
          <w:spacing w:val="14"/>
        </w:rPr>
      </w:pPr>
      <w:r>
        <w:rPr>
          <w:rFonts w:hint="eastAsia" w:ascii="楷体" w:hAnsi="楷体" w:eastAsia="楷体" w:cs="楷体"/>
        </w:rPr>
        <w:t>（三）</w:t>
      </w:r>
      <w:r>
        <w:rPr>
          <w:rFonts w:hint="eastAsia" w:ascii="楷体" w:hAnsi="楷体" w:eastAsia="楷体" w:cs="楷体"/>
          <w:lang w:eastAsia="zh-CN"/>
        </w:rPr>
        <w:t>推进</w:t>
      </w:r>
      <w:r>
        <w:rPr>
          <w:rFonts w:hint="eastAsia" w:ascii="楷体" w:hAnsi="楷体" w:eastAsia="楷体" w:cs="楷体"/>
        </w:rPr>
        <w:t>健康影响评价评估（</w:t>
      </w:r>
      <w:r>
        <w:rPr>
          <w:rFonts w:ascii="楷体" w:hAnsi="楷体" w:eastAsia="楷体" w:cs="楷体"/>
        </w:rPr>
        <w:t>2023</w:t>
      </w:r>
      <w:r>
        <w:rPr>
          <w:rFonts w:hint="eastAsia" w:ascii="楷体" w:hAnsi="楷体" w:eastAsia="楷体" w:cs="楷体"/>
        </w:rPr>
        <w:t>年）。</w:t>
      </w:r>
      <w:r>
        <w:rPr>
          <w:rFonts w:hint="eastAsia" w:ascii="仿宋" w:hAnsi="仿宋"/>
          <w:spacing w:val="14"/>
        </w:rPr>
        <w:t>不断优化健康影响评价评估方法，推进将开展健康影响评估纳入规范性文件合法性审查</w:t>
      </w:r>
      <w:r>
        <w:rPr>
          <w:rFonts w:hint="eastAsia" w:ascii="仿宋" w:hAnsi="仿宋"/>
          <w:spacing w:val="14"/>
          <w:lang w:eastAsia="zh-CN"/>
        </w:rPr>
        <w:t>同步进行</w:t>
      </w:r>
      <w:r>
        <w:rPr>
          <w:rFonts w:hint="eastAsia" w:ascii="仿宋" w:hAnsi="仿宋"/>
          <w:spacing w:val="14"/>
        </w:rPr>
        <w:t>。健全健康影响评价的运行体系和工作机制，逐步实现市政府及其所属部门</w:t>
      </w:r>
      <w:r>
        <w:rPr>
          <w:rFonts w:hint="eastAsia" w:ascii="仿宋" w:hAnsi="仿宋"/>
          <w:spacing w:val="14"/>
          <w:lang w:eastAsia="zh-CN"/>
        </w:rPr>
        <w:t>对</w:t>
      </w:r>
      <w:r>
        <w:rPr>
          <w:rFonts w:hint="eastAsia" w:ascii="仿宋" w:hAnsi="仿宋"/>
          <w:spacing w:val="14"/>
        </w:rPr>
        <w:t>拟定的所有行政规范性文件和重大工程项目开展健康影响评估工作。</w:t>
      </w:r>
    </w:p>
    <w:p>
      <w:pPr>
        <w:spacing w:line="600" w:lineRule="exact"/>
        <w:ind w:firstLine="632" w:firstLineChars="200"/>
        <w:rPr>
          <w:rFonts w:ascii="黑体" w:hAnsi="黑体" w:eastAsia="黑体"/>
        </w:rPr>
      </w:pPr>
      <w:r>
        <w:rPr>
          <w:rFonts w:hint="eastAsia" w:ascii="黑体" w:hAnsi="黑体" w:eastAsia="黑体"/>
          <w:lang w:eastAsia="zh-CN"/>
        </w:rPr>
        <w:t>九</w:t>
      </w:r>
      <w:r>
        <w:rPr>
          <w:rFonts w:hint="eastAsia" w:ascii="黑体" w:hAnsi="黑体" w:eastAsia="黑体"/>
        </w:rPr>
        <w:t>、工作保障</w:t>
      </w:r>
    </w:p>
    <w:p>
      <w:pPr>
        <w:spacing w:line="600" w:lineRule="exact"/>
        <w:ind w:firstLine="632" w:firstLineChars="200"/>
        <w:rPr>
          <w:rFonts w:ascii="仿宋"/>
          <w:spacing w:val="14"/>
        </w:rPr>
      </w:pPr>
      <w:r>
        <w:rPr>
          <w:rFonts w:hint="eastAsia" w:ascii="楷体" w:hAnsi="楷体" w:eastAsia="楷体" w:cs="楷体"/>
        </w:rPr>
        <w:t>（一）加强组织领导。</w:t>
      </w:r>
      <w:r>
        <w:rPr>
          <w:rFonts w:hint="eastAsia" w:ascii="仿宋" w:hAnsi="仿宋"/>
          <w:spacing w:val="14"/>
        </w:rPr>
        <w:t>高度重视健康影响评估制度对经济社会发展和提高全民健康水平的重要意义，市政府将其纳入健康城市建设总体规划，建立完善党委领导、政府主导、部门合力、专技结合的工作机制，推动健康影响评估制度建设和工作顺利开展。</w:t>
      </w:r>
    </w:p>
    <w:p>
      <w:pPr>
        <w:spacing w:line="600" w:lineRule="exact"/>
        <w:ind w:firstLine="688" w:firstLineChars="200"/>
        <w:jc w:val="left"/>
        <w:rPr>
          <w:rFonts w:ascii="仿宋"/>
          <w:spacing w:val="14"/>
        </w:rPr>
      </w:pPr>
      <w:r>
        <w:rPr>
          <w:rFonts w:hint="eastAsia" w:ascii="仿宋" w:hAnsi="仿宋"/>
          <w:spacing w:val="14"/>
        </w:rPr>
        <w:t>以市人民政府名义发布的行政规范性文件，由市</w:t>
      </w:r>
      <w:r>
        <w:rPr>
          <w:rFonts w:hint="eastAsia" w:ascii="仿宋" w:hAnsi="仿宋"/>
          <w:spacing w:val="14"/>
          <w:lang w:eastAsia="zh-CN"/>
        </w:rPr>
        <w:t>爱卫办</w:t>
      </w:r>
      <w:r>
        <w:rPr>
          <w:rFonts w:hint="eastAsia" w:ascii="仿宋" w:hAnsi="仿宋"/>
          <w:spacing w:val="14"/>
        </w:rPr>
        <w:t>组织实施健康影响评价；以市政府所属部门名义发布的行政规范性文件，由政策制订部门组织实施健康影响评价，并将评价结果报市</w:t>
      </w:r>
      <w:r>
        <w:rPr>
          <w:rFonts w:hint="eastAsia" w:ascii="仿宋" w:hAnsi="仿宋"/>
          <w:spacing w:val="14"/>
          <w:lang w:eastAsia="zh-CN"/>
        </w:rPr>
        <w:t>爱卫办</w:t>
      </w:r>
      <w:r>
        <w:rPr>
          <w:rFonts w:hint="eastAsia" w:ascii="仿宋" w:hAnsi="仿宋"/>
          <w:spacing w:val="14"/>
        </w:rPr>
        <w:t>备案，政府所属部门应明确专人负责本部门健康影响评估工作。由市政府投资的重大工程项目应在环境影响评价工作中纳入健康影响评价评估内容，按现有流程开展相关工作，结果报市</w:t>
      </w:r>
      <w:r>
        <w:rPr>
          <w:rFonts w:hint="eastAsia" w:ascii="仿宋" w:hAnsi="仿宋"/>
          <w:spacing w:val="14"/>
          <w:lang w:eastAsia="zh-CN"/>
        </w:rPr>
        <w:t>爱卫办</w:t>
      </w:r>
      <w:r>
        <w:rPr>
          <w:rFonts w:hint="eastAsia" w:ascii="仿宋" w:hAnsi="仿宋"/>
          <w:spacing w:val="14"/>
        </w:rPr>
        <w:t>。</w:t>
      </w:r>
    </w:p>
    <w:p>
      <w:pPr>
        <w:spacing w:line="600" w:lineRule="exact"/>
        <w:ind w:firstLine="632" w:firstLineChars="200"/>
        <w:rPr>
          <w:rFonts w:ascii="仿宋"/>
          <w:spacing w:val="14"/>
        </w:rPr>
      </w:pPr>
      <w:r>
        <w:rPr>
          <w:rFonts w:hint="eastAsia" w:ascii="楷体" w:hAnsi="楷体" w:eastAsia="楷体" w:cs="楷体"/>
        </w:rPr>
        <w:t>（二）加强经费保障。</w:t>
      </w:r>
      <w:r>
        <w:rPr>
          <w:rFonts w:hint="eastAsia" w:ascii="仿宋" w:hAnsi="仿宋"/>
          <w:spacing w:val="14"/>
        </w:rPr>
        <w:t>市级财政部门要将健康影响评价工作经费纳入本级财政预算，专款专用，足额拨付，保障健康影响评估工作正常开展。</w:t>
      </w:r>
    </w:p>
    <w:p>
      <w:pPr>
        <w:spacing w:line="600" w:lineRule="exact"/>
        <w:ind w:firstLine="632" w:firstLineChars="200"/>
        <w:rPr>
          <w:rFonts w:ascii="仿宋_GB2312" w:eastAsia="仿宋_GB2312"/>
        </w:rPr>
      </w:pPr>
      <w:r>
        <w:rPr>
          <w:rFonts w:hint="eastAsia" w:ascii="楷体" w:hAnsi="楷体" w:eastAsia="楷体" w:cs="楷体"/>
        </w:rPr>
        <w:t>（三）强化能力建设。</w:t>
      </w:r>
      <w:r>
        <w:rPr>
          <w:rFonts w:hint="eastAsia" w:ascii="仿宋" w:hAnsi="仿宋"/>
          <w:spacing w:val="14"/>
        </w:rPr>
        <w:t>积极探索健康影响评估专业体系建设和发展的工作模式，包括学科建设、人员培养、机构建设、岗位设置、运行机制、业务培训等。充分发挥专业机构、科研院所和相关社会力量的作用，有效提升工作能力。</w:t>
      </w:r>
    </w:p>
    <w:p>
      <w:pPr>
        <w:autoSpaceDE w:val="0"/>
        <w:spacing w:line="500" w:lineRule="exact"/>
        <w:rPr>
          <w:rFonts w:ascii="仿宋"/>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531"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小标宋">
    <w:altName w:val="方正小标宋_GBK"/>
    <w:panose1 w:val="00000000000000000000"/>
    <w:charset w:val="86"/>
    <w:family w:val="script"/>
    <w:pitch w:val="default"/>
    <w:sig w:usb0="00000000" w:usb1="00000000" w:usb2="00000010" w:usb3="00000000" w:csb0="00040000" w:csb1="00000000"/>
  </w:font>
  <w:font w:name="方正仿宋简体">
    <w:altName w:val="方正仿宋_GBK"/>
    <w:panose1 w:val="00000000000000000000"/>
    <w:charset w:val="86"/>
    <w:family w:val="auto"/>
    <w:pitch w:val="default"/>
    <w:sig w:usb0="00000000" w:usb1="00000000" w:usb2="00000010" w:usb3="00000000" w:csb0="00040000" w:csb1="00000000"/>
  </w:font>
  <w:font w:name="华文中宋ì.葀.">
    <w:altName w:val="方正书宋_GBK"/>
    <w:panose1 w:val="00000000000000000000"/>
    <w:charset w:val="86"/>
    <w:family w:val="roman"/>
    <w:pitch w:val="default"/>
    <w:sig w:usb0="00000000" w:usb1="00000000" w:usb2="00000010" w:usb3="00000000" w:csb0="00040000" w:csb1="00000000"/>
  </w:font>
  <w:font w:name="Tahoma">
    <w:altName w:val="Ubuntu"/>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0000000000000000000"/>
    <w:charset w:val="86"/>
    <w:family w:val="auto"/>
    <w:pitch w:val="default"/>
    <w:sig w:usb0="00000000" w:usb1="00000000" w:usb2="00000010" w:usb3="00000000" w:csb0="00040000" w:csb1="00000000"/>
  </w:font>
  <w:font w:name="Helvetica 45 Light">
    <w:altName w:val="仿宋"/>
    <w:panose1 w:val="00000000000000000000"/>
    <w:charset w:val="86"/>
    <w:family w:val="auto"/>
    <w:pitch w:val="default"/>
    <w:sig w:usb0="00000000" w:usb1="00000000" w:usb2="00000010" w:usb3="00000000" w:csb0="00040000" w:csb1="00000000"/>
  </w:font>
  <w:font w:name="方正书宋简体">
    <w:altName w:val="方正书宋_GBK"/>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973" w:wrap="around" w:vAnchor="text" w:hAnchor="page" w:x="9408" w:y="1"/>
      <w:rPr>
        <w:rStyle w:val="28"/>
        <w:sz w:val="28"/>
        <w:szCs w:val="28"/>
      </w:rPr>
    </w:pPr>
    <w:r>
      <w:rPr>
        <w:rStyle w:val="28"/>
        <w:rFonts w:cs="宋体"/>
        <w:sz w:val="28"/>
        <w:szCs w:val="28"/>
      </w:rPr>
      <w:fldChar w:fldCharType="begin"/>
    </w:r>
    <w:r>
      <w:rPr>
        <w:rStyle w:val="28"/>
        <w:rFonts w:cs="宋体"/>
        <w:sz w:val="28"/>
        <w:szCs w:val="28"/>
      </w:rPr>
      <w:instrText xml:space="preserve">PAGE  </w:instrText>
    </w:r>
    <w:r>
      <w:rPr>
        <w:rStyle w:val="28"/>
        <w:rFonts w:cs="宋体"/>
        <w:sz w:val="28"/>
        <w:szCs w:val="28"/>
      </w:rPr>
      <w:fldChar w:fldCharType="separate"/>
    </w:r>
    <w:r>
      <w:rPr>
        <w:rStyle w:val="28"/>
        <w:rFonts w:cs="宋体"/>
        <w:sz w:val="28"/>
        <w:szCs w:val="28"/>
      </w:rPr>
      <w:t>- 7 -</w:t>
    </w:r>
    <w:r>
      <w:rPr>
        <w:rStyle w:val="28"/>
        <w:rFonts w:cs="宋体"/>
        <w:sz w:val="28"/>
        <w:szCs w:val="28"/>
      </w:rPr>
      <w:fldChar w:fldCharType="end"/>
    </w:r>
  </w:p>
  <w:p>
    <w:pPr>
      <w:pStyle w:val="15"/>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280" w:firstLineChars="100"/>
      <w:rPr>
        <w:rStyle w:val="28"/>
        <w:sz w:val="28"/>
        <w:szCs w:val="28"/>
      </w:rPr>
    </w:pPr>
    <w:r>
      <w:rPr>
        <w:rStyle w:val="28"/>
        <w:rFonts w:cs="宋体"/>
        <w:sz w:val="28"/>
        <w:szCs w:val="28"/>
      </w:rPr>
      <w:fldChar w:fldCharType="begin"/>
    </w:r>
    <w:r>
      <w:rPr>
        <w:rStyle w:val="28"/>
        <w:rFonts w:cs="宋体"/>
        <w:sz w:val="28"/>
        <w:szCs w:val="28"/>
      </w:rPr>
      <w:instrText xml:space="preserve">PAGE  </w:instrText>
    </w:r>
    <w:r>
      <w:rPr>
        <w:rStyle w:val="28"/>
        <w:rFonts w:cs="宋体"/>
        <w:sz w:val="28"/>
        <w:szCs w:val="28"/>
      </w:rPr>
      <w:fldChar w:fldCharType="separate"/>
    </w:r>
    <w:r>
      <w:rPr>
        <w:rStyle w:val="28"/>
        <w:rFonts w:cs="宋体"/>
        <w:sz w:val="28"/>
        <w:szCs w:val="28"/>
      </w:rPr>
      <w:t>- 6 -</w:t>
    </w:r>
    <w:r>
      <w:rPr>
        <w:rStyle w:val="28"/>
        <w:rFonts w:cs="宋体"/>
        <w:sz w:val="28"/>
        <w:szCs w:val="28"/>
      </w:rPr>
      <w:fldChar w:fldCharType="end"/>
    </w:r>
  </w:p>
  <w:p>
    <w:pPr>
      <w:pStyle w:val="15"/>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FDA4E"/>
    <w:multiLevelType w:val="singleLevel"/>
    <w:tmpl w:val="C32FDA4E"/>
    <w:lvl w:ilvl="0" w:tentative="0">
      <w:start w:val="2"/>
      <w:numFmt w:val="chineseCounting"/>
      <w:suff w:val="nothing"/>
      <w:lvlText w:val="（%1）"/>
      <w:lvlJc w:val="left"/>
      <w:rPr>
        <w:rFonts w:hint="eastAsia" w:cs="Times New Roman"/>
      </w:rPr>
    </w:lvl>
  </w:abstractNum>
  <w:abstractNum w:abstractNumId="1">
    <w:nsid w:val="324EDED7"/>
    <w:multiLevelType w:val="singleLevel"/>
    <w:tmpl w:val="324EDED7"/>
    <w:lvl w:ilvl="0" w:tentative="0">
      <w:start w:val="5"/>
      <w:numFmt w:val="chineseCounting"/>
      <w:suff w:val="nothing"/>
      <w:lvlText w:val="%1、"/>
      <w:lvlJc w:val="left"/>
      <w:pPr>
        <w:ind w:left="743"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oNotHyphenateCaps/>
  <w:evenAndOddHeaders w:val="1"/>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M2FjM2JkYmZkYmE0MzE5MzdkNzNjNGVmNTlkYmIifQ=="/>
  </w:docVars>
  <w:rsids>
    <w:rsidRoot w:val="00A8440D"/>
    <w:rsid w:val="00007FCD"/>
    <w:rsid w:val="00011061"/>
    <w:rsid w:val="000169A0"/>
    <w:rsid w:val="00024431"/>
    <w:rsid w:val="00037D5A"/>
    <w:rsid w:val="00044FBD"/>
    <w:rsid w:val="00047678"/>
    <w:rsid w:val="00057B07"/>
    <w:rsid w:val="00061048"/>
    <w:rsid w:val="0006489A"/>
    <w:rsid w:val="00066D0A"/>
    <w:rsid w:val="000700F7"/>
    <w:rsid w:val="0007012F"/>
    <w:rsid w:val="00077749"/>
    <w:rsid w:val="000811F5"/>
    <w:rsid w:val="000850AD"/>
    <w:rsid w:val="00085E24"/>
    <w:rsid w:val="00090248"/>
    <w:rsid w:val="00091AF8"/>
    <w:rsid w:val="00095A31"/>
    <w:rsid w:val="000B4430"/>
    <w:rsid w:val="000B718F"/>
    <w:rsid w:val="000C2BC1"/>
    <w:rsid w:val="000C2EB3"/>
    <w:rsid w:val="000C4D3D"/>
    <w:rsid w:val="000E5B6E"/>
    <w:rsid w:val="000F3F2F"/>
    <w:rsid w:val="000F5376"/>
    <w:rsid w:val="000F7A88"/>
    <w:rsid w:val="00101168"/>
    <w:rsid w:val="00103867"/>
    <w:rsid w:val="00106E10"/>
    <w:rsid w:val="00106FB6"/>
    <w:rsid w:val="00110787"/>
    <w:rsid w:val="00114A7F"/>
    <w:rsid w:val="001211F2"/>
    <w:rsid w:val="001252FE"/>
    <w:rsid w:val="00132AF0"/>
    <w:rsid w:val="001379FE"/>
    <w:rsid w:val="001421E7"/>
    <w:rsid w:val="00142BA2"/>
    <w:rsid w:val="00153D1A"/>
    <w:rsid w:val="00165A78"/>
    <w:rsid w:val="00170C37"/>
    <w:rsid w:val="00172BCB"/>
    <w:rsid w:val="00172E51"/>
    <w:rsid w:val="001772F3"/>
    <w:rsid w:val="001850EC"/>
    <w:rsid w:val="001919C7"/>
    <w:rsid w:val="0019493D"/>
    <w:rsid w:val="00197B62"/>
    <w:rsid w:val="001A5696"/>
    <w:rsid w:val="001C08C6"/>
    <w:rsid w:val="001C0AF5"/>
    <w:rsid w:val="001C4D53"/>
    <w:rsid w:val="001E08C4"/>
    <w:rsid w:val="001E0A88"/>
    <w:rsid w:val="001E289F"/>
    <w:rsid w:val="001E313A"/>
    <w:rsid w:val="001F0262"/>
    <w:rsid w:val="001F1CBF"/>
    <w:rsid w:val="001F5802"/>
    <w:rsid w:val="00203111"/>
    <w:rsid w:val="0020568D"/>
    <w:rsid w:val="00213774"/>
    <w:rsid w:val="00214215"/>
    <w:rsid w:val="002207BC"/>
    <w:rsid w:val="0022257C"/>
    <w:rsid w:val="002532EB"/>
    <w:rsid w:val="00264864"/>
    <w:rsid w:val="00270FA0"/>
    <w:rsid w:val="002739F3"/>
    <w:rsid w:val="0028035A"/>
    <w:rsid w:val="00283178"/>
    <w:rsid w:val="00291721"/>
    <w:rsid w:val="002A37A5"/>
    <w:rsid w:val="002C4A49"/>
    <w:rsid w:val="002C52D4"/>
    <w:rsid w:val="002E0C61"/>
    <w:rsid w:val="002E1B5C"/>
    <w:rsid w:val="002E5BA6"/>
    <w:rsid w:val="002F7168"/>
    <w:rsid w:val="00307089"/>
    <w:rsid w:val="003147C0"/>
    <w:rsid w:val="00332144"/>
    <w:rsid w:val="00337F84"/>
    <w:rsid w:val="00344BD9"/>
    <w:rsid w:val="00345B67"/>
    <w:rsid w:val="00354AA8"/>
    <w:rsid w:val="0035628A"/>
    <w:rsid w:val="00357A44"/>
    <w:rsid w:val="0036046B"/>
    <w:rsid w:val="003637D9"/>
    <w:rsid w:val="00364176"/>
    <w:rsid w:val="0036691F"/>
    <w:rsid w:val="00372730"/>
    <w:rsid w:val="00392FB0"/>
    <w:rsid w:val="0039663F"/>
    <w:rsid w:val="003A2189"/>
    <w:rsid w:val="003A28B2"/>
    <w:rsid w:val="003B1662"/>
    <w:rsid w:val="003C08E9"/>
    <w:rsid w:val="003C1AA1"/>
    <w:rsid w:val="003C39E2"/>
    <w:rsid w:val="003C485B"/>
    <w:rsid w:val="003D6247"/>
    <w:rsid w:val="003D6445"/>
    <w:rsid w:val="003E5E3B"/>
    <w:rsid w:val="003F2016"/>
    <w:rsid w:val="003F2096"/>
    <w:rsid w:val="003F76C4"/>
    <w:rsid w:val="00403BC0"/>
    <w:rsid w:val="00405269"/>
    <w:rsid w:val="0040796B"/>
    <w:rsid w:val="00411B8B"/>
    <w:rsid w:val="00411E12"/>
    <w:rsid w:val="00413902"/>
    <w:rsid w:val="004301FD"/>
    <w:rsid w:val="00432DAC"/>
    <w:rsid w:val="004350A0"/>
    <w:rsid w:val="00442C0F"/>
    <w:rsid w:val="004551A2"/>
    <w:rsid w:val="00476A55"/>
    <w:rsid w:val="004772EC"/>
    <w:rsid w:val="00477B88"/>
    <w:rsid w:val="00481B9B"/>
    <w:rsid w:val="004A0018"/>
    <w:rsid w:val="004B662E"/>
    <w:rsid w:val="004B7B88"/>
    <w:rsid w:val="004C16E6"/>
    <w:rsid w:val="004C2140"/>
    <w:rsid w:val="004C2436"/>
    <w:rsid w:val="004C2680"/>
    <w:rsid w:val="004D0BAD"/>
    <w:rsid w:val="004D3A98"/>
    <w:rsid w:val="004D5443"/>
    <w:rsid w:val="004F5424"/>
    <w:rsid w:val="005050E5"/>
    <w:rsid w:val="005051DF"/>
    <w:rsid w:val="00505612"/>
    <w:rsid w:val="00506E2D"/>
    <w:rsid w:val="005127C9"/>
    <w:rsid w:val="005251CD"/>
    <w:rsid w:val="0052575C"/>
    <w:rsid w:val="005308B4"/>
    <w:rsid w:val="00533874"/>
    <w:rsid w:val="0054409C"/>
    <w:rsid w:val="00551A54"/>
    <w:rsid w:val="005574AE"/>
    <w:rsid w:val="0056499C"/>
    <w:rsid w:val="00574EB7"/>
    <w:rsid w:val="00576C53"/>
    <w:rsid w:val="00577672"/>
    <w:rsid w:val="00585741"/>
    <w:rsid w:val="005A66A3"/>
    <w:rsid w:val="005A6CCB"/>
    <w:rsid w:val="005B0EF3"/>
    <w:rsid w:val="005D55D0"/>
    <w:rsid w:val="005E273F"/>
    <w:rsid w:val="005E2ADC"/>
    <w:rsid w:val="005E381C"/>
    <w:rsid w:val="005E6DF8"/>
    <w:rsid w:val="005F53B2"/>
    <w:rsid w:val="005F7731"/>
    <w:rsid w:val="00604C2C"/>
    <w:rsid w:val="00614AE7"/>
    <w:rsid w:val="0061601C"/>
    <w:rsid w:val="00630E37"/>
    <w:rsid w:val="006320E1"/>
    <w:rsid w:val="00633217"/>
    <w:rsid w:val="00641B43"/>
    <w:rsid w:val="00642354"/>
    <w:rsid w:val="0066560A"/>
    <w:rsid w:val="00665997"/>
    <w:rsid w:val="0067018E"/>
    <w:rsid w:val="00675170"/>
    <w:rsid w:val="00677CC6"/>
    <w:rsid w:val="00683B7D"/>
    <w:rsid w:val="0068670A"/>
    <w:rsid w:val="006938DB"/>
    <w:rsid w:val="006956FD"/>
    <w:rsid w:val="006A1FE8"/>
    <w:rsid w:val="006A4C89"/>
    <w:rsid w:val="006A770C"/>
    <w:rsid w:val="006B121A"/>
    <w:rsid w:val="006B51AB"/>
    <w:rsid w:val="006B5535"/>
    <w:rsid w:val="006C054C"/>
    <w:rsid w:val="006E325F"/>
    <w:rsid w:val="006E5E61"/>
    <w:rsid w:val="006F3421"/>
    <w:rsid w:val="00701BEE"/>
    <w:rsid w:val="0070456C"/>
    <w:rsid w:val="00705CCD"/>
    <w:rsid w:val="007143B1"/>
    <w:rsid w:val="00720828"/>
    <w:rsid w:val="00731A87"/>
    <w:rsid w:val="00731F8A"/>
    <w:rsid w:val="00732DD8"/>
    <w:rsid w:val="00741254"/>
    <w:rsid w:val="00744864"/>
    <w:rsid w:val="00746606"/>
    <w:rsid w:val="007562BB"/>
    <w:rsid w:val="007635BF"/>
    <w:rsid w:val="00767AE4"/>
    <w:rsid w:val="00770750"/>
    <w:rsid w:val="007852F3"/>
    <w:rsid w:val="00793C2C"/>
    <w:rsid w:val="00796F6A"/>
    <w:rsid w:val="007970A2"/>
    <w:rsid w:val="007A0FEC"/>
    <w:rsid w:val="007A437A"/>
    <w:rsid w:val="007C0FFE"/>
    <w:rsid w:val="007C259E"/>
    <w:rsid w:val="007E1492"/>
    <w:rsid w:val="007F781D"/>
    <w:rsid w:val="00804026"/>
    <w:rsid w:val="00804A04"/>
    <w:rsid w:val="00806D94"/>
    <w:rsid w:val="00814DC5"/>
    <w:rsid w:val="00823C5C"/>
    <w:rsid w:val="0083286B"/>
    <w:rsid w:val="00840501"/>
    <w:rsid w:val="00845F5A"/>
    <w:rsid w:val="00861A9A"/>
    <w:rsid w:val="00865168"/>
    <w:rsid w:val="008676E9"/>
    <w:rsid w:val="00870C9B"/>
    <w:rsid w:val="00884E21"/>
    <w:rsid w:val="008A56E7"/>
    <w:rsid w:val="008B1F5E"/>
    <w:rsid w:val="008B5592"/>
    <w:rsid w:val="008B59F7"/>
    <w:rsid w:val="008B73B5"/>
    <w:rsid w:val="008C0477"/>
    <w:rsid w:val="008C45AD"/>
    <w:rsid w:val="008D17CA"/>
    <w:rsid w:val="008D4258"/>
    <w:rsid w:val="008D7056"/>
    <w:rsid w:val="008E30CA"/>
    <w:rsid w:val="008E4772"/>
    <w:rsid w:val="008E5A99"/>
    <w:rsid w:val="008F0552"/>
    <w:rsid w:val="008F0D49"/>
    <w:rsid w:val="008F5124"/>
    <w:rsid w:val="008F64A4"/>
    <w:rsid w:val="008F7788"/>
    <w:rsid w:val="00905102"/>
    <w:rsid w:val="00905CA9"/>
    <w:rsid w:val="009137FC"/>
    <w:rsid w:val="00915542"/>
    <w:rsid w:val="00915626"/>
    <w:rsid w:val="00917FB8"/>
    <w:rsid w:val="00930CDF"/>
    <w:rsid w:val="00936BAB"/>
    <w:rsid w:val="0094088E"/>
    <w:rsid w:val="009432D4"/>
    <w:rsid w:val="009452DE"/>
    <w:rsid w:val="00946383"/>
    <w:rsid w:val="0094676B"/>
    <w:rsid w:val="0094760B"/>
    <w:rsid w:val="009477FC"/>
    <w:rsid w:val="0094799A"/>
    <w:rsid w:val="00947CA6"/>
    <w:rsid w:val="00950CE4"/>
    <w:rsid w:val="0095438F"/>
    <w:rsid w:val="00965B19"/>
    <w:rsid w:val="00966E83"/>
    <w:rsid w:val="00967619"/>
    <w:rsid w:val="00980120"/>
    <w:rsid w:val="00981C9A"/>
    <w:rsid w:val="00982ECC"/>
    <w:rsid w:val="00984CEB"/>
    <w:rsid w:val="00987384"/>
    <w:rsid w:val="009A77E3"/>
    <w:rsid w:val="009B59C6"/>
    <w:rsid w:val="009B618C"/>
    <w:rsid w:val="009C1DF2"/>
    <w:rsid w:val="009C7E3A"/>
    <w:rsid w:val="009D12B7"/>
    <w:rsid w:val="009E07ED"/>
    <w:rsid w:val="009E1CA3"/>
    <w:rsid w:val="009E52B4"/>
    <w:rsid w:val="00A0325B"/>
    <w:rsid w:val="00A32E46"/>
    <w:rsid w:val="00A3442C"/>
    <w:rsid w:val="00A3468F"/>
    <w:rsid w:val="00A43DB6"/>
    <w:rsid w:val="00A51890"/>
    <w:rsid w:val="00A53183"/>
    <w:rsid w:val="00A55D19"/>
    <w:rsid w:val="00A644EA"/>
    <w:rsid w:val="00A70D9C"/>
    <w:rsid w:val="00A842BD"/>
    <w:rsid w:val="00A8440D"/>
    <w:rsid w:val="00A85DC3"/>
    <w:rsid w:val="00A90335"/>
    <w:rsid w:val="00A95C64"/>
    <w:rsid w:val="00AA1AEE"/>
    <w:rsid w:val="00AA3962"/>
    <w:rsid w:val="00AA7D0D"/>
    <w:rsid w:val="00AB011D"/>
    <w:rsid w:val="00AB3D14"/>
    <w:rsid w:val="00AB3EEF"/>
    <w:rsid w:val="00AB421C"/>
    <w:rsid w:val="00AB7A8B"/>
    <w:rsid w:val="00AE0478"/>
    <w:rsid w:val="00AE33DF"/>
    <w:rsid w:val="00AF4FF6"/>
    <w:rsid w:val="00AF7F3C"/>
    <w:rsid w:val="00B00255"/>
    <w:rsid w:val="00B1349D"/>
    <w:rsid w:val="00B1640E"/>
    <w:rsid w:val="00B24F19"/>
    <w:rsid w:val="00B30D79"/>
    <w:rsid w:val="00B32032"/>
    <w:rsid w:val="00B46A92"/>
    <w:rsid w:val="00B557E2"/>
    <w:rsid w:val="00B5613A"/>
    <w:rsid w:val="00B71A11"/>
    <w:rsid w:val="00B81943"/>
    <w:rsid w:val="00B861FD"/>
    <w:rsid w:val="00B91207"/>
    <w:rsid w:val="00BA0173"/>
    <w:rsid w:val="00BB2ABC"/>
    <w:rsid w:val="00BB5B0B"/>
    <w:rsid w:val="00BB72E7"/>
    <w:rsid w:val="00BC1CBD"/>
    <w:rsid w:val="00BC5441"/>
    <w:rsid w:val="00BD057D"/>
    <w:rsid w:val="00BE67D7"/>
    <w:rsid w:val="00BF2438"/>
    <w:rsid w:val="00C0109E"/>
    <w:rsid w:val="00C12F1A"/>
    <w:rsid w:val="00C132BC"/>
    <w:rsid w:val="00C15BD8"/>
    <w:rsid w:val="00C16699"/>
    <w:rsid w:val="00C27442"/>
    <w:rsid w:val="00C368E0"/>
    <w:rsid w:val="00C4668E"/>
    <w:rsid w:val="00C519EB"/>
    <w:rsid w:val="00C7192A"/>
    <w:rsid w:val="00C8081E"/>
    <w:rsid w:val="00C80F0B"/>
    <w:rsid w:val="00C80F63"/>
    <w:rsid w:val="00C95934"/>
    <w:rsid w:val="00C973ED"/>
    <w:rsid w:val="00CA2227"/>
    <w:rsid w:val="00CB1144"/>
    <w:rsid w:val="00CB13E1"/>
    <w:rsid w:val="00CB5F3D"/>
    <w:rsid w:val="00CD1DEB"/>
    <w:rsid w:val="00CF5F64"/>
    <w:rsid w:val="00CF74ED"/>
    <w:rsid w:val="00D14EA7"/>
    <w:rsid w:val="00D16CB7"/>
    <w:rsid w:val="00D209E9"/>
    <w:rsid w:val="00D20D5F"/>
    <w:rsid w:val="00D24E37"/>
    <w:rsid w:val="00D33033"/>
    <w:rsid w:val="00D33985"/>
    <w:rsid w:val="00D3434A"/>
    <w:rsid w:val="00D55BDD"/>
    <w:rsid w:val="00D64F6B"/>
    <w:rsid w:val="00D720CB"/>
    <w:rsid w:val="00D72611"/>
    <w:rsid w:val="00D72AA0"/>
    <w:rsid w:val="00D73151"/>
    <w:rsid w:val="00D91FD2"/>
    <w:rsid w:val="00DA49D3"/>
    <w:rsid w:val="00DA5804"/>
    <w:rsid w:val="00DB2016"/>
    <w:rsid w:val="00DB26A4"/>
    <w:rsid w:val="00DB6BAF"/>
    <w:rsid w:val="00DB7528"/>
    <w:rsid w:val="00DC3D2B"/>
    <w:rsid w:val="00DC5E34"/>
    <w:rsid w:val="00DE3E36"/>
    <w:rsid w:val="00DE6DF0"/>
    <w:rsid w:val="00DF20B0"/>
    <w:rsid w:val="00DF4680"/>
    <w:rsid w:val="00E01350"/>
    <w:rsid w:val="00E12737"/>
    <w:rsid w:val="00E219FF"/>
    <w:rsid w:val="00E24B91"/>
    <w:rsid w:val="00E24FBE"/>
    <w:rsid w:val="00E41128"/>
    <w:rsid w:val="00E4313B"/>
    <w:rsid w:val="00E503CB"/>
    <w:rsid w:val="00E529DC"/>
    <w:rsid w:val="00E569A4"/>
    <w:rsid w:val="00E61B17"/>
    <w:rsid w:val="00E726EF"/>
    <w:rsid w:val="00E829C7"/>
    <w:rsid w:val="00E93FD6"/>
    <w:rsid w:val="00EA0079"/>
    <w:rsid w:val="00EA217E"/>
    <w:rsid w:val="00EA47D9"/>
    <w:rsid w:val="00EB0534"/>
    <w:rsid w:val="00EB20B2"/>
    <w:rsid w:val="00EB43B8"/>
    <w:rsid w:val="00EB7310"/>
    <w:rsid w:val="00EC4312"/>
    <w:rsid w:val="00ED60E3"/>
    <w:rsid w:val="00EE0A5D"/>
    <w:rsid w:val="00EE27EB"/>
    <w:rsid w:val="00EF1A37"/>
    <w:rsid w:val="00EF3EC0"/>
    <w:rsid w:val="00F0116A"/>
    <w:rsid w:val="00F0409E"/>
    <w:rsid w:val="00F16C31"/>
    <w:rsid w:val="00F21BDA"/>
    <w:rsid w:val="00F21CB0"/>
    <w:rsid w:val="00F25C2A"/>
    <w:rsid w:val="00F365D5"/>
    <w:rsid w:val="00F4151C"/>
    <w:rsid w:val="00F4346F"/>
    <w:rsid w:val="00F45222"/>
    <w:rsid w:val="00F453CC"/>
    <w:rsid w:val="00F50CD6"/>
    <w:rsid w:val="00F566B5"/>
    <w:rsid w:val="00F60732"/>
    <w:rsid w:val="00F66F37"/>
    <w:rsid w:val="00F80133"/>
    <w:rsid w:val="00F81B5D"/>
    <w:rsid w:val="00F87AC4"/>
    <w:rsid w:val="00F92A56"/>
    <w:rsid w:val="00F97568"/>
    <w:rsid w:val="00FA720E"/>
    <w:rsid w:val="00FB0B32"/>
    <w:rsid w:val="00FB375F"/>
    <w:rsid w:val="00FE31A4"/>
    <w:rsid w:val="00FE6B72"/>
    <w:rsid w:val="00FE6E22"/>
    <w:rsid w:val="00FF0236"/>
    <w:rsid w:val="00FF2607"/>
    <w:rsid w:val="00FF5089"/>
    <w:rsid w:val="054263E8"/>
    <w:rsid w:val="0956179A"/>
    <w:rsid w:val="0A5848EF"/>
    <w:rsid w:val="0AA136A3"/>
    <w:rsid w:val="0B5F6A57"/>
    <w:rsid w:val="0C292E7B"/>
    <w:rsid w:val="13802398"/>
    <w:rsid w:val="19C74DF2"/>
    <w:rsid w:val="1B8F3979"/>
    <w:rsid w:val="1FED500D"/>
    <w:rsid w:val="205729C5"/>
    <w:rsid w:val="20735A50"/>
    <w:rsid w:val="25AD6D70"/>
    <w:rsid w:val="280252BB"/>
    <w:rsid w:val="28992369"/>
    <w:rsid w:val="2A0068C8"/>
    <w:rsid w:val="2A6F54DA"/>
    <w:rsid w:val="312D6B4E"/>
    <w:rsid w:val="316D36C4"/>
    <w:rsid w:val="31C0408C"/>
    <w:rsid w:val="33CF52F0"/>
    <w:rsid w:val="3B9439BC"/>
    <w:rsid w:val="3D645FA6"/>
    <w:rsid w:val="427F311F"/>
    <w:rsid w:val="44AE2FD6"/>
    <w:rsid w:val="46624E4D"/>
    <w:rsid w:val="47357EA8"/>
    <w:rsid w:val="4A702524"/>
    <w:rsid w:val="4B3969B1"/>
    <w:rsid w:val="4DDD02A9"/>
    <w:rsid w:val="50785FF2"/>
    <w:rsid w:val="524D4F28"/>
    <w:rsid w:val="531B5CE5"/>
    <w:rsid w:val="584A5573"/>
    <w:rsid w:val="63C00979"/>
    <w:rsid w:val="63D713CC"/>
    <w:rsid w:val="69954488"/>
    <w:rsid w:val="6E862AB9"/>
    <w:rsid w:val="73CD1D71"/>
    <w:rsid w:val="749E316D"/>
    <w:rsid w:val="75904917"/>
    <w:rsid w:val="771B3FD5"/>
    <w:rsid w:val="78C87A6A"/>
    <w:rsid w:val="796B643A"/>
    <w:rsid w:val="FEF832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ocked="1"/>
    <w:lsdException w:qFormat="1" w:unhideWhenUsed="0" w:uiPriority="99" w:semiHidden="0" w:name="Body Text Indent 3" w:locked="1"/>
    <w:lsdException w:uiPriority="99" w:name="Block Text" w:locked="1"/>
    <w:lsdException w:qFormat="1" w:unhideWhenUsed="0" w:uiPriority="99" w:name="Hyperlink"/>
    <w:lsdException w:qFormat="1" w:unhideWhenUsed="0" w:uiPriority="99" w:semiHidden="0" w:name="FollowedHyperlink" w:locked="1"/>
    <w:lsdException w:qFormat="1" w:unhideWhenUsed="0" w:uiPriority="99" w:semiHidden="0" w:name="Strong"/>
    <w:lsdException w:qFormat="1" w:unhideWhenUsed="0" w:uiPriority="0" w:semiHidden="0" w:name="Emphasis"/>
    <w:lsdException w:qFormat="1" w:unhideWhenUsed="0" w:uiPriority="99" w:name="Document Map" w:locked="1"/>
    <w:lsdException w:qFormat="1" w:unhideWhenUsed="0" w:uiPriority="99"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宋体"/>
      <w:kern w:val="2"/>
      <w:sz w:val="32"/>
      <w:szCs w:val="32"/>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eastAsia="宋体" w:cs="Cambria"/>
      <w:b/>
      <w:bCs/>
    </w:rPr>
  </w:style>
  <w:style w:type="paragraph" w:styleId="4">
    <w:name w:val="heading 3"/>
    <w:basedOn w:val="1"/>
    <w:next w:val="1"/>
    <w:link w:val="48"/>
    <w:qFormat/>
    <w:uiPriority w:val="99"/>
    <w:pPr>
      <w:keepNext/>
      <w:keepLines/>
      <w:spacing w:line="360" w:lineRule="auto"/>
      <w:ind w:left="200" w:leftChars="200"/>
      <w:outlineLvl w:val="2"/>
    </w:pPr>
    <w:rPr>
      <w:rFonts w:ascii="Times New Roman" w:hAnsi="Times New Roman" w:eastAsia="宋体" w:cs="Times New Roman"/>
      <w:b/>
      <w:bCs/>
    </w:rPr>
  </w:style>
  <w:style w:type="character" w:default="1" w:styleId="26">
    <w:name w:val="Default Paragraph Font"/>
    <w:semiHidden/>
    <w:qFormat/>
    <w:uiPriority w:val="99"/>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99"/>
    <w:rPr>
      <w:rFonts w:ascii="Cambria" w:hAnsi="Cambria" w:eastAsia="黑体" w:cs="Cambria"/>
      <w:sz w:val="20"/>
      <w:szCs w:val="20"/>
    </w:rPr>
  </w:style>
  <w:style w:type="paragraph" w:styleId="6">
    <w:name w:val="Document Map"/>
    <w:basedOn w:val="1"/>
    <w:link w:val="35"/>
    <w:semiHidden/>
    <w:qFormat/>
    <w:locked/>
    <w:uiPriority w:val="99"/>
    <w:rPr>
      <w:rFonts w:hAnsi="Calibri" w:eastAsia="宋体"/>
      <w:sz w:val="18"/>
      <w:szCs w:val="18"/>
    </w:rPr>
  </w:style>
  <w:style w:type="paragraph" w:styleId="7">
    <w:name w:val="annotation text"/>
    <w:basedOn w:val="1"/>
    <w:link w:val="36"/>
    <w:semiHidden/>
    <w:qFormat/>
    <w:locked/>
    <w:uiPriority w:val="99"/>
    <w:pPr>
      <w:widowControl/>
      <w:jc w:val="left"/>
    </w:pPr>
    <w:rPr>
      <w:rFonts w:ascii="Calibri" w:hAnsi="Calibri" w:eastAsia="宋体" w:cs="Calibri"/>
      <w:kern w:val="0"/>
      <w:sz w:val="20"/>
      <w:szCs w:val="20"/>
    </w:rPr>
  </w:style>
  <w:style w:type="paragraph" w:styleId="8">
    <w:name w:val="Body Text"/>
    <w:basedOn w:val="1"/>
    <w:link w:val="37"/>
    <w:qFormat/>
    <w:uiPriority w:val="99"/>
    <w:pPr>
      <w:spacing w:line="240" w:lineRule="atLeast"/>
    </w:pPr>
    <w:rPr>
      <w:rFonts w:eastAsia="小标宋"/>
      <w:sz w:val="44"/>
      <w:szCs w:val="44"/>
    </w:rPr>
  </w:style>
  <w:style w:type="paragraph" w:styleId="9">
    <w:name w:val="Body Text Indent"/>
    <w:basedOn w:val="1"/>
    <w:link w:val="55"/>
    <w:qFormat/>
    <w:locked/>
    <w:uiPriority w:val="99"/>
    <w:pPr>
      <w:spacing w:after="120"/>
      <w:ind w:left="420" w:leftChars="200"/>
    </w:pPr>
  </w:style>
  <w:style w:type="paragraph" w:styleId="10">
    <w:name w:val="toc 3"/>
    <w:basedOn w:val="1"/>
    <w:next w:val="1"/>
    <w:semiHidden/>
    <w:qFormat/>
    <w:uiPriority w:val="99"/>
    <w:pPr>
      <w:widowControl/>
      <w:spacing w:after="100" w:line="276" w:lineRule="auto"/>
      <w:ind w:left="440"/>
      <w:jc w:val="left"/>
    </w:pPr>
    <w:rPr>
      <w:rFonts w:ascii="Calibri" w:hAnsi="Calibri" w:eastAsia="宋体" w:cs="Calibri"/>
      <w:kern w:val="0"/>
      <w:sz w:val="22"/>
      <w:szCs w:val="22"/>
    </w:rPr>
  </w:style>
  <w:style w:type="paragraph" w:styleId="11">
    <w:name w:val="Plain Text"/>
    <w:basedOn w:val="1"/>
    <w:link w:val="39"/>
    <w:qFormat/>
    <w:locked/>
    <w:uiPriority w:val="99"/>
    <w:rPr>
      <w:rFonts w:hAnsi="Courier New" w:eastAsia="宋体"/>
      <w:sz w:val="21"/>
      <w:szCs w:val="21"/>
    </w:rPr>
  </w:style>
  <w:style w:type="paragraph" w:styleId="12">
    <w:name w:val="Date"/>
    <w:basedOn w:val="1"/>
    <w:next w:val="1"/>
    <w:link w:val="40"/>
    <w:qFormat/>
    <w:uiPriority w:val="99"/>
    <w:pPr>
      <w:ind w:left="100" w:leftChars="2500"/>
    </w:pPr>
  </w:style>
  <w:style w:type="paragraph" w:styleId="13">
    <w:name w:val="Body Text Indent 2"/>
    <w:basedOn w:val="1"/>
    <w:link w:val="41"/>
    <w:qFormat/>
    <w:locked/>
    <w:uiPriority w:val="99"/>
    <w:pPr>
      <w:spacing w:line="480" w:lineRule="exact"/>
      <w:ind w:firstLine="540" w:firstLineChars="225"/>
    </w:pPr>
    <w:rPr>
      <w:rFonts w:hAnsi="Times New Roman" w:eastAsia="宋体"/>
      <w:sz w:val="24"/>
      <w:szCs w:val="24"/>
    </w:rPr>
  </w:style>
  <w:style w:type="paragraph" w:styleId="14">
    <w:name w:val="Balloon Text"/>
    <w:basedOn w:val="1"/>
    <w:link w:val="42"/>
    <w:semiHidden/>
    <w:qFormat/>
    <w:uiPriority w:val="99"/>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99"/>
    <w:pPr>
      <w:widowControl/>
      <w:spacing w:after="100" w:line="276" w:lineRule="auto"/>
      <w:jc w:val="left"/>
    </w:pPr>
    <w:rPr>
      <w:rFonts w:ascii="Calibri" w:hAnsi="Calibri" w:eastAsia="宋体" w:cs="Calibri"/>
      <w:kern w:val="0"/>
      <w:sz w:val="22"/>
      <w:szCs w:val="22"/>
    </w:rPr>
  </w:style>
  <w:style w:type="paragraph" w:styleId="18">
    <w:name w:val="Subtitle"/>
    <w:basedOn w:val="1"/>
    <w:next w:val="1"/>
    <w:link w:val="45"/>
    <w:qFormat/>
    <w:uiPriority w:val="99"/>
    <w:pPr>
      <w:spacing w:before="240" w:after="60" w:line="312" w:lineRule="auto"/>
      <w:jc w:val="center"/>
      <w:outlineLvl w:val="1"/>
    </w:pPr>
    <w:rPr>
      <w:rFonts w:ascii="Cambria" w:hAnsi="Cambria" w:eastAsia="宋体" w:cs="Cambria"/>
      <w:b/>
      <w:bCs/>
      <w:kern w:val="28"/>
    </w:rPr>
  </w:style>
  <w:style w:type="paragraph" w:styleId="19">
    <w:name w:val="Body Text Indent 3"/>
    <w:basedOn w:val="1"/>
    <w:link w:val="46"/>
    <w:qFormat/>
    <w:locked/>
    <w:uiPriority w:val="99"/>
    <w:pPr>
      <w:spacing w:line="360" w:lineRule="auto"/>
      <w:ind w:firstLine="420" w:firstLineChars="200"/>
    </w:pPr>
    <w:rPr>
      <w:rFonts w:ascii="Times New Roman" w:hAnsi="Times New Roman" w:eastAsia="宋体" w:cs="Times New Roman"/>
      <w:sz w:val="21"/>
      <w:szCs w:val="21"/>
    </w:rPr>
  </w:style>
  <w:style w:type="paragraph" w:styleId="20">
    <w:name w:val="table of figures"/>
    <w:basedOn w:val="1"/>
    <w:next w:val="1"/>
    <w:semiHidden/>
    <w:qFormat/>
    <w:locked/>
    <w:uiPriority w:val="99"/>
    <w:pPr>
      <w:ind w:left="420" w:hanging="420"/>
      <w:jc w:val="left"/>
    </w:pPr>
    <w:rPr>
      <w:rFonts w:ascii="Calibri" w:hAnsi="Calibri" w:eastAsia="宋体" w:cs="Calibri"/>
      <w:smallCaps/>
      <w:sz w:val="20"/>
      <w:szCs w:val="20"/>
    </w:rPr>
  </w:style>
  <w:style w:type="paragraph" w:styleId="21">
    <w:name w:val="toc 2"/>
    <w:basedOn w:val="1"/>
    <w:next w:val="1"/>
    <w:semiHidden/>
    <w:qFormat/>
    <w:uiPriority w:val="99"/>
    <w:pPr>
      <w:widowControl/>
      <w:spacing w:after="100" w:line="276" w:lineRule="auto"/>
      <w:ind w:left="220"/>
      <w:jc w:val="left"/>
    </w:pPr>
    <w:rPr>
      <w:rFonts w:ascii="Calibri" w:hAnsi="Calibri" w:eastAsia="宋体" w:cs="Calibri"/>
      <w:kern w:val="0"/>
      <w:sz w:val="22"/>
      <w:szCs w:val="22"/>
    </w:rPr>
  </w:style>
  <w:style w:type="paragraph" w:styleId="22">
    <w:name w:val="Normal (Web)"/>
    <w:basedOn w:val="1"/>
    <w:qFormat/>
    <w:uiPriority w:val="99"/>
    <w:pPr>
      <w:widowControl/>
      <w:spacing w:before="100" w:beforeAutospacing="1" w:after="100" w:afterAutospacing="1"/>
      <w:jc w:val="left"/>
    </w:pPr>
    <w:rPr>
      <w:rFonts w:eastAsia="宋体"/>
      <w:kern w:val="0"/>
      <w:sz w:val="24"/>
      <w:szCs w:val="24"/>
    </w:rPr>
  </w:style>
  <w:style w:type="paragraph" w:styleId="23">
    <w:name w:val="annotation subject"/>
    <w:basedOn w:val="7"/>
    <w:next w:val="7"/>
    <w:link w:val="47"/>
    <w:semiHidden/>
    <w:qFormat/>
    <w:locked/>
    <w:uiPriority w:val="99"/>
    <w:pPr>
      <w:widowControl w:val="0"/>
    </w:pPr>
    <w:rPr>
      <w:kern w:val="2"/>
      <w:sz w:val="21"/>
      <w:szCs w:val="21"/>
    </w:rPr>
  </w:style>
  <w:style w:type="table" w:styleId="25">
    <w:name w:val="Table Grid"/>
    <w:basedOn w:val="24"/>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bCs/>
    </w:rPr>
  </w:style>
  <w:style w:type="character" w:styleId="28">
    <w:name w:val="page number"/>
    <w:basedOn w:val="26"/>
    <w:qFormat/>
    <w:uiPriority w:val="99"/>
    <w:rPr>
      <w:rFonts w:cs="Times New Roman"/>
    </w:rPr>
  </w:style>
  <w:style w:type="character" w:styleId="29">
    <w:name w:val="FollowedHyperlink"/>
    <w:basedOn w:val="26"/>
    <w:qFormat/>
    <w:locked/>
    <w:uiPriority w:val="99"/>
    <w:rPr>
      <w:rFonts w:cs="Times New Roman"/>
      <w:color w:val="800080"/>
      <w:u w:val="single"/>
    </w:rPr>
  </w:style>
  <w:style w:type="character" w:styleId="30">
    <w:name w:val="Hyperlink"/>
    <w:basedOn w:val="26"/>
    <w:semiHidden/>
    <w:qFormat/>
    <w:uiPriority w:val="99"/>
    <w:rPr>
      <w:rFonts w:ascii="Times New Roman" w:hAnsi="Times New Roman" w:cs="Times New Roman"/>
      <w:color w:val="0000FF"/>
      <w:u w:val="single"/>
    </w:rPr>
  </w:style>
  <w:style w:type="character" w:styleId="31">
    <w:name w:val="annotation reference"/>
    <w:basedOn w:val="26"/>
    <w:semiHidden/>
    <w:qFormat/>
    <w:locked/>
    <w:uiPriority w:val="99"/>
    <w:rPr>
      <w:rFonts w:cs="Times New Roman"/>
      <w:sz w:val="21"/>
      <w:szCs w:val="21"/>
    </w:rPr>
  </w:style>
  <w:style w:type="character" w:customStyle="1" w:styleId="32">
    <w:name w:val="Heading 1 Char"/>
    <w:basedOn w:val="26"/>
    <w:link w:val="2"/>
    <w:qFormat/>
    <w:locked/>
    <w:uiPriority w:val="99"/>
    <w:rPr>
      <w:rFonts w:eastAsia="宋体" w:cs="Times New Roman"/>
      <w:b/>
      <w:bCs/>
      <w:kern w:val="44"/>
      <w:sz w:val="44"/>
      <w:szCs w:val="44"/>
      <w:lang w:val="en-US" w:eastAsia="zh-CN"/>
    </w:rPr>
  </w:style>
  <w:style w:type="character" w:customStyle="1" w:styleId="33">
    <w:name w:val="Heading 2 Char"/>
    <w:basedOn w:val="26"/>
    <w:link w:val="3"/>
    <w:qFormat/>
    <w:locked/>
    <w:uiPriority w:val="99"/>
    <w:rPr>
      <w:rFonts w:ascii="Cambria" w:hAnsi="Cambria" w:eastAsia="宋体" w:cs="Cambria"/>
      <w:b/>
      <w:bCs/>
      <w:kern w:val="2"/>
      <w:sz w:val="32"/>
      <w:szCs w:val="32"/>
      <w:lang w:val="en-US" w:eastAsia="zh-CN"/>
    </w:rPr>
  </w:style>
  <w:style w:type="character" w:customStyle="1" w:styleId="34">
    <w:name w:val="Heading 3 Char"/>
    <w:basedOn w:val="26"/>
    <w:link w:val="4"/>
    <w:semiHidden/>
    <w:qFormat/>
    <w:locked/>
    <w:uiPriority w:val="99"/>
    <w:rPr>
      <w:rFonts w:ascii="宋体" w:hAnsi="宋体" w:eastAsia="仿宋" w:cs="宋体"/>
      <w:b/>
      <w:bCs/>
      <w:sz w:val="32"/>
      <w:szCs w:val="32"/>
    </w:rPr>
  </w:style>
  <w:style w:type="character" w:customStyle="1" w:styleId="35">
    <w:name w:val="Document Map Char"/>
    <w:basedOn w:val="26"/>
    <w:link w:val="6"/>
    <w:qFormat/>
    <w:locked/>
    <w:uiPriority w:val="99"/>
    <w:rPr>
      <w:rFonts w:ascii="宋体" w:hAnsi="Calibri" w:eastAsia="宋体" w:cs="宋体"/>
      <w:kern w:val="2"/>
      <w:sz w:val="18"/>
      <w:szCs w:val="18"/>
      <w:lang w:val="en-US" w:eastAsia="zh-CN"/>
    </w:rPr>
  </w:style>
  <w:style w:type="character" w:customStyle="1" w:styleId="36">
    <w:name w:val="Comment Text Char"/>
    <w:basedOn w:val="26"/>
    <w:link w:val="7"/>
    <w:qFormat/>
    <w:locked/>
    <w:uiPriority w:val="99"/>
    <w:rPr>
      <w:rFonts w:ascii="Calibri" w:hAnsi="Calibri" w:eastAsia="宋体" w:cs="Calibri"/>
      <w:lang w:val="en-US" w:eastAsia="zh-CN"/>
    </w:rPr>
  </w:style>
  <w:style w:type="character" w:customStyle="1" w:styleId="37">
    <w:name w:val="Body Text Char"/>
    <w:basedOn w:val="26"/>
    <w:link w:val="8"/>
    <w:qFormat/>
    <w:locked/>
    <w:uiPriority w:val="99"/>
    <w:rPr>
      <w:rFonts w:ascii="宋体" w:hAnsi="宋体" w:eastAsia="小标宋" w:cs="宋体"/>
      <w:sz w:val="32"/>
      <w:szCs w:val="32"/>
    </w:rPr>
  </w:style>
  <w:style w:type="character" w:customStyle="1" w:styleId="38">
    <w:name w:val="Body Text Indent Char"/>
    <w:basedOn w:val="26"/>
    <w:link w:val="9"/>
    <w:semiHidden/>
    <w:qFormat/>
    <w:locked/>
    <w:uiPriority w:val="99"/>
    <w:rPr>
      <w:rFonts w:ascii="宋体" w:hAnsi="宋体" w:eastAsia="仿宋" w:cs="宋体"/>
      <w:sz w:val="32"/>
      <w:szCs w:val="32"/>
    </w:rPr>
  </w:style>
  <w:style w:type="character" w:customStyle="1" w:styleId="39">
    <w:name w:val="Plain Text Char"/>
    <w:basedOn w:val="26"/>
    <w:link w:val="11"/>
    <w:qFormat/>
    <w:locked/>
    <w:uiPriority w:val="99"/>
    <w:rPr>
      <w:rFonts w:ascii="宋体" w:hAnsi="Courier New" w:eastAsia="宋体" w:cs="宋体"/>
      <w:kern w:val="2"/>
      <w:sz w:val="21"/>
      <w:szCs w:val="21"/>
      <w:lang w:val="en-US" w:eastAsia="zh-CN"/>
    </w:rPr>
  </w:style>
  <w:style w:type="character" w:customStyle="1" w:styleId="40">
    <w:name w:val="Date Char"/>
    <w:basedOn w:val="26"/>
    <w:link w:val="12"/>
    <w:semiHidden/>
    <w:qFormat/>
    <w:locked/>
    <w:uiPriority w:val="99"/>
    <w:rPr>
      <w:rFonts w:ascii="宋体" w:hAnsi="宋体" w:eastAsia="仿宋" w:cs="宋体"/>
      <w:sz w:val="32"/>
      <w:szCs w:val="32"/>
    </w:rPr>
  </w:style>
  <w:style w:type="character" w:customStyle="1" w:styleId="41">
    <w:name w:val="Body Text Indent 2 Char"/>
    <w:basedOn w:val="26"/>
    <w:link w:val="13"/>
    <w:semiHidden/>
    <w:qFormat/>
    <w:locked/>
    <w:uiPriority w:val="99"/>
    <w:rPr>
      <w:rFonts w:ascii="宋体" w:eastAsia="宋体" w:cs="宋体"/>
      <w:kern w:val="2"/>
      <w:sz w:val="24"/>
      <w:szCs w:val="24"/>
      <w:lang w:val="en-US" w:eastAsia="zh-CN"/>
    </w:rPr>
  </w:style>
  <w:style w:type="character" w:customStyle="1" w:styleId="42">
    <w:name w:val="Balloon Text Char"/>
    <w:basedOn w:val="26"/>
    <w:link w:val="14"/>
    <w:semiHidden/>
    <w:qFormat/>
    <w:locked/>
    <w:uiPriority w:val="99"/>
    <w:rPr>
      <w:rFonts w:ascii="宋体" w:hAnsi="宋体" w:eastAsia="仿宋" w:cs="宋体"/>
      <w:kern w:val="2"/>
      <w:sz w:val="18"/>
      <w:szCs w:val="18"/>
    </w:rPr>
  </w:style>
  <w:style w:type="character" w:customStyle="1" w:styleId="43">
    <w:name w:val="Footer Char"/>
    <w:basedOn w:val="26"/>
    <w:link w:val="15"/>
    <w:qFormat/>
    <w:locked/>
    <w:uiPriority w:val="99"/>
    <w:rPr>
      <w:rFonts w:ascii="宋体" w:hAnsi="宋体" w:eastAsia="方正仿宋简体" w:cs="宋体"/>
      <w:sz w:val="18"/>
      <w:szCs w:val="18"/>
    </w:rPr>
  </w:style>
  <w:style w:type="character" w:customStyle="1" w:styleId="44">
    <w:name w:val="Header Char"/>
    <w:basedOn w:val="26"/>
    <w:link w:val="16"/>
    <w:semiHidden/>
    <w:qFormat/>
    <w:locked/>
    <w:uiPriority w:val="99"/>
    <w:rPr>
      <w:rFonts w:ascii="宋体" w:hAnsi="宋体" w:eastAsia="方正仿宋简体" w:cs="宋体"/>
      <w:sz w:val="18"/>
      <w:szCs w:val="18"/>
    </w:rPr>
  </w:style>
  <w:style w:type="character" w:customStyle="1" w:styleId="45">
    <w:name w:val="Subtitle Char"/>
    <w:basedOn w:val="26"/>
    <w:link w:val="18"/>
    <w:qFormat/>
    <w:locked/>
    <w:uiPriority w:val="99"/>
    <w:rPr>
      <w:rFonts w:ascii="Cambria" w:hAnsi="Cambria" w:eastAsia="宋体" w:cs="Cambria"/>
      <w:b/>
      <w:bCs/>
      <w:kern w:val="28"/>
      <w:sz w:val="32"/>
      <w:szCs w:val="32"/>
      <w:lang w:val="en-US" w:eastAsia="zh-CN"/>
    </w:rPr>
  </w:style>
  <w:style w:type="character" w:customStyle="1" w:styleId="46">
    <w:name w:val="Body Text Indent 3 Char"/>
    <w:basedOn w:val="26"/>
    <w:link w:val="19"/>
    <w:semiHidden/>
    <w:qFormat/>
    <w:locked/>
    <w:uiPriority w:val="99"/>
    <w:rPr>
      <w:rFonts w:eastAsia="宋体" w:cs="Times New Roman"/>
      <w:kern w:val="2"/>
      <w:sz w:val="21"/>
      <w:szCs w:val="21"/>
      <w:lang w:val="en-US" w:eastAsia="zh-CN"/>
    </w:rPr>
  </w:style>
  <w:style w:type="character" w:customStyle="1" w:styleId="47">
    <w:name w:val="Comment Subject Char"/>
    <w:basedOn w:val="36"/>
    <w:link w:val="23"/>
    <w:qFormat/>
    <w:locked/>
    <w:uiPriority w:val="99"/>
    <w:rPr>
      <w:kern w:val="2"/>
      <w:sz w:val="22"/>
      <w:szCs w:val="22"/>
    </w:rPr>
  </w:style>
  <w:style w:type="character" w:customStyle="1" w:styleId="48">
    <w:name w:val="Heading 3 Char1"/>
    <w:basedOn w:val="26"/>
    <w:link w:val="4"/>
    <w:qFormat/>
    <w:locked/>
    <w:uiPriority w:val="99"/>
    <w:rPr>
      <w:rFonts w:eastAsia="宋体" w:cs="Times New Roman"/>
      <w:b/>
      <w:bCs/>
      <w:kern w:val="2"/>
      <w:sz w:val="32"/>
      <w:szCs w:val="32"/>
      <w:lang w:val="en-US" w:eastAsia="zh-CN"/>
    </w:rPr>
  </w:style>
  <w:style w:type="character" w:customStyle="1" w:styleId="49">
    <w:name w:val="页脚 Char"/>
    <w:qFormat/>
    <w:uiPriority w:val="99"/>
    <w:rPr>
      <w:sz w:val="18"/>
    </w:rPr>
  </w:style>
  <w:style w:type="paragraph" w:customStyle="1" w:styleId="50">
    <w:name w:val="Default"/>
    <w:qFormat/>
    <w:uiPriority w:val="99"/>
    <w:pPr>
      <w:widowControl w:val="0"/>
      <w:autoSpaceDE w:val="0"/>
      <w:autoSpaceDN w:val="0"/>
      <w:adjustRightInd w:val="0"/>
    </w:pPr>
    <w:rPr>
      <w:rFonts w:ascii="华文中宋ì.葀." w:hAnsi="Times New Roman" w:eastAsia="华文中宋ì.葀." w:cs="华文中宋ì.葀."/>
      <w:color w:val="000000"/>
      <w:kern w:val="0"/>
      <w:sz w:val="24"/>
      <w:szCs w:val="24"/>
      <w:lang w:val="en-US" w:eastAsia="zh-CN" w:bidi="ar-SA"/>
    </w:rPr>
  </w:style>
  <w:style w:type="character" w:customStyle="1" w:styleId="51">
    <w:name w:val="c Char"/>
    <w:link w:val="52"/>
    <w:qFormat/>
    <w:locked/>
    <w:uiPriority w:val="99"/>
    <w:rPr>
      <w:rFonts w:eastAsia="仿宋"/>
      <w:kern w:val="2"/>
      <w:sz w:val="28"/>
    </w:rPr>
  </w:style>
  <w:style w:type="paragraph" w:customStyle="1" w:styleId="52">
    <w:name w:val="c"/>
    <w:basedOn w:val="1"/>
    <w:link w:val="51"/>
    <w:qFormat/>
    <w:uiPriority w:val="99"/>
    <w:pPr>
      <w:ind w:firstLine="280" w:firstLineChars="100"/>
    </w:pPr>
    <w:rPr>
      <w:rFonts w:ascii="Calibri" w:hAnsi="Calibri" w:cs="Times New Roman"/>
      <w:sz w:val="28"/>
      <w:szCs w:val="20"/>
    </w:rPr>
  </w:style>
  <w:style w:type="paragraph" w:styleId="53">
    <w:name w:val="List Paragraph"/>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54">
    <w:name w:val="Char Char Char Char"/>
    <w:basedOn w:val="1"/>
    <w:qFormat/>
    <w:uiPriority w:val="99"/>
    <w:rPr>
      <w:rFonts w:ascii="Tahoma" w:hAnsi="Tahoma" w:eastAsia="宋体" w:cs="Tahoma"/>
      <w:sz w:val="24"/>
      <w:szCs w:val="24"/>
    </w:rPr>
  </w:style>
  <w:style w:type="character" w:customStyle="1" w:styleId="55">
    <w:name w:val="Body Text Indent Char1"/>
    <w:basedOn w:val="26"/>
    <w:link w:val="9"/>
    <w:qFormat/>
    <w:locked/>
    <w:uiPriority w:val="99"/>
    <w:rPr>
      <w:rFonts w:ascii="宋体" w:hAnsi="宋体" w:eastAsia="仿宋" w:cs="宋体"/>
      <w:kern w:val="2"/>
      <w:sz w:val="22"/>
      <w:szCs w:val="22"/>
      <w:lang w:val="en-US" w:eastAsia="zh-CN"/>
    </w:rPr>
  </w:style>
  <w:style w:type="paragraph" w:customStyle="1" w:styleId="56">
    <w:name w:val="List Paragraph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57">
    <w:name w:val="Char"/>
    <w:basedOn w:val="1"/>
    <w:qFormat/>
    <w:uiPriority w:val="99"/>
    <w:pPr>
      <w:widowControl/>
      <w:spacing w:after="160" w:line="240" w:lineRule="exact"/>
      <w:jc w:val="left"/>
    </w:pPr>
    <w:rPr>
      <w:rFonts w:ascii="Times New Roman" w:hAnsi="Times New Roman" w:eastAsia="仿宋_GB2312" w:cs="Times New Roman"/>
    </w:rPr>
  </w:style>
  <w:style w:type="paragraph" w:customStyle="1" w:styleId="58">
    <w:name w:val="p0"/>
    <w:basedOn w:val="1"/>
    <w:qFormat/>
    <w:uiPriority w:val="99"/>
    <w:pPr>
      <w:widowControl/>
    </w:pPr>
    <w:rPr>
      <w:rFonts w:ascii="Times New Roman" w:hAnsi="Times New Roman" w:eastAsia="仿宋_GB2312" w:cs="Times New Roman"/>
      <w:kern w:val="0"/>
    </w:rPr>
  </w:style>
  <w:style w:type="paragraph" w:customStyle="1" w:styleId="59">
    <w:name w:val="TOC Heading1"/>
    <w:basedOn w:val="2"/>
    <w:next w:val="1"/>
    <w:qFormat/>
    <w:uiPriority w:val="99"/>
    <w:pPr>
      <w:widowControl/>
      <w:spacing w:before="480" w:after="0" w:line="276" w:lineRule="auto"/>
      <w:jc w:val="left"/>
      <w:outlineLvl w:val="9"/>
    </w:pPr>
    <w:rPr>
      <w:rFonts w:ascii="Cambria" w:hAnsi="Cambria" w:cs="Cambria"/>
      <w:color w:val="365F90"/>
      <w:kern w:val="0"/>
      <w:sz w:val="28"/>
      <w:szCs w:val="28"/>
    </w:rPr>
  </w:style>
  <w:style w:type="paragraph" w:customStyle="1" w:styleId="60">
    <w:name w:val="List Paragraph11"/>
    <w:basedOn w:val="1"/>
    <w:qFormat/>
    <w:uiPriority w:val="99"/>
    <w:pPr>
      <w:ind w:firstLine="420" w:firstLineChars="200"/>
    </w:pPr>
    <w:rPr>
      <w:rFonts w:ascii="Calibri" w:hAnsi="Calibri" w:eastAsia="宋体" w:cs="Calibri"/>
      <w:sz w:val="21"/>
      <w:szCs w:val="21"/>
    </w:rPr>
  </w:style>
  <w:style w:type="paragraph" w:customStyle="1" w:styleId="61">
    <w:name w:val="修订1"/>
    <w:qFormat/>
    <w:uiPriority w:val="99"/>
    <w:rPr>
      <w:rFonts w:ascii="Calibri" w:hAnsi="Calibri" w:eastAsia="宋体" w:cs="Calibri"/>
      <w:kern w:val="2"/>
      <w:sz w:val="21"/>
      <w:szCs w:val="21"/>
      <w:lang w:val="en-US" w:eastAsia="zh-CN" w:bidi="ar-SA"/>
    </w:rPr>
  </w:style>
  <w:style w:type="paragraph" w:customStyle="1" w:styleId="62">
    <w:name w:val="Normal (Web)1"/>
    <w:basedOn w:val="1"/>
    <w:qFormat/>
    <w:uiPriority w:val="99"/>
    <w:pPr>
      <w:widowControl/>
      <w:spacing w:before="100" w:beforeAutospacing="1" w:after="100" w:afterAutospacing="1"/>
      <w:jc w:val="left"/>
    </w:pPr>
    <w:rPr>
      <w:rFonts w:eastAsia="宋体"/>
      <w:kern w:val="0"/>
      <w:sz w:val="24"/>
      <w:szCs w:val="24"/>
    </w:rPr>
  </w:style>
  <w:style w:type="paragraph" w:customStyle="1" w:styleId="63">
    <w:name w:val="列出段落1"/>
    <w:basedOn w:val="1"/>
    <w:qFormat/>
    <w:uiPriority w:val="99"/>
    <w:pPr>
      <w:ind w:firstLine="420" w:firstLineChars="200"/>
    </w:pPr>
    <w:rPr>
      <w:rFonts w:ascii="Calibri" w:hAnsi="Calibri" w:eastAsia="宋体" w:cs="Calibri"/>
      <w:sz w:val="21"/>
      <w:szCs w:val="21"/>
    </w:rPr>
  </w:style>
  <w:style w:type="paragraph" w:customStyle="1" w:styleId="64">
    <w:name w:val="列出段落2"/>
    <w:basedOn w:val="1"/>
    <w:qFormat/>
    <w:uiPriority w:val="99"/>
    <w:pPr>
      <w:ind w:firstLine="420" w:firstLineChars="200"/>
    </w:pPr>
    <w:rPr>
      <w:rFonts w:ascii="Calibri" w:hAnsi="Calibri" w:eastAsia="宋体" w:cs="Calibri"/>
      <w:sz w:val="21"/>
      <w:szCs w:val="21"/>
    </w:rPr>
  </w:style>
  <w:style w:type="paragraph" w:customStyle="1" w:styleId="65">
    <w:name w:val="令号"/>
    <w:basedOn w:val="1"/>
    <w:qFormat/>
    <w:uiPriority w:val="99"/>
    <w:pPr>
      <w:topLinePunct/>
      <w:jc w:val="center"/>
    </w:pPr>
    <w:rPr>
      <w:rFonts w:ascii="Times New Roman" w:hAnsi="Times New Roman" w:eastAsia="仿宋_GB2312" w:cs="Times New Roman"/>
      <w:sz w:val="21"/>
      <w:szCs w:val="21"/>
    </w:rPr>
  </w:style>
  <w:style w:type="paragraph" w:customStyle="1" w:styleId="66">
    <w:name w:val="列出段落3"/>
    <w:basedOn w:val="1"/>
    <w:qFormat/>
    <w:uiPriority w:val="99"/>
    <w:pPr>
      <w:ind w:firstLine="420" w:firstLineChars="200"/>
    </w:pPr>
    <w:rPr>
      <w:rFonts w:ascii="Calibri" w:hAnsi="Calibri" w:eastAsia="宋体" w:cs="Calibri"/>
      <w:sz w:val="21"/>
      <w:szCs w:val="21"/>
    </w:rPr>
  </w:style>
  <w:style w:type="paragraph" w:customStyle="1" w:styleId="67">
    <w:name w:val="列出段落4"/>
    <w:basedOn w:val="1"/>
    <w:qFormat/>
    <w:uiPriority w:val="99"/>
    <w:pPr>
      <w:ind w:firstLine="420" w:firstLineChars="200"/>
    </w:pPr>
    <w:rPr>
      <w:rFonts w:ascii="Calibri" w:hAnsi="Calibri" w:eastAsia="宋体" w:cs="Calibri"/>
      <w:sz w:val="21"/>
      <w:szCs w:val="21"/>
    </w:rPr>
  </w:style>
  <w:style w:type="paragraph" w:customStyle="1" w:styleId="68">
    <w:name w:val="Char Char Char Char Char Char Char Char Char Char Char Char Char Char Char Char Char Char"/>
    <w:basedOn w:val="1"/>
    <w:qFormat/>
    <w:uiPriority w:val="99"/>
    <w:rPr>
      <w:rFonts w:ascii="Times New Roman" w:hAnsi="Times New Roman" w:eastAsia="宋体" w:cs="Times New Roman"/>
      <w:b/>
      <w:bCs/>
      <w:sz w:val="36"/>
      <w:szCs w:val="36"/>
    </w:rPr>
  </w:style>
  <w:style w:type="character" w:customStyle="1" w:styleId="69">
    <w:name w:val="t_tag"/>
    <w:basedOn w:val="26"/>
    <w:qFormat/>
    <w:uiPriority w:val="99"/>
    <w:rPr>
      <w:rFonts w:cs="Times New Roman"/>
    </w:rPr>
  </w:style>
  <w:style w:type="character" w:customStyle="1" w:styleId="70">
    <w:name w:val="正文文本缩进 Char1"/>
    <w:qFormat/>
    <w:uiPriority w:val="99"/>
    <w:rPr>
      <w:rFonts w:ascii="仿宋_GB2312" w:eastAsia="仿宋_GB2312"/>
      <w:kern w:val="2"/>
      <w:sz w:val="24"/>
      <w:lang w:val="en-US" w:eastAsia="zh-CN"/>
    </w:rPr>
  </w:style>
  <w:style w:type="character" w:customStyle="1" w:styleId="71">
    <w:name w:val="正文文本缩进 2 Char1"/>
    <w:qFormat/>
    <w:uiPriority w:val="99"/>
    <w:rPr>
      <w:rFonts w:ascii="宋体" w:eastAsia="宋体"/>
      <w:kern w:val="2"/>
      <w:sz w:val="24"/>
    </w:rPr>
  </w:style>
  <w:style w:type="character" w:customStyle="1" w:styleId="72">
    <w:name w:val="Char Char102"/>
    <w:qFormat/>
    <w:uiPriority w:val="99"/>
    <w:rPr>
      <w:rFonts w:ascii="仿宋_GB2312" w:eastAsia="仿宋_GB2312"/>
      <w:kern w:val="2"/>
      <w:sz w:val="24"/>
      <w:lang w:val="en-US" w:eastAsia="zh-CN"/>
    </w:rPr>
  </w:style>
  <w:style w:type="character" w:customStyle="1" w:styleId="73">
    <w:name w:val="批注主题 Char"/>
    <w:basedOn w:val="74"/>
    <w:qFormat/>
    <w:locked/>
    <w:uiPriority w:val="99"/>
    <w:rPr>
      <w:b/>
      <w:bCs/>
    </w:rPr>
  </w:style>
  <w:style w:type="character" w:customStyle="1" w:styleId="74">
    <w:name w:val="批注文字 Char"/>
    <w:basedOn w:val="26"/>
    <w:qFormat/>
    <w:locked/>
    <w:uiPriority w:val="99"/>
    <w:rPr>
      <w:rFonts w:eastAsia="宋体" w:cs="Times New Roman"/>
      <w:kern w:val="2"/>
      <w:sz w:val="24"/>
      <w:szCs w:val="24"/>
      <w:lang w:val="en-US" w:eastAsia="zh-CN"/>
    </w:rPr>
  </w:style>
  <w:style w:type="character" w:customStyle="1" w:styleId="75">
    <w:name w:val="标题 2 Char1"/>
    <w:qFormat/>
    <w:uiPriority w:val="99"/>
    <w:rPr>
      <w:rFonts w:ascii="Arial" w:hAnsi="Arial"/>
      <w:b/>
      <w:kern w:val="2"/>
      <w:sz w:val="32"/>
    </w:rPr>
  </w:style>
  <w:style w:type="character" w:customStyle="1" w:styleId="76">
    <w:name w:val="页眉 Char"/>
    <w:basedOn w:val="26"/>
    <w:qFormat/>
    <w:locked/>
    <w:uiPriority w:val="99"/>
    <w:rPr>
      <w:rFonts w:eastAsia="宋体" w:cs="Times New Roman"/>
      <w:kern w:val="2"/>
      <w:sz w:val="24"/>
      <w:szCs w:val="24"/>
      <w:lang w:val="en-US" w:eastAsia="zh-CN"/>
    </w:rPr>
  </w:style>
  <w:style w:type="character" w:customStyle="1" w:styleId="77">
    <w:name w:val="标题 3 Char1"/>
    <w:qFormat/>
    <w:uiPriority w:val="99"/>
    <w:rPr>
      <w:b/>
      <w:kern w:val="2"/>
      <w:sz w:val="32"/>
    </w:rPr>
  </w:style>
  <w:style w:type="character" w:customStyle="1" w:styleId="78">
    <w:name w:val="标题 1 Char1"/>
    <w:qFormat/>
    <w:uiPriority w:val="99"/>
    <w:rPr>
      <w:b/>
      <w:kern w:val="2"/>
      <w:sz w:val="24"/>
    </w:rPr>
  </w:style>
  <w:style w:type="character" w:customStyle="1" w:styleId="79">
    <w:name w:val="批注框文本 Char"/>
    <w:basedOn w:val="26"/>
    <w:qFormat/>
    <w:locked/>
    <w:uiPriority w:val="99"/>
    <w:rPr>
      <w:rFonts w:eastAsia="宋体" w:cs="Times New Roman"/>
      <w:kern w:val="2"/>
      <w:sz w:val="18"/>
      <w:szCs w:val="18"/>
      <w:lang w:val="en-US" w:eastAsia="zh-CN"/>
    </w:rPr>
  </w:style>
  <w:style w:type="character" w:customStyle="1" w:styleId="80">
    <w:name w:val="正文文本缩进 3 Char"/>
    <w:basedOn w:val="26"/>
    <w:qFormat/>
    <w:locked/>
    <w:uiPriority w:val="99"/>
    <w:rPr>
      <w:rFonts w:eastAsia="宋体" w:cs="Times New Roman"/>
      <w:kern w:val="2"/>
      <w:sz w:val="21"/>
      <w:szCs w:val="21"/>
      <w:lang w:val="en-US" w:eastAsia="zh-CN"/>
    </w:rPr>
  </w:style>
  <w:style w:type="character" w:customStyle="1" w:styleId="81">
    <w:name w:val="页眉 Char1"/>
    <w:qFormat/>
    <w:uiPriority w:val="99"/>
    <w:rPr>
      <w:rFonts w:eastAsia="宋体"/>
      <w:kern w:val="2"/>
      <w:sz w:val="24"/>
      <w:lang w:val="en-US" w:eastAsia="zh-CN"/>
    </w:rPr>
  </w:style>
  <w:style w:type="character" w:customStyle="1" w:styleId="82">
    <w:name w:val="正文文本 Char1"/>
    <w:qFormat/>
    <w:uiPriority w:val="99"/>
    <w:rPr>
      <w:rFonts w:eastAsia="宋体"/>
      <w:kern w:val="2"/>
      <w:sz w:val="24"/>
      <w:lang w:val="en-US" w:eastAsia="zh-CN"/>
    </w:rPr>
  </w:style>
  <w:style w:type="character" w:customStyle="1" w:styleId="83">
    <w:name w:val="自建标题 Char"/>
    <w:basedOn w:val="26"/>
    <w:link w:val="84"/>
    <w:qFormat/>
    <w:locked/>
    <w:uiPriority w:val="99"/>
    <w:rPr>
      <w:rFonts w:ascii="方正大标宋简体" w:eastAsia="方正大标宋简体" w:cs="方正大标宋简体"/>
      <w:kern w:val="2"/>
      <w:sz w:val="36"/>
      <w:szCs w:val="36"/>
      <w:lang w:val="en-US" w:eastAsia="zh-CN"/>
    </w:rPr>
  </w:style>
  <w:style w:type="paragraph" w:customStyle="1" w:styleId="84">
    <w:name w:val="自建标题"/>
    <w:basedOn w:val="1"/>
    <w:link w:val="83"/>
    <w:qFormat/>
    <w:uiPriority w:val="99"/>
    <w:pPr>
      <w:spacing w:beforeLines="200" w:afterLines="100" w:line="600" w:lineRule="exact"/>
      <w:jc w:val="center"/>
    </w:pPr>
    <w:rPr>
      <w:rFonts w:ascii="方正大标宋简体" w:hAnsi="Times New Roman" w:eastAsia="方正大标宋简体" w:cs="方正大标宋简体"/>
      <w:sz w:val="36"/>
      <w:szCs w:val="36"/>
    </w:rPr>
  </w:style>
  <w:style w:type="character" w:customStyle="1" w:styleId="85">
    <w:name w:val="标题 2 Char"/>
    <w:basedOn w:val="26"/>
    <w:qFormat/>
    <w:locked/>
    <w:uiPriority w:val="99"/>
    <w:rPr>
      <w:rFonts w:ascii="Arial" w:hAnsi="Arial" w:eastAsia="宋体" w:cs="Arial"/>
      <w:b/>
      <w:bCs/>
      <w:kern w:val="2"/>
      <w:sz w:val="32"/>
      <w:szCs w:val="32"/>
      <w:lang w:val="en-US" w:eastAsia="zh-CN"/>
    </w:rPr>
  </w:style>
  <w:style w:type="character" w:customStyle="1" w:styleId="86">
    <w:name w:val="正文文本 Char"/>
    <w:basedOn w:val="26"/>
    <w:qFormat/>
    <w:locked/>
    <w:uiPriority w:val="99"/>
    <w:rPr>
      <w:rFonts w:eastAsia="宋体" w:cs="Times New Roman"/>
      <w:kern w:val="2"/>
      <w:sz w:val="24"/>
      <w:szCs w:val="24"/>
      <w:lang w:val="en-US" w:eastAsia="zh-CN"/>
    </w:rPr>
  </w:style>
  <w:style w:type="character" w:customStyle="1" w:styleId="87">
    <w:name w:val="纯文本 Char"/>
    <w:basedOn w:val="26"/>
    <w:qFormat/>
    <w:locked/>
    <w:uiPriority w:val="99"/>
    <w:rPr>
      <w:rFonts w:ascii="宋体" w:hAnsi="Courier New" w:eastAsia="宋体" w:cs="宋体"/>
      <w:kern w:val="2"/>
      <w:sz w:val="21"/>
      <w:szCs w:val="21"/>
      <w:lang w:val="en-US" w:eastAsia="zh-CN"/>
    </w:rPr>
  </w:style>
  <w:style w:type="character" w:customStyle="1" w:styleId="88">
    <w:name w:val="批注主题 Char1"/>
    <w:qFormat/>
    <w:uiPriority w:val="99"/>
    <w:rPr>
      <w:b/>
      <w:kern w:val="2"/>
      <w:sz w:val="24"/>
    </w:rPr>
  </w:style>
  <w:style w:type="character" w:customStyle="1" w:styleId="89">
    <w:name w:val="文档结构图 Char"/>
    <w:basedOn w:val="26"/>
    <w:qFormat/>
    <w:locked/>
    <w:uiPriority w:val="99"/>
    <w:rPr>
      <w:rFonts w:eastAsia="宋体" w:cs="Times New Roman"/>
      <w:kern w:val="2"/>
      <w:sz w:val="24"/>
      <w:szCs w:val="24"/>
      <w:lang w:val="en-US" w:eastAsia="zh-CN"/>
    </w:rPr>
  </w:style>
  <w:style w:type="character" w:customStyle="1" w:styleId="90">
    <w:name w:val="Char Char101"/>
    <w:qFormat/>
    <w:uiPriority w:val="99"/>
    <w:rPr>
      <w:rFonts w:ascii="仿宋_GB2312" w:eastAsia="仿宋_GB2312"/>
      <w:kern w:val="2"/>
      <w:sz w:val="24"/>
      <w:lang w:val="en-US" w:eastAsia="zh-CN"/>
    </w:rPr>
  </w:style>
  <w:style w:type="character" w:customStyle="1" w:styleId="91">
    <w:name w:val="标题 1 Char"/>
    <w:basedOn w:val="26"/>
    <w:qFormat/>
    <w:locked/>
    <w:uiPriority w:val="99"/>
    <w:rPr>
      <w:rFonts w:eastAsia="宋体" w:cs="Times New Roman"/>
      <w:b/>
      <w:bCs/>
      <w:kern w:val="2"/>
      <w:sz w:val="24"/>
      <w:szCs w:val="24"/>
      <w:lang w:val="en-US" w:eastAsia="zh-CN"/>
    </w:rPr>
  </w:style>
  <w:style w:type="character" w:customStyle="1" w:styleId="92">
    <w:name w:val="Char Char1011"/>
    <w:qFormat/>
    <w:uiPriority w:val="99"/>
    <w:rPr>
      <w:rFonts w:ascii="仿宋_GB2312" w:eastAsia="仿宋_GB2312"/>
      <w:kern w:val="2"/>
      <w:sz w:val="24"/>
      <w:lang w:val="en-US" w:eastAsia="zh-CN"/>
    </w:rPr>
  </w:style>
  <w:style w:type="character" w:customStyle="1" w:styleId="93">
    <w:name w:val="Char Char10"/>
    <w:qFormat/>
    <w:uiPriority w:val="99"/>
    <w:rPr>
      <w:rFonts w:ascii="仿宋_GB2312" w:eastAsia="仿宋_GB2312"/>
      <w:kern w:val="2"/>
      <w:sz w:val="24"/>
      <w:lang w:val="en-US" w:eastAsia="zh-CN"/>
    </w:rPr>
  </w:style>
  <w:style w:type="character" w:customStyle="1" w:styleId="94">
    <w:name w:val="日期 Char"/>
    <w:basedOn w:val="26"/>
    <w:qFormat/>
    <w:locked/>
    <w:uiPriority w:val="99"/>
    <w:rPr>
      <w:rFonts w:eastAsia="宋体" w:cs="Times New Roman"/>
      <w:kern w:val="2"/>
      <w:sz w:val="24"/>
      <w:szCs w:val="24"/>
      <w:lang w:val="en-US" w:eastAsia="zh-CN"/>
    </w:rPr>
  </w:style>
  <w:style w:type="character" w:customStyle="1" w:styleId="95">
    <w:name w:val="正文文本缩进 2 Char"/>
    <w:basedOn w:val="26"/>
    <w:qFormat/>
    <w:locked/>
    <w:uiPriority w:val="99"/>
    <w:rPr>
      <w:rFonts w:ascii="宋体" w:eastAsia="宋体" w:cs="宋体"/>
      <w:kern w:val="2"/>
      <w:sz w:val="24"/>
      <w:szCs w:val="24"/>
      <w:lang w:val="en-US" w:eastAsia="zh-CN"/>
    </w:rPr>
  </w:style>
  <w:style w:type="character" w:customStyle="1" w:styleId="96">
    <w:name w:val="文档结构图 Char1"/>
    <w:qFormat/>
    <w:uiPriority w:val="99"/>
    <w:rPr>
      <w:kern w:val="2"/>
      <w:sz w:val="24"/>
      <w:shd w:val="clear" w:color="auto" w:fill="000080"/>
    </w:rPr>
  </w:style>
  <w:style w:type="paragraph" w:customStyle="1" w:styleId="97">
    <w:name w:val="样式1"/>
    <w:basedOn w:val="1"/>
    <w:qFormat/>
    <w:uiPriority w:val="99"/>
    <w:rPr>
      <w:rFonts w:ascii="仿宋_GB2312" w:hAnsi="Times New Roman" w:eastAsia="仿宋_GB2312" w:cs="仿宋_GB2312"/>
      <w:sz w:val="28"/>
      <w:szCs w:val="28"/>
    </w:rPr>
  </w:style>
  <w:style w:type="paragraph" w:customStyle="1" w:styleId="98">
    <w:name w:val="样式11"/>
    <w:basedOn w:val="1"/>
    <w:qFormat/>
    <w:uiPriority w:val="99"/>
    <w:rPr>
      <w:rFonts w:ascii="仿宋_GB2312" w:hAnsi="Times New Roman" w:eastAsia="仿宋_GB2312" w:cs="仿宋_GB2312"/>
      <w:sz w:val="28"/>
      <w:szCs w:val="28"/>
    </w:rPr>
  </w:style>
  <w:style w:type="paragraph" w:customStyle="1" w:styleId="99">
    <w:name w:val="样式"/>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0">
    <w:name w:val="Default1"/>
    <w:qFormat/>
    <w:uiPriority w:val="99"/>
    <w:pPr>
      <w:widowControl w:val="0"/>
      <w:autoSpaceDE w:val="0"/>
      <w:autoSpaceDN w:val="0"/>
      <w:adjustRightInd w:val="0"/>
    </w:pPr>
    <w:rPr>
      <w:rFonts w:ascii="Helvetica 45 Light" w:hAnsi="Times New Roman" w:eastAsia="Helvetica 45 Light" w:cs="Helvetica 45 Light"/>
      <w:color w:val="000000"/>
      <w:kern w:val="0"/>
      <w:sz w:val="24"/>
      <w:szCs w:val="24"/>
      <w:lang w:val="en-US" w:eastAsia="zh-CN" w:bidi="ar-SA"/>
    </w:rPr>
  </w:style>
  <w:style w:type="paragraph" w:customStyle="1" w:styleId="101">
    <w:name w:val="自建正文"/>
    <w:basedOn w:val="1"/>
    <w:qFormat/>
    <w:uiPriority w:val="99"/>
    <w:pPr>
      <w:adjustRightInd w:val="0"/>
      <w:spacing w:line="360" w:lineRule="exact"/>
      <w:ind w:firstLine="200" w:firstLineChars="200"/>
    </w:pPr>
    <w:rPr>
      <w:rFonts w:ascii="方正书宋简体" w:eastAsia="方正书宋简体" w:cs="方正书宋简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16</Pages>
  <Words>6993</Words>
  <Characters>7094</Characters>
  <Lines>0</Lines>
  <Paragraphs>0</Paragraphs>
  <TotalTime>36</TotalTime>
  <ScaleCrop>false</ScaleCrop>
  <LinksUpToDate>false</LinksUpToDate>
  <CharactersWithSpaces>7130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2020-04-29T09:56:00Z</dcterms:created>
  <dc:creator>admin</dc:creator>
  <cp:lastModifiedBy>ht-706</cp:lastModifiedBy>
  <cp:lastPrinted>2022-07-21T09:05:00Z</cp:lastPrinted>
  <dcterms:modified xsi:type="dcterms:W3CDTF">2022-09-06T14:21:34Z</dcterms:modified>
  <dc:title>吉市卫请〔2020〕45号                 签发人：刘奇志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1A8FB8ED553947209CF3DE4D725988AA</vt:lpwstr>
  </property>
</Properties>
</file>