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pPr>
      <w:bookmarkStart w:id="0" w:name="_Toc436648594"/>
      <w:bookmarkStart w:id="1" w:name="_Toc436647250"/>
      <w:r>
        <w:rPr>
          <w:rFonts w:hint="eastAsia"/>
        </w:rPr>
        <w:t>附件5</w:t>
      </w:r>
    </w:p>
    <w:p>
      <w:pPr>
        <w:pStyle w:val="4"/>
      </w:pPr>
      <w:r>
        <w:rPr>
          <w:rFonts w:hint="eastAsia"/>
        </w:rPr>
        <w:t>人体安全性试用试验</w:t>
      </w:r>
      <w:bookmarkEnd w:id="0"/>
      <w:bookmarkEnd w:id="1"/>
      <w:r>
        <w:rPr>
          <w:rFonts w:hint="eastAsia"/>
        </w:rPr>
        <w:t>方法</w:t>
      </w:r>
    </w:p>
    <w:p>
      <w:pPr>
        <w:autoSpaceDE w:val="0"/>
        <w:autoSpaceDN w:val="0"/>
        <w:adjustRightInd w:val="0"/>
        <w:jc w:val="center"/>
        <w:rPr>
          <w:szCs w:val="28"/>
        </w:rPr>
      </w:pPr>
      <w:r>
        <w:rPr>
          <w:szCs w:val="28"/>
        </w:rPr>
        <w:t>Cosmetic Safety In-use Test</w:t>
      </w:r>
    </w:p>
    <w:p>
      <w:pPr>
        <w:pStyle w:val="5"/>
        <w:spacing w:line="300" w:lineRule="auto"/>
        <w:rPr>
          <w:szCs w:val="21"/>
        </w:rPr>
      </w:pPr>
      <w:r>
        <w:rPr>
          <w:rFonts w:hint="eastAsia"/>
        </w:rPr>
        <w:t>1</w:t>
      </w:r>
      <w:r>
        <w:t xml:space="preserve"> </w:t>
      </w:r>
      <w:r>
        <w:rPr>
          <w:rFonts w:hint="eastAsia"/>
        </w:rPr>
        <w:t xml:space="preserve"> 范围</w:t>
      </w:r>
    </w:p>
    <w:p>
      <w:pPr>
        <w:widowControl/>
        <w:spacing w:line="300" w:lineRule="auto"/>
        <w:ind w:firstLine="420" w:firstLineChars="200"/>
        <w:jc w:val="left"/>
      </w:pPr>
      <w:r>
        <w:rPr>
          <w:rFonts w:hint="eastAsia" w:cs="宋体"/>
          <w:color w:val="000000"/>
          <w:kern w:val="0"/>
          <w:szCs w:val="21"/>
          <w:lang w:bidi="ar"/>
        </w:rPr>
        <w:t xml:space="preserve">本方法规定了人体安全性试用试验的目的、受试者要求和试验方法。 </w:t>
      </w:r>
    </w:p>
    <w:p>
      <w:pPr>
        <w:widowControl/>
        <w:spacing w:line="300" w:lineRule="auto"/>
        <w:ind w:firstLine="420" w:firstLineChars="200"/>
        <w:jc w:val="left"/>
        <w:rPr>
          <w:rFonts w:cs="宋体"/>
          <w:szCs w:val="21"/>
        </w:rPr>
      </w:pPr>
      <w:bookmarkStart w:id="2" w:name="OLE_LINK2"/>
      <w:bookmarkStart w:id="3" w:name="OLE_LINK1"/>
      <w:r>
        <w:rPr>
          <w:rFonts w:hint="eastAsia" w:cs="宋体"/>
          <w:color w:val="000000"/>
          <w:kern w:val="0"/>
          <w:szCs w:val="21"/>
          <w:lang w:bidi="ar"/>
        </w:rPr>
        <w:t>本方法适用于检测使用化妆品产品对人体皮肤潜在的不良反应。</w:t>
      </w:r>
    </w:p>
    <w:bookmarkEnd w:id="2"/>
    <w:bookmarkEnd w:id="3"/>
    <w:p>
      <w:pPr>
        <w:pStyle w:val="5"/>
        <w:spacing w:line="300" w:lineRule="auto"/>
        <w:rPr>
          <w:szCs w:val="21"/>
        </w:rPr>
      </w:pPr>
      <w:r>
        <w:rPr>
          <w:rFonts w:hint="eastAsia"/>
        </w:rPr>
        <w:t>2</w:t>
      </w:r>
      <w:r>
        <w:t xml:space="preserve"> </w:t>
      </w:r>
      <w:r>
        <w:rPr>
          <w:rFonts w:hint="eastAsia"/>
        </w:rPr>
        <w:t xml:space="preserve"> 试验目的</w:t>
      </w:r>
    </w:p>
    <w:p>
      <w:pPr>
        <w:widowControl/>
        <w:spacing w:line="300" w:lineRule="auto"/>
        <w:ind w:firstLine="420" w:firstLineChars="200"/>
        <w:jc w:val="left"/>
        <w:rPr>
          <w:rFonts w:cs="宋体"/>
          <w:color w:val="000000"/>
          <w:kern w:val="0"/>
          <w:szCs w:val="21"/>
          <w:lang w:bidi="ar"/>
        </w:rPr>
      </w:pPr>
      <w:r>
        <w:rPr>
          <w:rFonts w:hint="eastAsia" w:cs="宋体"/>
          <w:color w:val="000000"/>
          <w:kern w:val="0"/>
          <w:szCs w:val="21"/>
          <w:lang w:bidi="ar"/>
        </w:rPr>
        <w:t>通过一段时间的试用产品来检测受试物引起人体皮肤不良反应的潜在可能性。</w:t>
      </w:r>
    </w:p>
    <w:p>
      <w:pPr>
        <w:pStyle w:val="5"/>
        <w:spacing w:line="300" w:lineRule="auto"/>
        <w:rPr>
          <w:szCs w:val="21"/>
        </w:rPr>
      </w:pPr>
      <w:r>
        <w:rPr>
          <w:rFonts w:hint="eastAsia"/>
        </w:rPr>
        <w:t>3</w:t>
      </w:r>
      <w:r>
        <w:t xml:space="preserve"> </w:t>
      </w:r>
      <w:r>
        <w:rPr>
          <w:rFonts w:hint="eastAsia"/>
        </w:rPr>
        <w:t xml:space="preserve"> 受试者的选择</w:t>
      </w:r>
    </w:p>
    <w:p>
      <w:pPr>
        <w:adjustRightInd w:val="0"/>
        <w:spacing w:line="300" w:lineRule="auto"/>
        <w:rPr>
          <w:rFonts w:cs="宋体"/>
          <w:szCs w:val="21"/>
        </w:rPr>
      </w:pPr>
      <w:r>
        <w:rPr>
          <w:rFonts w:hint="eastAsia" w:cs="TimesNewRoman"/>
          <w:szCs w:val="21"/>
        </w:rPr>
        <w:t>3</w:t>
      </w:r>
      <w:r>
        <w:rPr>
          <w:rFonts w:cs="TimesNewRoman"/>
          <w:szCs w:val="21"/>
        </w:rPr>
        <w:t xml:space="preserve">.1 </w:t>
      </w:r>
      <w:r>
        <w:rPr>
          <w:rFonts w:hint="eastAsia" w:cs="TimesNewRoman"/>
          <w:szCs w:val="21"/>
        </w:rPr>
        <w:t xml:space="preserve"> </w:t>
      </w:r>
      <w:r>
        <w:rPr>
          <w:rFonts w:hint="eastAsia" w:cs="宋体"/>
          <w:szCs w:val="21"/>
        </w:rPr>
        <w:t>选择</w:t>
      </w:r>
      <w:r>
        <w:rPr>
          <w:rFonts w:cs="TimesNewRoman"/>
          <w:szCs w:val="21"/>
        </w:rPr>
        <w:t>18</w:t>
      </w:r>
      <w:r>
        <w:rPr>
          <w:rFonts w:hint="eastAsia" w:ascii="宋体" w:hAnsi="宋体" w:cs="TimesNewRoman"/>
          <w:szCs w:val="21"/>
        </w:rPr>
        <w:t>-</w:t>
      </w:r>
      <w:r>
        <w:rPr>
          <w:rFonts w:cs="TimesNewRoman"/>
          <w:szCs w:val="21"/>
        </w:rPr>
        <w:t>60</w:t>
      </w:r>
      <w:r>
        <w:rPr>
          <w:rFonts w:hint="eastAsia" w:cs="宋体"/>
          <w:szCs w:val="21"/>
        </w:rPr>
        <w:t>岁符合试验要求的志愿者作为受试对象。</w:t>
      </w:r>
    </w:p>
    <w:p>
      <w:pPr>
        <w:adjustRightInd w:val="0"/>
        <w:spacing w:line="300" w:lineRule="auto"/>
        <w:rPr>
          <w:rFonts w:cs="宋体"/>
          <w:szCs w:val="21"/>
        </w:rPr>
      </w:pPr>
      <w:r>
        <w:rPr>
          <w:rFonts w:hint="eastAsia" w:cs="TimesNewRoman"/>
          <w:szCs w:val="21"/>
        </w:rPr>
        <w:t>3</w:t>
      </w:r>
      <w:r>
        <w:rPr>
          <w:rFonts w:cs="TimesNewRoman"/>
          <w:szCs w:val="21"/>
        </w:rPr>
        <w:t xml:space="preserve">.2 </w:t>
      </w:r>
      <w:r>
        <w:rPr>
          <w:rFonts w:hint="eastAsia" w:cs="TimesNewRoman"/>
          <w:szCs w:val="21"/>
        </w:rPr>
        <w:t xml:space="preserve"> </w:t>
      </w:r>
      <w:r>
        <w:rPr>
          <w:rFonts w:hint="eastAsia" w:cs="宋体"/>
          <w:szCs w:val="21"/>
        </w:rPr>
        <w:t>不能选择有下列情况者作为受试者：</w:t>
      </w:r>
    </w:p>
    <w:p>
      <w:pPr>
        <w:adjustRightInd w:val="0"/>
        <w:spacing w:line="300" w:lineRule="auto"/>
        <w:rPr>
          <w:rFonts w:cs="宋体"/>
          <w:szCs w:val="21"/>
        </w:rPr>
      </w:pPr>
      <w:r>
        <w:rPr>
          <w:rFonts w:hint="eastAsia" w:cs="TimesNewRoman"/>
          <w:szCs w:val="21"/>
        </w:rPr>
        <w:t>3</w:t>
      </w:r>
      <w:r>
        <w:rPr>
          <w:rFonts w:cs="TimesNewRoman"/>
          <w:szCs w:val="21"/>
        </w:rPr>
        <w:t xml:space="preserve">.2.1 </w:t>
      </w:r>
      <w:r>
        <w:rPr>
          <w:rFonts w:hint="eastAsia" w:cs="宋体"/>
          <w:szCs w:val="21"/>
        </w:rPr>
        <w:t>近1周使用抗组胺药或近1个月内使用免疫抑制剂者或</w:t>
      </w:r>
      <w:r>
        <w:rPr>
          <w:rFonts w:hint="eastAsia"/>
        </w:rPr>
        <w:t>免疫调节相关生物制剂与小分子药</w:t>
      </w:r>
      <w:r>
        <w:rPr>
          <w:rFonts w:hint="eastAsia" w:cs="宋体"/>
          <w:szCs w:val="21"/>
        </w:rPr>
        <w:t>物者；</w:t>
      </w:r>
    </w:p>
    <w:p>
      <w:pPr>
        <w:adjustRightInd w:val="0"/>
        <w:spacing w:line="300" w:lineRule="auto"/>
        <w:rPr>
          <w:rFonts w:cs="宋体"/>
          <w:szCs w:val="21"/>
        </w:rPr>
      </w:pPr>
      <w:r>
        <w:rPr>
          <w:rFonts w:hint="eastAsia" w:cs="TimesNewRoman"/>
          <w:szCs w:val="21"/>
        </w:rPr>
        <w:t>3</w:t>
      </w:r>
      <w:r>
        <w:rPr>
          <w:rFonts w:cs="TimesNewRoman"/>
          <w:szCs w:val="21"/>
        </w:rPr>
        <w:t xml:space="preserve">.2.2 </w:t>
      </w:r>
      <w:r>
        <w:rPr>
          <w:rFonts w:hint="eastAsia" w:cs="宋体"/>
          <w:szCs w:val="21"/>
        </w:rPr>
        <w:t>近2个月内受试部位应用（包括外涂、封包及局部封闭）任何抗炎药物者；</w:t>
      </w:r>
    </w:p>
    <w:p>
      <w:pPr>
        <w:adjustRightInd w:val="0"/>
        <w:spacing w:line="300" w:lineRule="auto"/>
        <w:rPr>
          <w:rFonts w:cs="宋体"/>
          <w:szCs w:val="21"/>
        </w:rPr>
      </w:pPr>
      <w:r>
        <w:rPr>
          <w:rFonts w:hint="eastAsia" w:cs="TimesNewRoman"/>
          <w:szCs w:val="21"/>
        </w:rPr>
        <w:t>3</w:t>
      </w:r>
      <w:r>
        <w:rPr>
          <w:rFonts w:cs="TimesNewRoman"/>
          <w:szCs w:val="21"/>
        </w:rPr>
        <w:t xml:space="preserve">.2.3 </w:t>
      </w:r>
      <w:r>
        <w:rPr>
          <w:rFonts w:hint="eastAsia" w:cs="宋体"/>
          <w:szCs w:val="21"/>
        </w:rPr>
        <w:t>患有炎症性皮肤病临床未愈者；</w:t>
      </w:r>
    </w:p>
    <w:p>
      <w:pPr>
        <w:adjustRightInd w:val="0"/>
        <w:spacing w:line="300" w:lineRule="auto"/>
        <w:rPr>
          <w:rFonts w:cs="宋体"/>
          <w:szCs w:val="21"/>
        </w:rPr>
      </w:pPr>
      <w:r>
        <w:rPr>
          <w:rFonts w:hint="eastAsia" w:cs="TimesNewRoman"/>
          <w:szCs w:val="21"/>
        </w:rPr>
        <w:t>3</w:t>
      </w:r>
      <w:r>
        <w:rPr>
          <w:rFonts w:cs="TimesNewRoman"/>
          <w:szCs w:val="21"/>
        </w:rPr>
        <w:t xml:space="preserve">.2.4 </w:t>
      </w:r>
      <w:r>
        <w:rPr>
          <w:rFonts w:hint="eastAsia" w:cs="宋体"/>
          <w:szCs w:val="21"/>
        </w:rPr>
        <w:t>胰岛素依赖性糖尿病患者；</w:t>
      </w:r>
    </w:p>
    <w:p>
      <w:pPr>
        <w:adjustRightInd w:val="0"/>
        <w:spacing w:line="300" w:lineRule="auto"/>
        <w:rPr>
          <w:rFonts w:cs="宋体"/>
          <w:szCs w:val="21"/>
        </w:rPr>
      </w:pPr>
      <w:r>
        <w:rPr>
          <w:rFonts w:hint="eastAsia"/>
          <w:szCs w:val="21"/>
        </w:rPr>
        <w:t>3</w:t>
      </w:r>
      <w:r>
        <w:rPr>
          <w:szCs w:val="21"/>
        </w:rPr>
        <w:t xml:space="preserve">.2.5 </w:t>
      </w:r>
      <w:r>
        <w:rPr>
          <w:rFonts w:hint="eastAsia" w:cs="宋体"/>
          <w:color w:val="000000"/>
          <w:kern w:val="0"/>
          <w:szCs w:val="21"/>
        </w:rPr>
        <w:t>正在接受治疗的哮喘或其他慢性呼吸系统疾病患者；</w:t>
      </w:r>
    </w:p>
    <w:p>
      <w:pPr>
        <w:widowControl/>
        <w:spacing w:line="300" w:lineRule="auto"/>
        <w:jc w:val="left"/>
      </w:pPr>
      <w:r>
        <w:rPr>
          <w:rFonts w:hint="eastAsia" w:cs="TimesNewRoman"/>
          <w:szCs w:val="21"/>
        </w:rPr>
        <w:t>3</w:t>
      </w:r>
      <w:r>
        <w:rPr>
          <w:rFonts w:cs="TimesNewRoman"/>
          <w:szCs w:val="21"/>
        </w:rPr>
        <w:t xml:space="preserve">.2.6 </w:t>
      </w:r>
      <w:r>
        <w:rPr>
          <w:rFonts w:hint="eastAsia" w:cs="宋体"/>
          <w:color w:val="000000"/>
          <w:kern w:val="0"/>
          <w:szCs w:val="21"/>
          <w:lang w:bidi="ar"/>
        </w:rPr>
        <w:t>患有癌症等严重系统健康问题者；</w:t>
      </w:r>
    </w:p>
    <w:p>
      <w:pPr>
        <w:adjustRightInd w:val="0"/>
        <w:spacing w:line="300" w:lineRule="auto"/>
        <w:rPr>
          <w:rFonts w:cs="宋体"/>
          <w:szCs w:val="21"/>
        </w:rPr>
      </w:pPr>
      <w:r>
        <w:rPr>
          <w:rFonts w:hint="eastAsia" w:cs="TimesNewRoman"/>
          <w:szCs w:val="21"/>
        </w:rPr>
        <w:t>3</w:t>
      </w:r>
      <w:r>
        <w:rPr>
          <w:rFonts w:cs="TimesNewRoman"/>
          <w:szCs w:val="21"/>
        </w:rPr>
        <w:t xml:space="preserve">.2.7 </w:t>
      </w:r>
      <w:r>
        <w:rPr>
          <w:rFonts w:hint="eastAsia" w:cs="宋体"/>
          <w:szCs w:val="21"/>
        </w:rPr>
        <w:t>免疫缺陷或自身免疫性疾病患者；</w:t>
      </w:r>
    </w:p>
    <w:p>
      <w:pPr>
        <w:adjustRightInd w:val="0"/>
        <w:spacing w:line="300" w:lineRule="auto"/>
        <w:rPr>
          <w:rFonts w:cs="宋体"/>
          <w:szCs w:val="21"/>
        </w:rPr>
      </w:pPr>
      <w:r>
        <w:rPr>
          <w:rFonts w:hint="eastAsia" w:cs="TimesNewRoman"/>
          <w:szCs w:val="21"/>
        </w:rPr>
        <w:t>3</w:t>
      </w:r>
      <w:r>
        <w:rPr>
          <w:rFonts w:cs="TimesNewRoman"/>
          <w:szCs w:val="21"/>
        </w:rPr>
        <w:t xml:space="preserve">.2.8 </w:t>
      </w:r>
      <w:r>
        <w:rPr>
          <w:rFonts w:hint="eastAsia" w:cs="宋体"/>
          <w:szCs w:val="21"/>
        </w:rPr>
        <w:t>哺乳期或妊娠或计划怀孕妇女；</w:t>
      </w:r>
    </w:p>
    <w:p>
      <w:pPr>
        <w:widowControl/>
        <w:spacing w:line="300" w:lineRule="auto"/>
        <w:jc w:val="left"/>
      </w:pPr>
      <w:r>
        <w:rPr>
          <w:rFonts w:hint="eastAsia" w:cs="TimesNewRoman"/>
          <w:szCs w:val="21"/>
        </w:rPr>
        <w:t>3</w:t>
      </w:r>
      <w:r>
        <w:rPr>
          <w:rFonts w:cs="TimesNewRoman"/>
          <w:szCs w:val="21"/>
        </w:rPr>
        <w:t>.2.</w:t>
      </w:r>
      <w:r>
        <w:rPr>
          <w:rFonts w:hint="eastAsia" w:cs="TimesNewRoman"/>
          <w:szCs w:val="21"/>
        </w:rPr>
        <w:t>9</w:t>
      </w:r>
      <w:r>
        <w:rPr>
          <w:rFonts w:cs="TimesNewRoman"/>
          <w:szCs w:val="21"/>
        </w:rPr>
        <w:t xml:space="preserve"> </w:t>
      </w:r>
      <w:r>
        <w:rPr>
          <w:rFonts w:hint="eastAsia" w:cs="宋体"/>
          <w:color w:val="000000"/>
          <w:kern w:val="0"/>
          <w:szCs w:val="21"/>
          <w:lang w:bidi="ar"/>
        </w:rPr>
        <w:t>近</w:t>
      </w:r>
      <w:r>
        <w:rPr>
          <w:color w:val="000000"/>
          <w:kern w:val="0"/>
          <w:szCs w:val="21"/>
          <w:lang w:bidi="ar"/>
        </w:rPr>
        <w:t>1</w:t>
      </w:r>
      <w:r>
        <w:rPr>
          <w:rFonts w:hint="eastAsia" w:cs="宋体"/>
          <w:color w:val="000000"/>
          <w:kern w:val="0"/>
          <w:szCs w:val="21"/>
          <w:lang w:bidi="ar"/>
        </w:rPr>
        <w:t>个月内有过敏性疾病的发作和治疗或用过激素等抗炎药物者；</w:t>
      </w:r>
    </w:p>
    <w:p>
      <w:pPr>
        <w:adjustRightInd w:val="0"/>
        <w:spacing w:line="300" w:lineRule="auto"/>
        <w:rPr>
          <w:rFonts w:cs="宋体"/>
          <w:szCs w:val="21"/>
        </w:rPr>
      </w:pPr>
      <w:r>
        <w:rPr>
          <w:rFonts w:hint="eastAsia" w:cs="TimesNewRoman"/>
          <w:szCs w:val="21"/>
        </w:rPr>
        <w:t>3</w:t>
      </w:r>
      <w:r>
        <w:rPr>
          <w:rFonts w:cs="TimesNewRoman"/>
          <w:szCs w:val="21"/>
        </w:rPr>
        <w:t>.2.</w:t>
      </w:r>
      <w:r>
        <w:rPr>
          <w:rFonts w:hint="eastAsia" w:cs="TimesNewRoman"/>
          <w:szCs w:val="21"/>
        </w:rPr>
        <w:t>10</w:t>
      </w:r>
      <w:r>
        <w:rPr>
          <w:rFonts w:cs="TimesNewRoman"/>
          <w:szCs w:val="21"/>
        </w:rPr>
        <w:t xml:space="preserve"> </w:t>
      </w:r>
      <w:r>
        <w:rPr>
          <w:rFonts w:hint="eastAsia" w:cs="宋体"/>
          <w:szCs w:val="21"/>
        </w:rPr>
        <w:t>在皮肤待试部位由于瘢痕、色素、萎缩、鲜红斑痣或其他瑕疵而影响试验结果的判定者；</w:t>
      </w:r>
    </w:p>
    <w:p>
      <w:pPr>
        <w:widowControl/>
        <w:spacing w:line="300" w:lineRule="auto"/>
        <w:jc w:val="left"/>
      </w:pPr>
      <w:r>
        <w:rPr>
          <w:rFonts w:hint="eastAsia" w:cs="TimesNewRoman"/>
          <w:szCs w:val="21"/>
        </w:rPr>
        <w:t>3</w:t>
      </w:r>
      <w:r>
        <w:rPr>
          <w:rFonts w:cs="TimesNewRoman"/>
          <w:szCs w:val="21"/>
        </w:rPr>
        <w:t>.2.1</w:t>
      </w:r>
      <w:r>
        <w:rPr>
          <w:rFonts w:hint="eastAsia" w:cs="TimesNewRoman"/>
          <w:szCs w:val="21"/>
        </w:rPr>
        <w:t>1</w:t>
      </w:r>
      <w:r>
        <w:rPr>
          <w:rFonts w:cs="TimesNewRoman"/>
          <w:szCs w:val="21"/>
        </w:rPr>
        <w:t xml:space="preserve"> </w:t>
      </w:r>
      <w:r>
        <w:rPr>
          <w:rFonts w:hint="eastAsia" w:cs="宋体"/>
          <w:color w:val="000000"/>
          <w:kern w:val="0"/>
          <w:szCs w:val="21"/>
          <w:lang w:bidi="ar"/>
        </w:rPr>
        <w:t>近2个月内参加过其他临床试验者；</w:t>
      </w:r>
    </w:p>
    <w:p>
      <w:pPr>
        <w:adjustRightInd w:val="0"/>
        <w:spacing w:line="300" w:lineRule="auto"/>
        <w:rPr>
          <w:rFonts w:cs="宋体"/>
          <w:szCs w:val="21"/>
        </w:rPr>
      </w:pPr>
      <w:r>
        <w:rPr>
          <w:rFonts w:hint="eastAsia" w:cs="TimesNewRoman"/>
          <w:szCs w:val="21"/>
        </w:rPr>
        <w:t>3</w:t>
      </w:r>
      <w:r>
        <w:rPr>
          <w:rFonts w:cs="TimesNewRoman"/>
          <w:szCs w:val="21"/>
        </w:rPr>
        <w:t>.2.1</w:t>
      </w:r>
      <w:r>
        <w:rPr>
          <w:rFonts w:hint="eastAsia" w:cs="TimesNewRoman"/>
          <w:szCs w:val="21"/>
        </w:rPr>
        <w:t>2</w:t>
      </w:r>
      <w:r>
        <w:rPr>
          <w:rFonts w:cs="TimesNewRoman"/>
          <w:szCs w:val="21"/>
        </w:rPr>
        <w:t xml:space="preserve"> </w:t>
      </w:r>
      <w:r>
        <w:rPr>
          <w:rFonts w:hint="eastAsia" w:cs="宋体"/>
          <w:szCs w:val="21"/>
        </w:rPr>
        <w:t>体质高度敏感者；</w:t>
      </w:r>
    </w:p>
    <w:p>
      <w:pPr>
        <w:adjustRightInd w:val="0"/>
        <w:spacing w:line="300" w:lineRule="auto"/>
        <w:rPr>
          <w:rFonts w:cs="宋体"/>
          <w:szCs w:val="21"/>
        </w:rPr>
      </w:pPr>
      <w:r>
        <w:rPr>
          <w:rFonts w:hint="eastAsia" w:cs="TimesNewRoman"/>
          <w:szCs w:val="21"/>
        </w:rPr>
        <w:t>3</w:t>
      </w:r>
      <w:r>
        <w:rPr>
          <w:rFonts w:cs="TimesNewRoman"/>
          <w:szCs w:val="21"/>
        </w:rPr>
        <w:t>.2.1</w:t>
      </w:r>
      <w:r>
        <w:rPr>
          <w:rFonts w:hint="eastAsia" w:cs="TimesNewRoman"/>
          <w:szCs w:val="21"/>
        </w:rPr>
        <w:t>3</w:t>
      </w:r>
      <w:r>
        <w:rPr>
          <w:rFonts w:cs="TimesNewRoman"/>
          <w:szCs w:val="21"/>
        </w:rPr>
        <w:t xml:space="preserve"> </w:t>
      </w:r>
      <w:r>
        <w:rPr>
          <w:rFonts w:hint="eastAsia" w:cs="宋体"/>
          <w:szCs w:val="21"/>
        </w:rPr>
        <w:t>非志愿参加者或不能按试验要求完成规定内容者。</w:t>
      </w:r>
    </w:p>
    <w:p>
      <w:pPr>
        <w:pStyle w:val="5"/>
        <w:spacing w:before="156" w:beforeLines="50" w:after="156" w:afterLines="50" w:line="300" w:lineRule="auto"/>
        <w:rPr>
          <w:szCs w:val="21"/>
        </w:rPr>
      </w:pPr>
      <w:r>
        <w:rPr>
          <w:rFonts w:hint="eastAsia"/>
        </w:rPr>
        <w:t>4</w:t>
      </w:r>
      <w:r>
        <w:t xml:space="preserve"> </w:t>
      </w:r>
      <w:r>
        <w:rPr>
          <w:rFonts w:hint="eastAsia"/>
        </w:rPr>
        <w:t xml:space="preserve"> 皮肤反应分级标准</w:t>
      </w:r>
    </w:p>
    <w:p>
      <w:pPr>
        <w:adjustRightInd w:val="0"/>
        <w:spacing w:line="300" w:lineRule="auto"/>
        <w:ind w:firstLine="420" w:firstLineChars="200"/>
        <w:rPr>
          <w:rFonts w:cs="宋体"/>
          <w:szCs w:val="21"/>
        </w:rPr>
      </w:pPr>
      <w:r>
        <w:rPr>
          <w:rFonts w:hint="eastAsia" w:cs="宋体"/>
          <w:szCs w:val="21"/>
        </w:rPr>
        <w:t>见表</w:t>
      </w:r>
      <w:r>
        <w:rPr>
          <w:rFonts w:cs="宋体"/>
          <w:szCs w:val="21"/>
        </w:rPr>
        <w:t>1</w:t>
      </w:r>
      <w:r>
        <w:rPr>
          <w:rFonts w:hint="eastAsia" w:cs="宋体"/>
          <w:szCs w:val="21"/>
        </w:rPr>
        <w:t>。</w:t>
      </w:r>
    </w:p>
    <w:p>
      <w:pPr>
        <w:pStyle w:val="2"/>
      </w:pPr>
    </w:p>
    <w:p>
      <w:pPr>
        <w:spacing w:line="300" w:lineRule="auto"/>
        <w:jc w:val="center"/>
        <w:rPr>
          <w:rFonts w:eastAsia="黑体"/>
          <w:bCs/>
          <w:szCs w:val="32"/>
        </w:rPr>
      </w:pPr>
      <w:r>
        <w:rPr>
          <w:rFonts w:hint="eastAsia" w:eastAsia="黑体"/>
          <w:bCs/>
          <w:szCs w:val="32"/>
        </w:rPr>
        <w:t>表1  人体安全性试用试验皮肤反应分级标准</w:t>
      </w:r>
    </w:p>
    <w:tbl>
      <w:tblPr>
        <w:tblStyle w:val="10"/>
        <w:tblW w:w="5076"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3"/>
        <w:gridCol w:w="1438"/>
        <w:gridCol w:w="6051"/>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72" w:type="pct"/>
            <w:tcBorders>
              <w:top w:val="single" w:color="auto" w:sz="12" w:space="0"/>
              <w:bottom w:val="single" w:color="000000" w:sz="8" w:space="0"/>
              <w:tl2br w:val="nil"/>
              <w:tr2bl w:val="nil"/>
            </w:tcBorders>
            <w:vAlign w:val="center"/>
          </w:tcPr>
          <w:p>
            <w:pPr>
              <w:widowControl/>
              <w:spacing w:line="300" w:lineRule="auto"/>
              <w:jc w:val="center"/>
              <w:textAlignment w:val="center"/>
              <w:rPr>
                <w:rFonts w:cs="宋体"/>
                <w:color w:val="000000"/>
                <w:kern w:val="0"/>
                <w:szCs w:val="22"/>
                <w:lang w:bidi="ar"/>
              </w:rPr>
            </w:pPr>
            <w:r>
              <w:rPr>
                <w:rFonts w:hint="eastAsia" w:cs="宋体"/>
                <w:color w:val="000000"/>
                <w:kern w:val="0"/>
                <w:szCs w:val="22"/>
                <w:lang w:bidi="ar"/>
              </w:rPr>
              <w:t>评分分级</w:t>
            </w:r>
          </w:p>
        </w:tc>
        <w:tc>
          <w:tcPr>
            <w:tcW w:w="831" w:type="pct"/>
            <w:tcBorders>
              <w:top w:val="single" w:color="auto" w:sz="12" w:space="0"/>
              <w:bottom w:val="single" w:color="000000" w:sz="8" w:space="0"/>
              <w:tl2br w:val="nil"/>
              <w:tr2bl w:val="nil"/>
            </w:tcBorders>
            <w:vAlign w:val="center"/>
          </w:tcPr>
          <w:p>
            <w:pPr>
              <w:widowControl/>
              <w:spacing w:line="300" w:lineRule="auto"/>
              <w:jc w:val="center"/>
              <w:textAlignment w:val="center"/>
              <w:rPr>
                <w:rFonts w:cs="宋体"/>
                <w:color w:val="000000"/>
                <w:kern w:val="0"/>
                <w:szCs w:val="22"/>
                <w:lang w:bidi="ar"/>
              </w:rPr>
            </w:pPr>
            <w:r>
              <w:rPr>
                <w:rFonts w:hint="eastAsia" w:cs="宋体"/>
                <w:color w:val="000000"/>
                <w:kern w:val="0"/>
                <w:szCs w:val="22"/>
                <w:lang w:bidi="ar"/>
              </w:rPr>
              <w:t>反应程度</w:t>
            </w:r>
          </w:p>
        </w:tc>
        <w:tc>
          <w:tcPr>
            <w:tcW w:w="3497" w:type="pct"/>
            <w:tcBorders>
              <w:top w:val="single" w:color="auto" w:sz="12" w:space="0"/>
              <w:bottom w:val="single" w:color="000000" w:sz="8" w:space="0"/>
              <w:tl2br w:val="nil"/>
              <w:tr2bl w:val="nil"/>
            </w:tcBorders>
            <w:noWrap/>
            <w:vAlign w:val="center"/>
          </w:tcPr>
          <w:p>
            <w:pPr>
              <w:widowControl/>
              <w:spacing w:line="300" w:lineRule="auto"/>
              <w:ind w:firstLine="155" w:firstLineChars="74"/>
              <w:jc w:val="center"/>
              <w:textAlignment w:val="center"/>
              <w:rPr>
                <w:rFonts w:cs="宋体"/>
                <w:color w:val="000000"/>
                <w:szCs w:val="22"/>
              </w:rPr>
            </w:pPr>
            <w:r>
              <w:rPr>
                <w:rFonts w:hint="eastAsia" w:cs="宋体"/>
                <w:color w:val="000000"/>
                <w:kern w:val="0"/>
                <w:szCs w:val="22"/>
                <w:lang w:bidi="ar"/>
              </w:rPr>
              <w:t>描述</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672" w:type="pct"/>
            <w:tcBorders>
              <w:top w:val="single" w:color="000000" w:sz="8" w:space="0"/>
              <w:bottom w:val="nil"/>
            </w:tcBorders>
            <w:vAlign w:val="center"/>
          </w:tcPr>
          <w:p>
            <w:pPr>
              <w:widowControl/>
              <w:spacing w:line="300" w:lineRule="auto"/>
              <w:ind w:firstLine="420" w:firstLineChars="200"/>
              <w:jc w:val="left"/>
              <w:textAlignment w:val="center"/>
              <w:rPr>
                <w:rFonts w:cs="宋体"/>
                <w:color w:val="000000"/>
                <w:kern w:val="0"/>
                <w:szCs w:val="22"/>
                <w:lang w:bidi="ar"/>
              </w:rPr>
            </w:pPr>
            <w:r>
              <w:rPr>
                <w:rFonts w:hint="eastAsia" w:cs="宋体"/>
                <w:color w:val="000000"/>
                <w:kern w:val="0"/>
                <w:szCs w:val="22"/>
                <w:lang w:bidi="ar"/>
              </w:rPr>
              <w:t>0</w:t>
            </w:r>
          </w:p>
        </w:tc>
        <w:tc>
          <w:tcPr>
            <w:tcW w:w="831" w:type="pct"/>
            <w:tcBorders>
              <w:top w:val="single" w:color="000000" w:sz="8" w:space="0"/>
              <w:bottom w:val="nil"/>
            </w:tcBorders>
            <w:vAlign w:val="center"/>
          </w:tcPr>
          <w:p>
            <w:pPr>
              <w:widowControl/>
              <w:spacing w:line="300" w:lineRule="auto"/>
              <w:jc w:val="center"/>
              <w:textAlignment w:val="center"/>
              <w:rPr>
                <w:rFonts w:cs="宋体"/>
                <w:color w:val="000000"/>
                <w:kern w:val="0"/>
                <w:szCs w:val="22"/>
                <w:lang w:bidi="ar"/>
              </w:rPr>
            </w:pPr>
            <w:r>
              <w:rPr>
                <w:rFonts w:hint="eastAsia" w:cs="宋体"/>
                <w:color w:val="000000"/>
                <w:kern w:val="0"/>
                <w:szCs w:val="22"/>
                <w:lang w:bidi="ar"/>
              </w:rPr>
              <w:t>无反应</w:t>
            </w:r>
          </w:p>
        </w:tc>
        <w:tc>
          <w:tcPr>
            <w:tcW w:w="3497" w:type="pct"/>
            <w:tcBorders>
              <w:top w:val="single" w:color="000000" w:sz="8" w:space="0"/>
              <w:bottom w:val="nil"/>
            </w:tcBorders>
            <w:noWrap/>
            <w:vAlign w:val="center"/>
          </w:tcPr>
          <w:p>
            <w:pPr>
              <w:widowControl/>
              <w:spacing w:line="300" w:lineRule="auto"/>
              <w:ind w:firstLine="155" w:firstLineChars="74"/>
              <w:jc w:val="left"/>
              <w:textAlignment w:val="center"/>
              <w:rPr>
                <w:rFonts w:cs="宋体"/>
                <w:color w:val="000000"/>
                <w:szCs w:val="22"/>
              </w:rPr>
            </w:pPr>
            <w:r>
              <w:rPr>
                <w:rFonts w:hint="eastAsia" w:cs="宋体"/>
                <w:color w:val="000000"/>
                <w:kern w:val="0"/>
                <w:szCs w:val="22"/>
                <w:lang w:bidi="ar"/>
              </w:rPr>
              <w:t>皮肤无任何可见不良反应或不适</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672" w:type="pct"/>
            <w:tcBorders>
              <w:top w:val="nil"/>
              <w:bottom w:val="nil"/>
              <w:tl2br w:val="nil"/>
              <w:tr2bl w:val="nil"/>
            </w:tcBorders>
            <w:vAlign w:val="center"/>
          </w:tcPr>
          <w:p>
            <w:pPr>
              <w:widowControl/>
              <w:spacing w:line="300" w:lineRule="auto"/>
              <w:ind w:firstLine="420" w:firstLineChars="200"/>
              <w:jc w:val="left"/>
              <w:textAlignment w:val="center"/>
              <w:rPr>
                <w:rFonts w:cs="宋体"/>
                <w:color w:val="000000"/>
                <w:kern w:val="0"/>
                <w:szCs w:val="22"/>
                <w:lang w:bidi="ar"/>
              </w:rPr>
            </w:pPr>
            <w:r>
              <w:rPr>
                <w:rFonts w:hint="eastAsia" w:cs="宋体"/>
                <w:color w:val="000000"/>
                <w:kern w:val="0"/>
                <w:szCs w:val="22"/>
                <w:lang w:bidi="ar"/>
              </w:rPr>
              <w:t>1</w:t>
            </w:r>
          </w:p>
        </w:tc>
        <w:tc>
          <w:tcPr>
            <w:tcW w:w="831" w:type="pct"/>
            <w:tcBorders>
              <w:top w:val="nil"/>
              <w:bottom w:val="nil"/>
              <w:tl2br w:val="nil"/>
              <w:tr2bl w:val="nil"/>
            </w:tcBorders>
            <w:vAlign w:val="center"/>
          </w:tcPr>
          <w:p>
            <w:pPr>
              <w:widowControl/>
              <w:spacing w:line="300" w:lineRule="auto"/>
              <w:jc w:val="center"/>
              <w:textAlignment w:val="center"/>
              <w:rPr>
                <w:rFonts w:cs="宋体"/>
                <w:color w:val="000000"/>
                <w:kern w:val="0"/>
                <w:szCs w:val="22"/>
                <w:lang w:bidi="ar"/>
              </w:rPr>
            </w:pPr>
            <w:r>
              <w:rPr>
                <w:rFonts w:hint="eastAsia" w:cs="宋体"/>
                <w:color w:val="000000"/>
                <w:kern w:val="0"/>
                <w:szCs w:val="22"/>
                <w:lang w:bidi="ar"/>
              </w:rPr>
              <w:t>轻微反应</w:t>
            </w:r>
          </w:p>
        </w:tc>
        <w:tc>
          <w:tcPr>
            <w:tcW w:w="3497" w:type="pct"/>
            <w:tcBorders>
              <w:top w:val="nil"/>
              <w:bottom w:val="nil"/>
              <w:tl2br w:val="nil"/>
              <w:tr2bl w:val="nil"/>
            </w:tcBorders>
            <w:noWrap/>
            <w:vAlign w:val="center"/>
          </w:tcPr>
          <w:p>
            <w:pPr>
              <w:widowControl/>
              <w:spacing w:line="300" w:lineRule="auto"/>
              <w:ind w:firstLine="155" w:firstLineChars="74"/>
              <w:jc w:val="left"/>
              <w:textAlignment w:val="center"/>
              <w:rPr>
                <w:rFonts w:cs="宋体"/>
                <w:color w:val="000000"/>
                <w:kern w:val="0"/>
                <w:szCs w:val="22"/>
                <w:lang w:bidi="ar"/>
              </w:rPr>
            </w:pPr>
            <w:r>
              <w:rPr>
                <w:rFonts w:hint="eastAsia" w:cs="宋体"/>
                <w:color w:val="000000"/>
                <w:kern w:val="0"/>
                <w:szCs w:val="22"/>
                <w:lang w:bidi="ar"/>
              </w:rPr>
              <w:t>微弱红斑或轻度干燥伴少量脱屑；</w:t>
            </w:r>
          </w:p>
          <w:p>
            <w:pPr>
              <w:widowControl/>
              <w:spacing w:line="300" w:lineRule="auto"/>
              <w:ind w:firstLine="155" w:firstLineChars="74"/>
              <w:jc w:val="left"/>
              <w:textAlignment w:val="center"/>
              <w:rPr>
                <w:rFonts w:cs="宋体"/>
                <w:color w:val="000000"/>
                <w:szCs w:val="22"/>
              </w:rPr>
            </w:pPr>
            <w:r>
              <w:rPr>
                <w:rFonts w:hint="eastAsia" w:cs="宋体"/>
                <w:color w:val="000000"/>
                <w:kern w:val="0"/>
                <w:szCs w:val="22"/>
                <w:lang w:bidi="ar"/>
              </w:rPr>
              <w:t>可伴有短暂的轻微不适感</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672" w:type="pct"/>
            <w:tcBorders>
              <w:top w:val="nil"/>
              <w:bottom w:val="nil"/>
              <w:tl2br w:val="nil"/>
              <w:tr2bl w:val="nil"/>
            </w:tcBorders>
            <w:vAlign w:val="center"/>
          </w:tcPr>
          <w:p>
            <w:pPr>
              <w:widowControl/>
              <w:spacing w:line="300" w:lineRule="auto"/>
              <w:ind w:firstLine="420" w:firstLineChars="200"/>
              <w:jc w:val="left"/>
              <w:textAlignment w:val="center"/>
              <w:rPr>
                <w:rFonts w:cs="宋体"/>
                <w:color w:val="000000"/>
                <w:kern w:val="0"/>
                <w:szCs w:val="22"/>
                <w:lang w:bidi="ar"/>
              </w:rPr>
            </w:pPr>
            <w:r>
              <w:rPr>
                <w:rFonts w:hint="eastAsia" w:cs="宋体"/>
                <w:color w:val="000000"/>
                <w:kern w:val="0"/>
                <w:szCs w:val="22"/>
                <w:lang w:bidi="ar"/>
              </w:rPr>
              <w:t>2</w:t>
            </w:r>
          </w:p>
        </w:tc>
        <w:tc>
          <w:tcPr>
            <w:tcW w:w="831" w:type="pct"/>
            <w:tcBorders>
              <w:top w:val="nil"/>
              <w:bottom w:val="nil"/>
              <w:tl2br w:val="nil"/>
              <w:tr2bl w:val="nil"/>
            </w:tcBorders>
            <w:vAlign w:val="center"/>
          </w:tcPr>
          <w:p>
            <w:pPr>
              <w:widowControl/>
              <w:spacing w:line="300" w:lineRule="auto"/>
              <w:jc w:val="center"/>
              <w:textAlignment w:val="center"/>
              <w:rPr>
                <w:rFonts w:cs="宋体"/>
                <w:color w:val="000000"/>
                <w:kern w:val="0"/>
                <w:szCs w:val="22"/>
                <w:lang w:bidi="ar"/>
              </w:rPr>
            </w:pPr>
            <w:r>
              <w:rPr>
                <w:rFonts w:hint="eastAsia" w:cs="宋体"/>
                <w:color w:val="000000"/>
                <w:kern w:val="0"/>
                <w:szCs w:val="22"/>
                <w:lang w:bidi="ar"/>
              </w:rPr>
              <w:t>中度反应</w:t>
            </w:r>
          </w:p>
        </w:tc>
        <w:tc>
          <w:tcPr>
            <w:tcW w:w="3497" w:type="pct"/>
            <w:tcBorders>
              <w:top w:val="nil"/>
              <w:bottom w:val="nil"/>
              <w:tl2br w:val="nil"/>
              <w:tr2bl w:val="nil"/>
            </w:tcBorders>
            <w:noWrap/>
            <w:vAlign w:val="center"/>
          </w:tcPr>
          <w:p>
            <w:pPr>
              <w:widowControl/>
              <w:spacing w:line="300" w:lineRule="auto"/>
              <w:ind w:firstLine="155" w:firstLineChars="74"/>
              <w:jc w:val="left"/>
              <w:textAlignment w:val="center"/>
              <w:rPr>
                <w:rFonts w:cs="宋体"/>
                <w:color w:val="000000"/>
                <w:kern w:val="0"/>
                <w:szCs w:val="22"/>
                <w:lang w:bidi="ar"/>
              </w:rPr>
            </w:pPr>
            <w:r>
              <w:rPr>
                <w:rFonts w:hint="eastAsia" w:cs="宋体"/>
                <w:color w:val="000000"/>
                <w:kern w:val="0"/>
                <w:szCs w:val="22"/>
                <w:lang w:bidi="ar"/>
              </w:rPr>
              <w:t>明显红斑、轻度水肿、脱屑或丘疹；</w:t>
            </w:r>
          </w:p>
          <w:p>
            <w:pPr>
              <w:widowControl/>
              <w:spacing w:line="300" w:lineRule="auto"/>
              <w:ind w:firstLine="155" w:firstLineChars="74"/>
              <w:jc w:val="left"/>
              <w:textAlignment w:val="center"/>
              <w:rPr>
                <w:rFonts w:cs="宋体"/>
                <w:color w:val="000000"/>
                <w:szCs w:val="22"/>
              </w:rPr>
            </w:pPr>
            <w:r>
              <w:rPr>
                <w:rFonts w:hint="eastAsia" w:cs="宋体"/>
                <w:color w:val="000000"/>
                <w:kern w:val="0"/>
                <w:szCs w:val="22"/>
                <w:lang w:bidi="ar"/>
              </w:rPr>
              <w:t>可伴有持续瘙痒或灼热感等自觉症状</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672" w:type="pct"/>
            <w:tcBorders>
              <w:top w:val="nil"/>
              <w:bottom w:val="nil"/>
              <w:tl2br w:val="nil"/>
              <w:tr2bl w:val="nil"/>
            </w:tcBorders>
            <w:vAlign w:val="center"/>
          </w:tcPr>
          <w:p>
            <w:pPr>
              <w:widowControl/>
              <w:spacing w:line="300" w:lineRule="auto"/>
              <w:ind w:firstLine="420" w:firstLineChars="200"/>
              <w:jc w:val="left"/>
              <w:textAlignment w:val="center"/>
              <w:rPr>
                <w:rFonts w:cs="宋体"/>
                <w:color w:val="000000"/>
                <w:kern w:val="0"/>
                <w:szCs w:val="22"/>
                <w:lang w:bidi="ar"/>
              </w:rPr>
            </w:pPr>
            <w:r>
              <w:rPr>
                <w:rFonts w:hint="eastAsia" w:cs="宋体"/>
                <w:color w:val="000000"/>
                <w:kern w:val="0"/>
                <w:szCs w:val="22"/>
                <w:lang w:bidi="ar"/>
              </w:rPr>
              <w:t>3</w:t>
            </w:r>
          </w:p>
        </w:tc>
        <w:tc>
          <w:tcPr>
            <w:tcW w:w="831" w:type="pct"/>
            <w:tcBorders>
              <w:top w:val="nil"/>
              <w:bottom w:val="nil"/>
              <w:tl2br w:val="nil"/>
              <w:tr2bl w:val="nil"/>
            </w:tcBorders>
            <w:vAlign w:val="center"/>
          </w:tcPr>
          <w:p>
            <w:pPr>
              <w:widowControl/>
              <w:spacing w:line="300" w:lineRule="auto"/>
              <w:jc w:val="center"/>
              <w:textAlignment w:val="center"/>
              <w:rPr>
                <w:rFonts w:cs="宋体"/>
                <w:color w:val="000000"/>
                <w:kern w:val="0"/>
                <w:szCs w:val="22"/>
                <w:lang w:bidi="ar"/>
              </w:rPr>
            </w:pPr>
            <w:r>
              <w:rPr>
                <w:rFonts w:hint="eastAsia" w:cs="宋体"/>
                <w:color w:val="000000"/>
                <w:kern w:val="0"/>
                <w:szCs w:val="22"/>
                <w:lang w:bidi="ar"/>
              </w:rPr>
              <w:t>重度反应</w:t>
            </w:r>
          </w:p>
        </w:tc>
        <w:tc>
          <w:tcPr>
            <w:tcW w:w="3497" w:type="pct"/>
            <w:tcBorders>
              <w:top w:val="nil"/>
              <w:bottom w:val="nil"/>
              <w:tl2br w:val="nil"/>
              <w:tr2bl w:val="nil"/>
            </w:tcBorders>
            <w:noWrap/>
            <w:vAlign w:val="center"/>
          </w:tcPr>
          <w:p>
            <w:pPr>
              <w:widowControl/>
              <w:spacing w:line="300" w:lineRule="auto"/>
              <w:ind w:firstLine="155" w:firstLineChars="74"/>
              <w:jc w:val="left"/>
              <w:textAlignment w:val="center"/>
              <w:rPr>
                <w:rFonts w:cs="宋体"/>
                <w:color w:val="000000"/>
                <w:kern w:val="0"/>
                <w:szCs w:val="22"/>
                <w:lang w:bidi="ar"/>
              </w:rPr>
            </w:pPr>
            <w:r>
              <w:rPr>
                <w:rFonts w:hint="eastAsia" w:cs="宋体"/>
                <w:color w:val="000000"/>
                <w:kern w:val="0"/>
                <w:szCs w:val="22"/>
                <w:lang w:bidi="ar"/>
              </w:rPr>
              <w:t>重度红斑、明显水肿或丘疹、水疱；可出现皲裂、渗出等；</w:t>
            </w:r>
          </w:p>
          <w:p>
            <w:pPr>
              <w:widowControl/>
              <w:spacing w:line="300" w:lineRule="auto"/>
              <w:ind w:firstLine="155" w:firstLineChars="74"/>
              <w:jc w:val="left"/>
              <w:textAlignment w:val="center"/>
              <w:rPr>
                <w:rFonts w:cs="宋体"/>
                <w:color w:val="000000"/>
                <w:szCs w:val="22"/>
              </w:rPr>
            </w:pPr>
            <w:r>
              <w:rPr>
                <w:rFonts w:hint="eastAsia" w:cs="宋体"/>
                <w:color w:val="000000"/>
                <w:kern w:val="0"/>
                <w:szCs w:val="22"/>
                <w:lang w:bidi="ar"/>
              </w:rPr>
              <w:t>可伴有明显瘙痒或疼痛等自觉症状</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72" w:type="pct"/>
            <w:tcBorders>
              <w:top w:val="nil"/>
              <w:bottom w:val="single" w:color="auto" w:sz="12" w:space="0"/>
              <w:tl2br w:val="nil"/>
              <w:tr2bl w:val="nil"/>
            </w:tcBorders>
            <w:vAlign w:val="center"/>
          </w:tcPr>
          <w:p>
            <w:pPr>
              <w:widowControl/>
              <w:spacing w:line="300" w:lineRule="auto"/>
              <w:ind w:firstLine="420" w:firstLineChars="200"/>
              <w:jc w:val="left"/>
              <w:textAlignment w:val="center"/>
              <w:rPr>
                <w:rFonts w:cs="宋体"/>
                <w:color w:val="000000"/>
                <w:kern w:val="0"/>
                <w:szCs w:val="22"/>
                <w:lang w:bidi="ar"/>
              </w:rPr>
            </w:pPr>
            <w:r>
              <w:rPr>
                <w:rFonts w:hint="eastAsia" w:cs="宋体"/>
                <w:color w:val="000000"/>
                <w:kern w:val="0"/>
                <w:szCs w:val="22"/>
                <w:lang w:bidi="ar"/>
              </w:rPr>
              <w:t>4</w:t>
            </w:r>
          </w:p>
        </w:tc>
        <w:tc>
          <w:tcPr>
            <w:tcW w:w="831" w:type="pct"/>
            <w:tcBorders>
              <w:top w:val="nil"/>
              <w:bottom w:val="single" w:color="auto" w:sz="12" w:space="0"/>
              <w:tl2br w:val="nil"/>
              <w:tr2bl w:val="nil"/>
            </w:tcBorders>
            <w:vAlign w:val="center"/>
          </w:tcPr>
          <w:p>
            <w:pPr>
              <w:widowControl/>
              <w:spacing w:line="300" w:lineRule="auto"/>
              <w:jc w:val="center"/>
              <w:textAlignment w:val="center"/>
              <w:rPr>
                <w:rFonts w:cs="宋体"/>
                <w:color w:val="000000"/>
                <w:kern w:val="0"/>
                <w:szCs w:val="22"/>
                <w:lang w:bidi="ar"/>
              </w:rPr>
            </w:pPr>
            <w:r>
              <w:rPr>
                <w:rFonts w:hint="eastAsia" w:cs="宋体"/>
                <w:color w:val="000000"/>
                <w:kern w:val="0"/>
                <w:szCs w:val="22"/>
                <w:lang w:bidi="ar"/>
              </w:rPr>
              <w:t>极重度反应</w:t>
            </w:r>
          </w:p>
        </w:tc>
        <w:tc>
          <w:tcPr>
            <w:tcW w:w="3497" w:type="pct"/>
            <w:tcBorders>
              <w:top w:val="nil"/>
              <w:bottom w:val="single" w:color="auto" w:sz="12" w:space="0"/>
              <w:tl2br w:val="nil"/>
              <w:tr2bl w:val="nil"/>
            </w:tcBorders>
            <w:noWrap/>
            <w:vAlign w:val="center"/>
          </w:tcPr>
          <w:p>
            <w:pPr>
              <w:widowControl/>
              <w:spacing w:line="300" w:lineRule="auto"/>
              <w:ind w:firstLine="155" w:firstLineChars="74"/>
              <w:jc w:val="left"/>
              <w:textAlignment w:val="center"/>
              <w:rPr>
                <w:rFonts w:cs="宋体"/>
                <w:color w:val="000000"/>
                <w:kern w:val="0"/>
                <w:szCs w:val="22"/>
                <w:lang w:bidi="ar"/>
              </w:rPr>
            </w:pPr>
            <w:r>
              <w:rPr>
                <w:rFonts w:hint="eastAsia" w:cs="宋体"/>
                <w:color w:val="000000"/>
                <w:kern w:val="0"/>
                <w:szCs w:val="22"/>
                <w:lang w:bidi="ar"/>
              </w:rPr>
              <w:t>严重炎症反应、水疱、溃疡或全身性过敏反应；</w:t>
            </w:r>
          </w:p>
          <w:p>
            <w:pPr>
              <w:widowControl/>
              <w:spacing w:line="300" w:lineRule="auto"/>
              <w:ind w:firstLine="155" w:firstLineChars="74"/>
              <w:jc w:val="left"/>
              <w:textAlignment w:val="center"/>
              <w:rPr>
                <w:rFonts w:cs="宋体"/>
                <w:color w:val="000000"/>
                <w:szCs w:val="22"/>
              </w:rPr>
            </w:pPr>
            <w:r>
              <w:rPr>
                <w:rFonts w:hint="eastAsia" w:cs="宋体"/>
                <w:color w:val="000000"/>
                <w:kern w:val="0"/>
                <w:szCs w:val="22"/>
                <w:lang w:bidi="ar"/>
              </w:rPr>
              <w:t>可伴有严重瘙痒或疼痛等自觉症状</w:t>
            </w:r>
          </w:p>
        </w:tc>
      </w:tr>
    </w:tbl>
    <w:p>
      <w:pPr>
        <w:pStyle w:val="5"/>
        <w:spacing w:line="300" w:lineRule="auto"/>
        <w:rPr>
          <w:szCs w:val="21"/>
        </w:rPr>
      </w:pPr>
      <w:r>
        <w:rPr>
          <w:rFonts w:hint="eastAsia"/>
        </w:rPr>
        <w:t>5</w:t>
      </w:r>
      <w:r>
        <w:t xml:space="preserve"> </w:t>
      </w:r>
      <w:r>
        <w:rPr>
          <w:rFonts w:hint="eastAsia"/>
        </w:rPr>
        <w:t xml:space="preserve"> 试验方法</w:t>
      </w:r>
    </w:p>
    <w:p>
      <w:pPr>
        <w:widowControl/>
        <w:spacing w:line="300" w:lineRule="auto"/>
        <w:ind w:firstLine="420" w:firstLineChars="200"/>
        <w:rPr>
          <w:rFonts w:cs="宋体"/>
          <w:color w:val="000000"/>
          <w:kern w:val="0"/>
          <w:szCs w:val="21"/>
          <w:lang w:bidi="ar"/>
        </w:rPr>
      </w:pPr>
      <w:r>
        <w:rPr>
          <w:rFonts w:hint="eastAsia" w:cs="宋体"/>
          <w:color w:val="000000"/>
          <w:kern w:val="0"/>
          <w:szCs w:val="21"/>
          <w:lang w:bidi="ar"/>
        </w:rPr>
        <w:t>按入选和排除标准选择志愿受试者至少</w:t>
      </w:r>
      <w:r>
        <w:rPr>
          <w:color w:val="000000"/>
          <w:kern w:val="0"/>
          <w:szCs w:val="21"/>
          <w:lang w:bidi="ar"/>
        </w:rPr>
        <w:t>30</w:t>
      </w:r>
      <w:r>
        <w:rPr>
          <w:rFonts w:hint="eastAsia" w:cs="宋体"/>
          <w:color w:val="000000"/>
          <w:kern w:val="0"/>
          <w:szCs w:val="21"/>
          <w:lang w:bidi="ar"/>
        </w:rPr>
        <w:t>例，按照试验产品使用说明注明的使用特点和方法让受试者直接使用试验产品。单次使用的试验产品直接现场试用后观察受试者有无皮肤不良反应；非单次使用的试验产品使用后</w:t>
      </w:r>
      <w:r>
        <w:rPr>
          <w:color w:val="000000"/>
          <w:kern w:val="0"/>
          <w:szCs w:val="21"/>
          <w:lang w:bidi="ar"/>
        </w:rPr>
        <w:t>1</w:t>
      </w:r>
      <w:r>
        <w:rPr>
          <w:rFonts w:hint="eastAsia" w:cs="宋体"/>
          <w:color w:val="000000"/>
          <w:kern w:val="0"/>
          <w:szCs w:val="21"/>
          <w:lang w:bidi="ar"/>
        </w:rPr>
        <w:t>周、</w:t>
      </w:r>
      <w:r>
        <w:rPr>
          <w:color w:val="000000"/>
          <w:kern w:val="0"/>
          <w:szCs w:val="21"/>
          <w:lang w:bidi="ar"/>
        </w:rPr>
        <w:t>4</w:t>
      </w:r>
      <w:r>
        <w:rPr>
          <w:rFonts w:hint="eastAsia" w:cs="宋体"/>
          <w:color w:val="000000"/>
          <w:kern w:val="0"/>
          <w:szCs w:val="21"/>
          <w:lang w:bidi="ar"/>
        </w:rPr>
        <w:t>周和试验结束时至检验机构现场观察受试者有无皮肤不良反应，期间可每周</w:t>
      </w:r>
      <w:r>
        <w:rPr>
          <w:color w:val="000000"/>
          <w:kern w:val="0"/>
          <w:szCs w:val="21"/>
          <w:lang w:bidi="ar"/>
        </w:rPr>
        <w:t>1</w:t>
      </w:r>
      <w:r>
        <w:rPr>
          <w:rFonts w:hint="eastAsia" w:cs="宋体"/>
          <w:color w:val="000000"/>
          <w:kern w:val="0"/>
          <w:szCs w:val="21"/>
          <w:lang w:bidi="ar"/>
        </w:rPr>
        <w:t>次现场观察或电话随访受试者有无皮肤反应的情况。由皮肤科医生按表</w:t>
      </w:r>
      <w:r>
        <w:rPr>
          <w:color w:val="000000"/>
          <w:kern w:val="0"/>
          <w:szCs w:val="21"/>
          <w:lang w:bidi="ar"/>
        </w:rPr>
        <w:t>1</w:t>
      </w:r>
      <w:r>
        <w:rPr>
          <w:rFonts w:hint="eastAsia" w:cs="宋体"/>
          <w:color w:val="000000"/>
          <w:kern w:val="0"/>
          <w:szCs w:val="21"/>
          <w:lang w:bidi="ar"/>
        </w:rPr>
        <w:t>标准观察皮肤反应并记录结果，如出现2级及以上皮肤反应，</w:t>
      </w:r>
      <w:r>
        <w:rPr>
          <w:rFonts w:hint="eastAsia" w:cs="宋体"/>
          <w:color w:val="000000"/>
          <w:kern w:val="0"/>
          <w:szCs w:val="22"/>
          <w:lang w:bidi="ar"/>
        </w:rPr>
        <w:t>需终止试验，必要时作医学干预处理</w:t>
      </w:r>
      <w:r>
        <w:rPr>
          <w:rFonts w:hint="eastAsia" w:cs="宋体"/>
          <w:color w:val="000000"/>
          <w:kern w:val="0"/>
          <w:szCs w:val="21"/>
          <w:lang w:bidi="ar"/>
        </w:rPr>
        <w:t>。产品试用时间一般不得少于</w:t>
      </w:r>
      <w:r>
        <w:rPr>
          <w:color w:val="000000"/>
          <w:kern w:val="0"/>
          <w:szCs w:val="21"/>
          <w:lang w:bidi="ar"/>
        </w:rPr>
        <w:t>4</w:t>
      </w:r>
      <w:r>
        <w:rPr>
          <w:rFonts w:hint="eastAsia" w:cs="宋体"/>
          <w:color w:val="000000"/>
          <w:kern w:val="0"/>
          <w:szCs w:val="21"/>
          <w:lang w:bidi="ar"/>
        </w:rPr>
        <w:t>周。</w:t>
      </w:r>
    </w:p>
    <w:p>
      <w:pPr>
        <w:widowControl/>
        <w:jc w:val="left"/>
      </w:pPr>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Noto Sans Ethiop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Sans Ethiopic"/>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TimesNewRoman">
    <w:altName w:val="Times New Roman"/>
    <w:panose1 w:val="00000000000000000000"/>
    <w:charset w:val="00"/>
    <w:family w:val="roman"/>
    <w:pitch w:val="default"/>
    <w:sig w:usb0="00000000" w:usb1="00000000" w:usb2="0000001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2D19F2"/>
    <w:rsid w:val="00025013"/>
    <w:rsid w:val="0003643F"/>
    <w:rsid w:val="0008001B"/>
    <w:rsid w:val="000B539E"/>
    <w:rsid w:val="000B6B8C"/>
    <w:rsid w:val="000B7ACB"/>
    <w:rsid w:val="00103427"/>
    <w:rsid w:val="001044F7"/>
    <w:rsid w:val="00163649"/>
    <w:rsid w:val="001941A1"/>
    <w:rsid w:val="001A14C9"/>
    <w:rsid w:val="001A7E69"/>
    <w:rsid w:val="002029B7"/>
    <w:rsid w:val="00203921"/>
    <w:rsid w:val="00210CD2"/>
    <w:rsid w:val="00221C0C"/>
    <w:rsid w:val="002304D0"/>
    <w:rsid w:val="0025358E"/>
    <w:rsid w:val="0027123B"/>
    <w:rsid w:val="0027481D"/>
    <w:rsid w:val="002C4CF3"/>
    <w:rsid w:val="002C5E09"/>
    <w:rsid w:val="002F241F"/>
    <w:rsid w:val="00367D8C"/>
    <w:rsid w:val="003875F7"/>
    <w:rsid w:val="003C6DBF"/>
    <w:rsid w:val="003D0E21"/>
    <w:rsid w:val="003D210C"/>
    <w:rsid w:val="003D4BF0"/>
    <w:rsid w:val="003F0EE5"/>
    <w:rsid w:val="004107AB"/>
    <w:rsid w:val="004126DF"/>
    <w:rsid w:val="00486C92"/>
    <w:rsid w:val="004B58D7"/>
    <w:rsid w:val="004D109D"/>
    <w:rsid w:val="004F37C7"/>
    <w:rsid w:val="00523528"/>
    <w:rsid w:val="00526DE8"/>
    <w:rsid w:val="00565880"/>
    <w:rsid w:val="0057074A"/>
    <w:rsid w:val="005861FD"/>
    <w:rsid w:val="005B1EE4"/>
    <w:rsid w:val="005C04D6"/>
    <w:rsid w:val="005D30E6"/>
    <w:rsid w:val="005E4FB3"/>
    <w:rsid w:val="005E66C0"/>
    <w:rsid w:val="005F4310"/>
    <w:rsid w:val="005F4360"/>
    <w:rsid w:val="005F49B6"/>
    <w:rsid w:val="00626213"/>
    <w:rsid w:val="006426C9"/>
    <w:rsid w:val="00663E84"/>
    <w:rsid w:val="00684A82"/>
    <w:rsid w:val="00690827"/>
    <w:rsid w:val="006A6075"/>
    <w:rsid w:val="00737CE4"/>
    <w:rsid w:val="007615B7"/>
    <w:rsid w:val="0078393F"/>
    <w:rsid w:val="00791131"/>
    <w:rsid w:val="007A243D"/>
    <w:rsid w:val="007D52F1"/>
    <w:rsid w:val="007E711B"/>
    <w:rsid w:val="007F2D98"/>
    <w:rsid w:val="008246C4"/>
    <w:rsid w:val="00872856"/>
    <w:rsid w:val="008938E4"/>
    <w:rsid w:val="008C0309"/>
    <w:rsid w:val="008C3140"/>
    <w:rsid w:val="00900752"/>
    <w:rsid w:val="00926A3C"/>
    <w:rsid w:val="0095344F"/>
    <w:rsid w:val="009963AE"/>
    <w:rsid w:val="009A2FE9"/>
    <w:rsid w:val="009C5035"/>
    <w:rsid w:val="009F03BF"/>
    <w:rsid w:val="009F3218"/>
    <w:rsid w:val="00A14B1C"/>
    <w:rsid w:val="00AC3245"/>
    <w:rsid w:val="00AC6B20"/>
    <w:rsid w:val="00AF7250"/>
    <w:rsid w:val="00B212A7"/>
    <w:rsid w:val="00B22BFE"/>
    <w:rsid w:val="00B22D65"/>
    <w:rsid w:val="00B36F37"/>
    <w:rsid w:val="00B40F6E"/>
    <w:rsid w:val="00B935C9"/>
    <w:rsid w:val="00BA19B5"/>
    <w:rsid w:val="00BC3832"/>
    <w:rsid w:val="00C3204D"/>
    <w:rsid w:val="00C45D22"/>
    <w:rsid w:val="00C51202"/>
    <w:rsid w:val="00C64D3E"/>
    <w:rsid w:val="00C85121"/>
    <w:rsid w:val="00C95C09"/>
    <w:rsid w:val="00CB3A88"/>
    <w:rsid w:val="00CD6DB7"/>
    <w:rsid w:val="00D522C0"/>
    <w:rsid w:val="00DA4666"/>
    <w:rsid w:val="00DA4DA0"/>
    <w:rsid w:val="00DA7834"/>
    <w:rsid w:val="00DF279C"/>
    <w:rsid w:val="00E267F2"/>
    <w:rsid w:val="00E310C1"/>
    <w:rsid w:val="00E37E2D"/>
    <w:rsid w:val="00E45651"/>
    <w:rsid w:val="00EC1C9F"/>
    <w:rsid w:val="00F448C5"/>
    <w:rsid w:val="00F523AB"/>
    <w:rsid w:val="00F52C33"/>
    <w:rsid w:val="00F72B6A"/>
    <w:rsid w:val="00F93B21"/>
    <w:rsid w:val="00FB0B85"/>
    <w:rsid w:val="00FB41DF"/>
    <w:rsid w:val="00FB72F6"/>
    <w:rsid w:val="00FE2D24"/>
    <w:rsid w:val="00FF01AC"/>
    <w:rsid w:val="01B14076"/>
    <w:rsid w:val="17FA29E8"/>
    <w:rsid w:val="185D782F"/>
    <w:rsid w:val="252A2082"/>
    <w:rsid w:val="2E2D19F2"/>
    <w:rsid w:val="2E7001D8"/>
    <w:rsid w:val="2EF520C0"/>
    <w:rsid w:val="3C8765F2"/>
    <w:rsid w:val="3E654C29"/>
    <w:rsid w:val="40EB4AD5"/>
    <w:rsid w:val="440F4CE1"/>
    <w:rsid w:val="46892720"/>
    <w:rsid w:val="4A7B5F5F"/>
    <w:rsid w:val="4E995F1F"/>
    <w:rsid w:val="546C3D9F"/>
    <w:rsid w:val="5A4F2439"/>
    <w:rsid w:val="65F430ED"/>
    <w:rsid w:val="66D41578"/>
    <w:rsid w:val="67082149"/>
    <w:rsid w:val="74E120FE"/>
    <w:rsid w:val="7F5235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qFormat/>
    <w:uiPriority w:val="0"/>
    <w:pPr>
      <w:keepNext/>
      <w:keepLines/>
      <w:spacing w:before="120" w:after="120"/>
      <w:jc w:val="center"/>
      <w:outlineLvl w:val="0"/>
    </w:pPr>
    <w:rPr>
      <w:rFonts w:eastAsia="黑体"/>
      <w:iCs/>
      <w:kern w:val="0"/>
      <w:sz w:val="32"/>
      <w:szCs w:val="18"/>
    </w:rPr>
  </w:style>
  <w:style w:type="paragraph" w:styleId="5">
    <w:name w:val="heading 3"/>
    <w:basedOn w:val="1"/>
    <w:next w:val="1"/>
    <w:qFormat/>
    <w:uiPriority w:val="0"/>
    <w:pPr>
      <w:keepNext/>
      <w:keepLines/>
      <w:spacing w:before="260" w:after="260"/>
      <w:jc w:val="left"/>
      <w:outlineLvl w:val="2"/>
    </w:pPr>
    <w:rPr>
      <w:rFonts w:eastAsia="黑体"/>
      <w:bCs/>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20"/>
    <w:qFormat/>
    <w:uiPriority w:val="99"/>
    <w:pPr>
      <w:ind w:firstLine="420" w:firstLineChars="200"/>
    </w:pPr>
  </w:style>
  <w:style w:type="paragraph" w:styleId="3">
    <w:name w:val="Body Text Indent"/>
    <w:basedOn w:val="1"/>
    <w:qFormat/>
    <w:uiPriority w:val="99"/>
    <w:pPr>
      <w:spacing w:after="120"/>
      <w:ind w:left="420" w:leftChars="200"/>
    </w:pPr>
  </w:style>
  <w:style w:type="paragraph" w:styleId="6">
    <w:name w:val="annotation text"/>
    <w:basedOn w:val="1"/>
    <w:qFormat/>
    <w:uiPriority w:val="0"/>
    <w:pPr>
      <w:jc w:val="left"/>
    </w:pPr>
  </w:style>
  <w:style w:type="paragraph" w:styleId="7">
    <w:name w:val="Balloon Text"/>
    <w:basedOn w:val="1"/>
    <w:link w:val="13"/>
    <w:qFormat/>
    <w:uiPriority w:val="0"/>
    <w:rPr>
      <w:sz w:val="18"/>
      <w:szCs w:val="18"/>
    </w:rPr>
  </w:style>
  <w:style w:type="paragraph" w:styleId="8">
    <w:name w:val="footer"/>
    <w:basedOn w:val="1"/>
    <w:link w:val="15"/>
    <w:qFormat/>
    <w:uiPriority w:val="0"/>
    <w:pPr>
      <w:tabs>
        <w:tab w:val="center" w:pos="4153"/>
        <w:tab w:val="right" w:pos="8306"/>
      </w:tabs>
      <w:snapToGrid w:val="0"/>
      <w:jc w:val="left"/>
    </w:pPr>
    <w:rPr>
      <w:sz w:val="18"/>
      <w:szCs w:val="18"/>
    </w:rPr>
  </w:style>
  <w:style w:type="paragraph" w:styleId="9">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customStyle="1" w:styleId="12">
    <w:name w:val="修订1"/>
    <w:hidden/>
    <w:unhideWhenUsed/>
    <w:qFormat/>
    <w:uiPriority w:val="99"/>
    <w:rPr>
      <w:rFonts w:ascii="Times New Roman" w:hAnsi="Times New Roman" w:eastAsia="宋体" w:cs="Times New Roman"/>
      <w:kern w:val="2"/>
      <w:sz w:val="21"/>
      <w:lang w:val="en-US" w:eastAsia="zh-CN" w:bidi="ar-SA"/>
    </w:rPr>
  </w:style>
  <w:style w:type="character" w:customStyle="1" w:styleId="13">
    <w:name w:val="批注框文本 Char"/>
    <w:basedOn w:val="11"/>
    <w:link w:val="7"/>
    <w:qFormat/>
    <w:uiPriority w:val="0"/>
    <w:rPr>
      <w:kern w:val="2"/>
      <w:sz w:val="18"/>
      <w:szCs w:val="18"/>
    </w:rPr>
  </w:style>
  <w:style w:type="character" w:customStyle="1" w:styleId="14">
    <w:name w:val="页眉 Char"/>
    <w:basedOn w:val="11"/>
    <w:link w:val="9"/>
    <w:qFormat/>
    <w:uiPriority w:val="0"/>
    <w:rPr>
      <w:kern w:val="2"/>
      <w:sz w:val="18"/>
      <w:szCs w:val="18"/>
    </w:rPr>
  </w:style>
  <w:style w:type="character" w:customStyle="1" w:styleId="15">
    <w:name w:val="页脚 Char"/>
    <w:basedOn w:val="11"/>
    <w:link w:val="8"/>
    <w:qFormat/>
    <w:uiPriority w:val="0"/>
    <w:rPr>
      <w:kern w:val="2"/>
      <w:sz w:val="18"/>
      <w:szCs w:val="18"/>
    </w:rPr>
  </w:style>
  <w:style w:type="paragraph" w:customStyle="1" w:styleId="16">
    <w:name w:val="修订2"/>
    <w:hidden/>
    <w:unhideWhenUsed/>
    <w:qFormat/>
    <w:uiPriority w:val="99"/>
    <w:rPr>
      <w:rFonts w:ascii="Times New Roman" w:hAnsi="Times New Roman" w:eastAsia="宋体" w:cs="Times New Roman"/>
      <w:kern w:val="2"/>
      <w:sz w:val="21"/>
      <w:lang w:val="en-US" w:eastAsia="zh-CN" w:bidi="ar-SA"/>
    </w:rPr>
  </w:style>
  <w:style w:type="paragraph" w:customStyle="1" w:styleId="17">
    <w:name w:val="修订3"/>
    <w:hidden/>
    <w:unhideWhenUsed/>
    <w:qFormat/>
    <w:uiPriority w:val="99"/>
    <w:rPr>
      <w:rFonts w:ascii="Times New Roman" w:hAnsi="Times New Roman" w:eastAsia="宋体" w:cs="Times New Roman"/>
      <w:kern w:val="2"/>
      <w:sz w:val="21"/>
      <w:lang w:val="en-US" w:eastAsia="zh-CN" w:bidi="ar-SA"/>
    </w:rPr>
  </w:style>
  <w:style w:type="paragraph" w:customStyle="1" w:styleId="18">
    <w:name w:val="修订4"/>
    <w:hidden/>
    <w:unhideWhenUsed/>
    <w:qFormat/>
    <w:uiPriority w:val="99"/>
    <w:rPr>
      <w:rFonts w:ascii="Times New Roman" w:hAnsi="Times New Roman" w:eastAsia="宋体" w:cs="Times New Roman"/>
      <w:kern w:val="2"/>
      <w:sz w:val="21"/>
      <w:lang w:val="en-US" w:eastAsia="zh-CN" w:bidi="ar-SA"/>
    </w:rPr>
  </w:style>
  <w:style w:type="paragraph" w:customStyle="1" w:styleId="19">
    <w:name w:val="Revision"/>
    <w:hidden/>
    <w:unhideWhenUsed/>
    <w:qFormat/>
    <w:uiPriority w:val="99"/>
    <w:rPr>
      <w:rFonts w:ascii="Times New Roman" w:hAnsi="Times New Roman" w:eastAsia="宋体" w:cs="Times New Roman"/>
      <w:kern w:val="2"/>
      <w:sz w:val="21"/>
      <w:lang w:val="en-US" w:eastAsia="zh-CN" w:bidi="ar-SA"/>
    </w:rPr>
  </w:style>
  <w:style w:type="character" w:customStyle="1" w:styleId="20">
    <w:name w:val="正文首行缩进 2 Char"/>
    <w:link w:val="2"/>
    <w:qFormat/>
    <w:uiPriority w:val="99"/>
    <w:rPr>
      <w:kern w:val="2"/>
      <w:sz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355</Words>
  <Characters>2026</Characters>
  <Lines>16</Lines>
  <Paragraphs>4</Paragraphs>
  <TotalTime>1</TotalTime>
  <ScaleCrop>false</ScaleCrop>
  <LinksUpToDate>false</LinksUpToDate>
  <CharactersWithSpaces>2377</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2025-12-05T10:44:00Z</dcterms:created>
  <dc:creator>Yilia</dc:creator>
  <cp:lastModifiedBy>lisc</cp:lastModifiedBy>
  <dcterms:modified xsi:type="dcterms:W3CDTF">2026-01-05T10:14:38Z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6814FCC2DC9949B694453E801E2731C8_13</vt:lpwstr>
  </property>
  <property fmtid="{D5CDD505-2E9C-101B-9397-08002B2CF9AE}" pid="4" name="KSOTemplateDocerSaveRecord">
    <vt:lpwstr>eyJoZGlkIjoiNjdhZTAwODc4YzQwY2YyZTBiMWJiY2I4ZjU0OTRjMzkiLCJ1c2VySWQiOiIxMTY1MzAzMDIyIn0=</vt:lpwstr>
  </property>
</Properties>
</file>