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AEF5D" w14:textId="77777777" w:rsidR="00E70C30" w:rsidRPr="00E70C30" w:rsidRDefault="00E70C30" w:rsidP="00E70C30">
      <w:pPr>
        <w:pStyle w:val="a5"/>
        <w:rPr>
          <w:rFonts w:ascii="Times New Roman" w:eastAsia="方正小标宋简体" w:hAnsi="Times New Roman" w:cs="Times New Roman"/>
          <w:b w:val="0"/>
          <w:bCs w:val="0"/>
          <w:sz w:val="36"/>
          <w:szCs w:val="36"/>
        </w:rPr>
      </w:pPr>
      <w:r w:rsidRPr="00E70C30">
        <w:rPr>
          <w:rFonts w:ascii="Times New Roman" w:eastAsia="方正小标宋简体" w:hAnsi="Times New Roman" w:cs="Times New Roman"/>
          <w:b w:val="0"/>
          <w:bCs w:val="0"/>
          <w:sz w:val="36"/>
          <w:szCs w:val="36"/>
        </w:rPr>
        <w:t>《</w:t>
      </w:r>
      <w:r w:rsidRPr="00E70C30">
        <w:rPr>
          <w:rFonts w:ascii="Times New Roman" w:eastAsia="方正小标宋简体" w:hAnsi="Times New Roman" w:cs="Times New Roman" w:hint="eastAsia"/>
          <w:b w:val="0"/>
          <w:bCs w:val="0"/>
          <w:sz w:val="36"/>
          <w:szCs w:val="36"/>
        </w:rPr>
        <w:t>非无菌化学药品及原辅料微生物限度研究技术指导原则</w:t>
      </w:r>
      <w:r w:rsidRPr="00190107">
        <w:rPr>
          <w:rFonts w:ascii="Times New Roman" w:eastAsia="方正小标宋简体" w:hAnsi="Times New Roman" w:cs="Times New Roman"/>
          <w:b w:val="0"/>
          <w:bCs w:val="0"/>
          <w:sz w:val="36"/>
          <w:szCs w:val="36"/>
        </w:rPr>
        <w:t>》</w:t>
      </w:r>
      <w:r w:rsidRPr="00AF6420">
        <w:rPr>
          <w:rFonts w:ascii="Times New Roman" w:eastAsia="方正小标宋简体" w:hAnsi="Times New Roman" w:cs="Times New Roman"/>
          <w:b w:val="0"/>
          <w:bCs w:val="0"/>
          <w:sz w:val="36"/>
          <w:szCs w:val="36"/>
        </w:rPr>
        <w:t>起草说明</w:t>
      </w:r>
    </w:p>
    <w:p w14:paraId="3743FD0F" w14:textId="77777777" w:rsidR="000B5C40" w:rsidRDefault="000B5C40" w:rsidP="00FA2657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992A5E5" w14:textId="32CB87FE" w:rsidR="00251ADD" w:rsidRDefault="00251ADD" w:rsidP="00955AF5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Pr="00084616">
        <w:rPr>
          <w:rFonts w:ascii="Times New Roman" w:eastAsia="仿宋_GB2312" w:hAnsi="Times New Roman" w:cs="Times New Roman"/>
          <w:sz w:val="32"/>
          <w:szCs w:val="32"/>
        </w:rPr>
        <w:t>进一步加强</w:t>
      </w:r>
      <w:r w:rsidRPr="00084616">
        <w:rPr>
          <w:rFonts w:ascii="Times New Roman" w:eastAsia="仿宋_GB2312" w:hAnsi="Times New Roman" w:cs="Times New Roman" w:hint="eastAsia"/>
          <w:sz w:val="32"/>
          <w:szCs w:val="32"/>
        </w:rPr>
        <w:t>质量风险管理</w:t>
      </w:r>
      <w:r w:rsidRPr="00084616">
        <w:rPr>
          <w:rFonts w:ascii="Times New Roman" w:eastAsia="仿宋_GB2312" w:hAnsi="Times New Roman" w:cs="Times New Roman"/>
          <w:sz w:val="32"/>
          <w:szCs w:val="32"/>
        </w:rPr>
        <w:t>在</w:t>
      </w:r>
      <w:r w:rsidRPr="00084616">
        <w:rPr>
          <w:rFonts w:ascii="Times New Roman" w:eastAsia="仿宋_GB2312" w:hAnsi="Times New Roman" w:cs="Times New Roman" w:hint="eastAsia"/>
          <w:sz w:val="32"/>
          <w:szCs w:val="32"/>
        </w:rPr>
        <w:t>产品</w:t>
      </w:r>
      <w:r w:rsidRPr="00084616">
        <w:rPr>
          <w:rFonts w:ascii="Times New Roman" w:eastAsia="仿宋_GB2312" w:hAnsi="Times New Roman" w:cs="Times New Roman"/>
          <w:sz w:val="32"/>
          <w:szCs w:val="32"/>
        </w:rPr>
        <w:t>质量控制中的应用</w:t>
      </w:r>
      <w:r w:rsidRPr="00084616">
        <w:rPr>
          <w:rFonts w:ascii="Times New Roman" w:eastAsia="仿宋_GB2312" w:hAnsi="Times New Roman" w:cs="Times New Roman" w:hint="eastAsia"/>
          <w:sz w:val="32"/>
          <w:szCs w:val="32"/>
        </w:rPr>
        <w:t>，提高非无菌化学</w:t>
      </w:r>
      <w:r w:rsidRPr="00084616">
        <w:rPr>
          <w:rFonts w:ascii="Times New Roman" w:eastAsia="仿宋_GB2312" w:hAnsi="Times New Roman" w:cs="Times New Roman"/>
          <w:sz w:val="32"/>
          <w:szCs w:val="32"/>
        </w:rPr>
        <w:t>药品</w:t>
      </w:r>
      <w:r w:rsidRPr="00084616">
        <w:rPr>
          <w:rFonts w:ascii="Times New Roman" w:eastAsia="仿宋_GB2312" w:hAnsi="Times New Roman" w:cs="Times New Roman" w:hint="eastAsia"/>
          <w:sz w:val="32"/>
          <w:szCs w:val="32"/>
        </w:rPr>
        <w:t>及原辅料微生物限度标准制定的科学性及合理性。</w:t>
      </w:r>
      <w:r w:rsidRPr="00251ADD">
        <w:rPr>
          <w:rFonts w:ascii="Times New Roman" w:eastAsia="仿宋_GB2312" w:hAnsi="Times New Roman" w:cs="Times New Roman" w:hint="eastAsia"/>
          <w:sz w:val="32"/>
          <w:szCs w:val="32"/>
        </w:rPr>
        <w:t>药品审评中心组织起草了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Pr="00251ADD">
        <w:rPr>
          <w:rFonts w:ascii="Times New Roman" w:eastAsia="仿宋_GB2312" w:hAnsi="Times New Roman" w:cs="Times New Roman" w:hint="eastAsia"/>
          <w:sz w:val="32"/>
          <w:szCs w:val="32"/>
        </w:rPr>
        <w:t>非无菌化学药品及原辅料微生物限度研究技术指导原则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 w:rsidRPr="00251ADD">
        <w:rPr>
          <w:rFonts w:ascii="Times New Roman" w:eastAsia="仿宋_GB2312" w:hAnsi="Times New Roman" w:cs="Times New Roman" w:hint="eastAsia"/>
          <w:sz w:val="32"/>
          <w:szCs w:val="32"/>
        </w:rPr>
        <w:t>。现将有关情况说明如下：</w:t>
      </w:r>
    </w:p>
    <w:p w14:paraId="452CEC6C" w14:textId="3C6A267A" w:rsidR="00251ADD" w:rsidRDefault="00251ADD" w:rsidP="00251ADD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03475">
        <w:rPr>
          <w:rFonts w:ascii="Times New Roman" w:eastAsia="黑体" w:hAnsi="Times New Roman" w:cs="Times New Roman"/>
          <w:sz w:val="32"/>
          <w:szCs w:val="32"/>
        </w:rPr>
        <w:t>一、</w:t>
      </w:r>
      <w:r>
        <w:rPr>
          <w:rFonts w:ascii="Times New Roman" w:eastAsia="黑体" w:hAnsi="Times New Roman" w:cs="Times New Roman" w:hint="eastAsia"/>
          <w:sz w:val="32"/>
          <w:szCs w:val="32"/>
        </w:rPr>
        <w:t>背景</w:t>
      </w:r>
      <w:r>
        <w:rPr>
          <w:rFonts w:ascii="Times New Roman" w:eastAsia="黑体" w:hAnsi="Times New Roman" w:cs="Times New Roman"/>
          <w:sz w:val="32"/>
          <w:szCs w:val="32"/>
        </w:rPr>
        <w:t>和目的</w:t>
      </w:r>
    </w:p>
    <w:p w14:paraId="28698B29" w14:textId="2DDF00FC" w:rsidR="00955AF5" w:rsidRDefault="00FA2657" w:rsidP="00955AF5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C615B">
        <w:rPr>
          <w:rFonts w:ascii="Times New Roman" w:eastAsia="仿宋_GB2312" w:hAnsi="Times New Roman" w:cs="Times New Roman" w:hint="eastAsia"/>
          <w:sz w:val="32"/>
          <w:szCs w:val="32"/>
        </w:rPr>
        <w:t>对于</w:t>
      </w:r>
      <w:r w:rsidRPr="000C615B">
        <w:rPr>
          <w:rFonts w:ascii="Times New Roman" w:eastAsia="仿宋_GB2312" w:hAnsi="Times New Roman" w:cs="Times New Roman"/>
          <w:sz w:val="32"/>
          <w:szCs w:val="32"/>
        </w:rPr>
        <w:t>非无菌化</w:t>
      </w:r>
      <w:r w:rsidRPr="000C615B">
        <w:rPr>
          <w:rFonts w:ascii="Times New Roman" w:eastAsia="仿宋_GB2312" w:hAnsi="Times New Roman" w:cs="Times New Roman" w:hint="eastAsia"/>
          <w:sz w:val="32"/>
          <w:szCs w:val="32"/>
        </w:rPr>
        <w:t>学</w:t>
      </w:r>
      <w:r w:rsidRPr="000C615B">
        <w:rPr>
          <w:rFonts w:ascii="Times New Roman" w:eastAsia="仿宋_GB2312" w:hAnsi="Times New Roman" w:cs="Times New Roman"/>
          <w:sz w:val="32"/>
          <w:szCs w:val="32"/>
        </w:rPr>
        <w:t>药品</w:t>
      </w:r>
      <w:r w:rsidRPr="000C615B">
        <w:rPr>
          <w:rFonts w:ascii="Times New Roman" w:eastAsia="仿宋_GB2312" w:hAnsi="Times New Roman" w:cs="Times New Roman" w:hint="eastAsia"/>
          <w:sz w:val="32"/>
          <w:szCs w:val="32"/>
        </w:rPr>
        <w:t>及原辅料，微生物限度是反映产品安全性和</w:t>
      </w:r>
      <w:r w:rsidRPr="000C615B">
        <w:rPr>
          <w:rFonts w:ascii="Times New Roman" w:eastAsia="仿宋_GB2312" w:hAnsi="Times New Roman" w:cs="Times New Roman"/>
          <w:sz w:val="32"/>
          <w:szCs w:val="32"/>
        </w:rPr>
        <w:t>质量可控性</w:t>
      </w:r>
      <w:r w:rsidRPr="000C615B">
        <w:rPr>
          <w:rFonts w:ascii="Times New Roman" w:eastAsia="仿宋_GB2312" w:hAnsi="Times New Roman" w:cs="Times New Roman" w:hint="eastAsia"/>
          <w:sz w:val="32"/>
          <w:szCs w:val="32"/>
        </w:rPr>
        <w:t>的重要指标之一。目前</w:t>
      </w:r>
      <w:r w:rsidRPr="000C615B">
        <w:rPr>
          <w:rFonts w:ascii="Times New Roman" w:eastAsia="仿宋_GB2312" w:hAnsi="Times New Roman" w:cs="Times New Roman"/>
          <w:sz w:val="32"/>
          <w:szCs w:val="32"/>
        </w:rPr>
        <w:t>在非无菌化</w:t>
      </w:r>
      <w:r w:rsidRPr="000C615B">
        <w:rPr>
          <w:rFonts w:ascii="Times New Roman" w:eastAsia="仿宋_GB2312" w:hAnsi="Times New Roman" w:cs="Times New Roman" w:hint="eastAsia"/>
          <w:sz w:val="32"/>
          <w:szCs w:val="32"/>
        </w:rPr>
        <w:t>学</w:t>
      </w:r>
      <w:r w:rsidRPr="000C615B">
        <w:rPr>
          <w:rFonts w:ascii="Times New Roman" w:eastAsia="仿宋_GB2312" w:hAnsi="Times New Roman" w:cs="Times New Roman"/>
          <w:sz w:val="32"/>
          <w:szCs w:val="32"/>
        </w:rPr>
        <w:t>药品</w:t>
      </w:r>
      <w:r w:rsidRPr="000C615B">
        <w:rPr>
          <w:rFonts w:ascii="Times New Roman" w:eastAsia="仿宋_GB2312" w:hAnsi="Times New Roman" w:cs="Times New Roman" w:hint="eastAsia"/>
          <w:sz w:val="32"/>
          <w:szCs w:val="32"/>
        </w:rPr>
        <w:t>及原辅料申</w:t>
      </w:r>
      <w:r w:rsidRPr="000C615B">
        <w:rPr>
          <w:rFonts w:ascii="Times New Roman" w:eastAsia="仿宋_GB2312" w:hAnsi="Times New Roman" w:cs="Times New Roman"/>
          <w:sz w:val="32"/>
          <w:szCs w:val="32"/>
        </w:rPr>
        <w:t>报过程中</w:t>
      </w:r>
      <w:r w:rsidRPr="000C615B">
        <w:rPr>
          <w:rFonts w:ascii="Times New Roman" w:eastAsia="仿宋_GB2312" w:hAnsi="Times New Roman" w:cs="Times New Roman" w:hint="eastAsia"/>
          <w:sz w:val="32"/>
          <w:szCs w:val="32"/>
        </w:rPr>
        <w:t>主要存在</w:t>
      </w:r>
      <w:r w:rsidRPr="000C615B">
        <w:rPr>
          <w:rFonts w:ascii="Times New Roman" w:eastAsia="仿宋_GB2312" w:hAnsi="Times New Roman" w:cs="Times New Roman"/>
          <w:sz w:val="32"/>
          <w:szCs w:val="32"/>
        </w:rPr>
        <w:t>以下问题：</w:t>
      </w:r>
      <w:r w:rsidRPr="000C615B">
        <w:rPr>
          <w:rFonts w:ascii="Times New Roman" w:eastAsia="仿宋_GB2312" w:hAnsi="Times New Roman" w:cs="Times New Roman" w:hint="eastAsia"/>
          <w:sz w:val="32"/>
          <w:szCs w:val="32"/>
        </w:rPr>
        <w:t>未对</w:t>
      </w:r>
      <w:r w:rsidRPr="000C615B">
        <w:rPr>
          <w:rFonts w:ascii="Times New Roman" w:eastAsia="仿宋_GB2312" w:hAnsi="Times New Roman" w:cs="Times New Roman"/>
          <w:sz w:val="32"/>
          <w:szCs w:val="32"/>
        </w:rPr>
        <w:t>微生物限度进行研究且未提供相应的风险评估资料</w:t>
      </w:r>
      <w:r w:rsidRPr="000C615B">
        <w:rPr>
          <w:rFonts w:ascii="Times New Roman" w:eastAsia="仿宋_GB2312" w:hAnsi="Times New Roman" w:cs="Times New Roman" w:hint="eastAsia"/>
          <w:sz w:val="32"/>
          <w:szCs w:val="32"/>
        </w:rPr>
        <w:t>；申报</w:t>
      </w:r>
      <w:r w:rsidRPr="000C615B">
        <w:rPr>
          <w:rFonts w:ascii="Times New Roman" w:eastAsia="仿宋_GB2312" w:hAnsi="Times New Roman" w:cs="Times New Roman"/>
          <w:sz w:val="32"/>
          <w:szCs w:val="32"/>
        </w:rPr>
        <w:t>资料中微生物限度</w:t>
      </w:r>
      <w:r w:rsidRPr="000C615B">
        <w:rPr>
          <w:rFonts w:ascii="Times New Roman" w:eastAsia="仿宋_GB2312" w:hAnsi="Times New Roman" w:cs="Times New Roman" w:hint="eastAsia"/>
          <w:sz w:val="32"/>
          <w:szCs w:val="32"/>
        </w:rPr>
        <w:t>检查相关</w:t>
      </w:r>
      <w:r w:rsidRPr="000C615B">
        <w:rPr>
          <w:rFonts w:ascii="Times New Roman" w:eastAsia="仿宋_GB2312" w:hAnsi="Times New Roman" w:cs="Times New Roman"/>
          <w:sz w:val="32"/>
          <w:szCs w:val="32"/>
        </w:rPr>
        <w:t>内容</w:t>
      </w:r>
      <w:r w:rsidRPr="000C615B">
        <w:rPr>
          <w:rFonts w:ascii="Times New Roman" w:eastAsia="仿宋_GB2312" w:hAnsi="Times New Roman" w:cs="Times New Roman" w:hint="eastAsia"/>
          <w:sz w:val="32"/>
          <w:szCs w:val="32"/>
        </w:rPr>
        <w:t>不规范</w:t>
      </w:r>
      <w:r w:rsidRPr="000C615B">
        <w:rPr>
          <w:rFonts w:ascii="Times New Roman" w:eastAsia="仿宋_GB2312" w:hAnsi="Times New Roman" w:cs="Times New Roman"/>
          <w:sz w:val="32"/>
          <w:szCs w:val="32"/>
        </w:rPr>
        <w:t>、不完善</w:t>
      </w:r>
      <w:r w:rsidRPr="000C615B">
        <w:rPr>
          <w:rFonts w:ascii="Times New Roman" w:eastAsia="仿宋_GB2312" w:hAnsi="Times New Roman" w:cs="Times New Roman" w:hint="eastAsia"/>
          <w:sz w:val="32"/>
          <w:szCs w:val="32"/>
        </w:rPr>
        <w:t>，进口</w:t>
      </w:r>
      <w:r w:rsidRPr="000C615B">
        <w:rPr>
          <w:rFonts w:ascii="Times New Roman" w:eastAsia="仿宋_GB2312" w:hAnsi="Times New Roman" w:cs="Times New Roman"/>
          <w:sz w:val="32"/>
          <w:szCs w:val="32"/>
        </w:rPr>
        <w:t>药品中</w:t>
      </w:r>
      <w:r w:rsidR="0011212C">
        <w:rPr>
          <w:rFonts w:ascii="Times New Roman" w:eastAsia="仿宋_GB2312" w:hAnsi="Times New Roman" w:cs="Times New Roman" w:hint="eastAsia"/>
          <w:sz w:val="32"/>
          <w:szCs w:val="32"/>
        </w:rPr>
        <w:t>检测</w:t>
      </w:r>
      <w:r w:rsidR="0011212C">
        <w:rPr>
          <w:rFonts w:ascii="Times New Roman" w:eastAsia="仿宋_GB2312" w:hAnsi="Times New Roman" w:cs="Times New Roman"/>
          <w:sz w:val="32"/>
          <w:szCs w:val="32"/>
        </w:rPr>
        <w:t>方法与菌种来源不匹配</w:t>
      </w:r>
      <w:r w:rsidRPr="0011212C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190107">
        <w:rPr>
          <w:rFonts w:ascii="Times New Roman" w:eastAsia="仿宋_GB2312" w:hAnsi="Times New Roman" w:cs="Times New Roman" w:hint="eastAsia"/>
          <w:sz w:val="32"/>
          <w:szCs w:val="32"/>
        </w:rPr>
        <w:t>。上述</w:t>
      </w:r>
      <w:r w:rsidR="00190107">
        <w:rPr>
          <w:rFonts w:ascii="Times New Roman" w:eastAsia="仿宋_GB2312" w:hAnsi="Times New Roman" w:cs="Times New Roman"/>
          <w:sz w:val="32"/>
          <w:szCs w:val="32"/>
        </w:rPr>
        <w:t>问题</w:t>
      </w:r>
      <w:r w:rsidRPr="000C615B">
        <w:rPr>
          <w:rFonts w:ascii="Times New Roman" w:eastAsia="仿宋_GB2312" w:hAnsi="Times New Roman" w:cs="Times New Roman"/>
          <w:sz w:val="32"/>
          <w:szCs w:val="32"/>
        </w:rPr>
        <w:t>对产品质量</w:t>
      </w:r>
      <w:r w:rsidRPr="000C615B">
        <w:rPr>
          <w:rFonts w:ascii="Times New Roman" w:eastAsia="仿宋_GB2312" w:hAnsi="Times New Roman" w:cs="Times New Roman" w:hint="eastAsia"/>
          <w:sz w:val="32"/>
          <w:szCs w:val="32"/>
        </w:rPr>
        <w:t>控制和</w:t>
      </w:r>
      <w:r w:rsidRPr="000C615B">
        <w:rPr>
          <w:rFonts w:ascii="Times New Roman" w:eastAsia="仿宋_GB2312" w:hAnsi="Times New Roman" w:cs="Times New Roman"/>
          <w:sz w:val="32"/>
          <w:szCs w:val="32"/>
        </w:rPr>
        <w:t>评价</w:t>
      </w:r>
      <w:r w:rsidRPr="000C615B">
        <w:rPr>
          <w:rFonts w:ascii="Times New Roman" w:eastAsia="仿宋_GB2312" w:hAnsi="Times New Roman" w:cs="Times New Roman" w:hint="eastAsia"/>
          <w:sz w:val="32"/>
          <w:szCs w:val="32"/>
        </w:rPr>
        <w:t>以及</w:t>
      </w:r>
      <w:r w:rsidRPr="000C615B">
        <w:rPr>
          <w:rFonts w:ascii="Times New Roman" w:eastAsia="仿宋_GB2312" w:hAnsi="Times New Roman" w:cs="Times New Roman"/>
          <w:sz w:val="32"/>
          <w:szCs w:val="32"/>
        </w:rPr>
        <w:t>后续质量标准</w:t>
      </w:r>
      <w:r w:rsidRPr="000C615B">
        <w:rPr>
          <w:rFonts w:ascii="Times New Roman" w:eastAsia="仿宋_GB2312" w:hAnsi="Times New Roman" w:cs="Times New Roman" w:hint="eastAsia"/>
          <w:sz w:val="32"/>
          <w:szCs w:val="32"/>
        </w:rPr>
        <w:t>复核</w:t>
      </w:r>
      <w:r w:rsidR="000C615B">
        <w:rPr>
          <w:rFonts w:ascii="Times New Roman" w:eastAsia="仿宋_GB2312" w:hAnsi="Times New Roman" w:cs="Times New Roman" w:hint="eastAsia"/>
          <w:sz w:val="32"/>
          <w:szCs w:val="32"/>
        </w:rPr>
        <w:t>可能</w:t>
      </w:r>
      <w:r w:rsidRPr="000C615B">
        <w:rPr>
          <w:rFonts w:ascii="Times New Roman" w:eastAsia="仿宋_GB2312" w:hAnsi="Times New Roman" w:cs="Times New Roman"/>
          <w:sz w:val="32"/>
          <w:szCs w:val="32"/>
        </w:rPr>
        <w:t>产生</w:t>
      </w:r>
      <w:r w:rsidRPr="000C615B">
        <w:rPr>
          <w:rFonts w:ascii="Times New Roman" w:eastAsia="仿宋_GB2312" w:hAnsi="Times New Roman" w:cs="Times New Roman" w:hint="eastAsia"/>
          <w:sz w:val="32"/>
          <w:szCs w:val="32"/>
        </w:rPr>
        <w:t>较大</w:t>
      </w:r>
      <w:r w:rsidRPr="000C615B">
        <w:rPr>
          <w:rFonts w:ascii="Times New Roman" w:eastAsia="仿宋_GB2312" w:hAnsi="Times New Roman" w:cs="Times New Roman"/>
          <w:sz w:val="32"/>
          <w:szCs w:val="32"/>
        </w:rPr>
        <w:t>影响。</w:t>
      </w:r>
    </w:p>
    <w:p w14:paraId="4AA3D606" w14:textId="4C10D9B4" w:rsidR="00955AF5" w:rsidRDefault="000C615B" w:rsidP="00955AF5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C615B">
        <w:rPr>
          <w:rFonts w:ascii="Times New Roman" w:eastAsia="仿宋_GB2312" w:hAnsi="Times New Roman" w:cs="Times New Roman"/>
          <w:sz w:val="32"/>
          <w:szCs w:val="32"/>
        </w:rPr>
        <w:t>参考国内外</w:t>
      </w:r>
      <w:r w:rsidRPr="000C615B">
        <w:rPr>
          <w:rFonts w:ascii="Times New Roman" w:eastAsia="仿宋_GB2312" w:hAnsi="Times New Roman" w:cs="Times New Roman" w:hint="eastAsia"/>
          <w:sz w:val="32"/>
          <w:szCs w:val="32"/>
        </w:rPr>
        <w:t>药典、</w:t>
      </w:r>
      <w:r w:rsidRPr="000C615B">
        <w:rPr>
          <w:rFonts w:ascii="Times New Roman" w:eastAsia="仿宋_GB2312" w:hAnsi="Times New Roman" w:cs="Times New Roman"/>
          <w:sz w:val="32"/>
          <w:szCs w:val="32"/>
        </w:rPr>
        <w:t>相关行业指南</w:t>
      </w:r>
      <w:r w:rsidRPr="000C615B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Pr="000C615B">
        <w:rPr>
          <w:rFonts w:ascii="Times New Roman" w:eastAsia="仿宋_GB2312" w:hAnsi="Times New Roman" w:cs="Times New Roman" w:hint="eastAsia"/>
          <w:sz w:val="32"/>
          <w:szCs w:val="32"/>
        </w:rPr>
        <w:t>ICH</w:t>
      </w:r>
      <w:r w:rsidRPr="000C615B">
        <w:rPr>
          <w:rFonts w:ascii="Times New Roman" w:eastAsia="仿宋_GB2312" w:hAnsi="Times New Roman" w:cs="Times New Roman"/>
          <w:sz w:val="32"/>
          <w:szCs w:val="32"/>
        </w:rPr>
        <w:t>相关技术</w:t>
      </w:r>
      <w:r w:rsidRPr="000C615B">
        <w:rPr>
          <w:rFonts w:ascii="Times New Roman" w:eastAsia="仿宋_GB2312" w:hAnsi="Times New Roman" w:cs="Times New Roman" w:hint="eastAsia"/>
          <w:sz w:val="32"/>
          <w:szCs w:val="32"/>
        </w:rPr>
        <w:t>要求等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B03475">
        <w:rPr>
          <w:rFonts w:ascii="Times New Roman" w:eastAsia="仿宋_GB2312" w:hAnsi="Times New Roman" w:cs="Times New Roman"/>
          <w:sz w:val="32"/>
          <w:szCs w:val="32"/>
        </w:rPr>
        <w:t>我中心起草了本指导原则</w:t>
      </w:r>
      <w:r w:rsidR="00084616" w:rsidRPr="00084616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15187D5" w14:textId="77777777" w:rsidR="00183F48" w:rsidRDefault="00183F48" w:rsidP="00183F48">
      <w:pPr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Pr="00B03475"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起草</w:t>
      </w:r>
      <w:r>
        <w:rPr>
          <w:rFonts w:ascii="Times New Roman" w:eastAsia="黑体" w:hAnsi="Times New Roman" w:cs="Times New Roman"/>
          <w:sz w:val="32"/>
          <w:szCs w:val="32"/>
        </w:rPr>
        <w:t>过程</w:t>
      </w:r>
    </w:p>
    <w:p w14:paraId="4EC8059C" w14:textId="09C095D8" w:rsidR="00183F48" w:rsidRPr="005615A0" w:rsidRDefault="00183F48" w:rsidP="00183F48">
      <w:pPr>
        <w:snapToGrid w:val="0"/>
        <w:spacing w:line="360" w:lineRule="auto"/>
        <w:ind w:firstLineChars="152" w:firstLine="486"/>
        <w:rPr>
          <w:rFonts w:ascii="Times New Roman" w:eastAsia="仿宋_GB2312" w:hAnsi="Times New Roman" w:cs="Times New Roman"/>
          <w:sz w:val="32"/>
          <w:szCs w:val="32"/>
        </w:rPr>
      </w:pPr>
      <w:r w:rsidRPr="005615A0">
        <w:rPr>
          <w:rFonts w:ascii="Times New Roman" w:eastAsia="仿宋_GB2312" w:hAnsi="Times New Roman" w:cs="Times New Roman"/>
          <w:sz w:val="32"/>
          <w:szCs w:val="32"/>
        </w:rPr>
        <w:t>本指导原则纳入</w:t>
      </w:r>
      <w:r w:rsidRPr="005615A0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5615A0">
        <w:rPr>
          <w:rFonts w:ascii="Times New Roman" w:eastAsia="仿宋_GB2312" w:hAnsi="Times New Roman" w:cs="Times New Roman"/>
          <w:sz w:val="32"/>
          <w:szCs w:val="32"/>
        </w:rPr>
        <w:t>年药品审评中心指导原则工作计划，经初稿起草和修改、初步征求专家意见后，于</w:t>
      </w:r>
      <w:r w:rsidRPr="005615A0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5615A0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5615A0">
        <w:rPr>
          <w:rFonts w:ascii="Times New Roman" w:eastAsia="仿宋_GB2312" w:hAnsi="Times New Roman" w:cs="Times New Roman"/>
          <w:sz w:val="32"/>
          <w:szCs w:val="32"/>
        </w:rPr>
        <w:t>9</w:t>
      </w:r>
      <w:r w:rsidRPr="005615A0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615A0">
        <w:rPr>
          <w:rFonts w:ascii="Times New Roman" w:eastAsia="仿宋_GB2312" w:hAnsi="Times New Roman" w:cs="Times New Roman"/>
          <w:sz w:val="32"/>
          <w:szCs w:val="32"/>
        </w:rPr>
        <w:t>14</w:t>
      </w:r>
      <w:r w:rsidRPr="005615A0">
        <w:rPr>
          <w:rFonts w:ascii="Times New Roman" w:eastAsia="仿宋_GB2312" w:hAnsi="Times New Roman" w:cs="Times New Roman"/>
          <w:sz w:val="32"/>
          <w:szCs w:val="32"/>
        </w:rPr>
        <w:t>日召开专家讨论会，经过与</w:t>
      </w:r>
      <w:r w:rsidRPr="005615A0">
        <w:rPr>
          <w:rFonts w:ascii="Times New Roman" w:eastAsia="仿宋_GB2312" w:hAnsi="Times New Roman" w:cs="Times New Roman" w:hint="eastAsia"/>
          <w:sz w:val="32"/>
          <w:szCs w:val="32"/>
        </w:rPr>
        <w:t>中检院、</w:t>
      </w:r>
      <w:r w:rsidRPr="005615A0">
        <w:rPr>
          <w:rFonts w:ascii="Times New Roman" w:eastAsia="仿宋_GB2312" w:hAnsi="Times New Roman" w:cs="Times New Roman"/>
          <w:sz w:val="32"/>
          <w:szCs w:val="32"/>
        </w:rPr>
        <w:t>药典委、核查中心、</w:t>
      </w:r>
    </w:p>
    <w:p w14:paraId="3D7CB1AC" w14:textId="6168B475" w:rsidR="00183F48" w:rsidRPr="00183F48" w:rsidRDefault="00183F48" w:rsidP="00183F48">
      <w:pPr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5615A0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药检所</w:t>
      </w:r>
      <w:r w:rsidRPr="005615A0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5615A0">
        <w:rPr>
          <w:rFonts w:ascii="Times New Roman" w:eastAsia="仿宋_GB2312" w:hAnsi="Times New Roman" w:cs="Times New Roman" w:hint="eastAsia"/>
          <w:sz w:val="32"/>
          <w:szCs w:val="32"/>
        </w:rPr>
        <w:t>原辅料及</w:t>
      </w:r>
      <w:r w:rsidRPr="005615A0">
        <w:rPr>
          <w:rFonts w:ascii="Times New Roman" w:eastAsia="仿宋_GB2312" w:hAnsi="Times New Roman" w:cs="Times New Roman"/>
          <w:sz w:val="32"/>
          <w:szCs w:val="32"/>
        </w:rPr>
        <w:t>制剂企业代表会议讨论，形成征求意见稿。</w:t>
      </w:r>
    </w:p>
    <w:p w14:paraId="59C7332D" w14:textId="6A30DB4E" w:rsidR="00084616" w:rsidRPr="00955AF5" w:rsidRDefault="00F91E86" w:rsidP="00955AF5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BF557A">
        <w:rPr>
          <w:rFonts w:ascii="Times New Roman" w:eastAsia="黑体" w:hAnsi="Times New Roman" w:cs="Times New Roman"/>
          <w:sz w:val="32"/>
          <w:szCs w:val="32"/>
        </w:rPr>
        <w:t>、</w:t>
      </w:r>
      <w:r w:rsidR="00251ADD">
        <w:rPr>
          <w:rFonts w:ascii="Times New Roman" w:eastAsia="黑体" w:hAnsi="Times New Roman" w:cs="Times New Roman" w:hint="eastAsia"/>
          <w:sz w:val="32"/>
          <w:szCs w:val="32"/>
        </w:rPr>
        <w:t>主要内容</w:t>
      </w:r>
      <w:r w:rsidR="00251ADD">
        <w:rPr>
          <w:rFonts w:ascii="Times New Roman" w:eastAsia="黑体" w:hAnsi="Times New Roman" w:cs="Times New Roman"/>
          <w:sz w:val="32"/>
          <w:szCs w:val="32"/>
        </w:rPr>
        <w:t>与说明</w:t>
      </w:r>
    </w:p>
    <w:p w14:paraId="4A0326FB" w14:textId="762F33F2" w:rsidR="00084616" w:rsidRPr="00B03475" w:rsidRDefault="00084616" w:rsidP="00955AF5">
      <w:pPr>
        <w:widowControl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03475">
        <w:rPr>
          <w:rFonts w:ascii="Times New Roman" w:eastAsia="仿宋_GB2312" w:hAnsi="Times New Roman" w:cs="Times New Roman"/>
          <w:sz w:val="32"/>
          <w:szCs w:val="32"/>
        </w:rPr>
        <w:t>本指导原则主要内容包括概述、</w:t>
      </w:r>
      <w:r w:rsidR="003D39D3" w:rsidRPr="003D39D3">
        <w:rPr>
          <w:rFonts w:ascii="Times New Roman" w:eastAsia="仿宋_GB2312" w:hAnsi="Times New Roman" w:cs="Times New Roman" w:hint="eastAsia"/>
          <w:sz w:val="32"/>
          <w:szCs w:val="32"/>
        </w:rPr>
        <w:t>非无菌原辅料</w:t>
      </w:r>
      <w:r w:rsidR="003D39D3" w:rsidRPr="003D39D3">
        <w:rPr>
          <w:rFonts w:ascii="Times New Roman" w:eastAsia="仿宋_GB2312" w:hAnsi="Times New Roman" w:cs="Times New Roman"/>
          <w:sz w:val="32"/>
          <w:szCs w:val="32"/>
        </w:rPr>
        <w:t>微生物限度研究</w:t>
      </w:r>
      <w:r w:rsidRPr="003D39D3">
        <w:rPr>
          <w:rFonts w:ascii="Times New Roman" w:eastAsia="仿宋_GB2312" w:hAnsi="Times New Roman" w:cs="Times New Roman"/>
          <w:sz w:val="32"/>
          <w:szCs w:val="32"/>
        </w:rPr>
        <w:t>、</w:t>
      </w:r>
      <w:r w:rsidR="003D39D3" w:rsidRPr="003D39D3">
        <w:rPr>
          <w:rFonts w:ascii="Times New Roman" w:eastAsia="仿宋_GB2312" w:hAnsi="Times New Roman" w:cs="Times New Roman" w:hint="eastAsia"/>
          <w:sz w:val="32"/>
          <w:szCs w:val="32"/>
        </w:rPr>
        <w:t>非无菌化学</w:t>
      </w:r>
      <w:r w:rsidR="003D39D3" w:rsidRPr="003D39D3">
        <w:rPr>
          <w:rFonts w:ascii="Times New Roman" w:eastAsia="仿宋_GB2312" w:hAnsi="Times New Roman" w:cs="Times New Roman"/>
          <w:sz w:val="32"/>
          <w:szCs w:val="32"/>
        </w:rPr>
        <w:t>药品微生物限度</w:t>
      </w:r>
      <w:r w:rsidR="003D39D3" w:rsidRPr="003D39D3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Pr="003D39D3">
        <w:rPr>
          <w:rFonts w:ascii="Times New Roman" w:eastAsia="仿宋_GB2312" w:hAnsi="Times New Roman" w:cs="Times New Roman"/>
          <w:sz w:val="32"/>
          <w:szCs w:val="32"/>
        </w:rPr>
        <w:t>、</w:t>
      </w:r>
      <w:r w:rsidR="003D39D3" w:rsidRPr="003D39D3">
        <w:rPr>
          <w:rFonts w:ascii="Times New Roman" w:eastAsia="仿宋_GB2312" w:hAnsi="Times New Roman" w:cs="Times New Roman" w:hint="eastAsia"/>
          <w:sz w:val="32"/>
          <w:szCs w:val="32"/>
        </w:rPr>
        <w:t>微生物限度</w:t>
      </w:r>
      <w:r w:rsidR="003D39D3" w:rsidRPr="003D39D3">
        <w:rPr>
          <w:rFonts w:ascii="Times New Roman" w:eastAsia="仿宋_GB2312" w:hAnsi="Times New Roman" w:cs="Times New Roman"/>
          <w:sz w:val="32"/>
          <w:szCs w:val="32"/>
        </w:rPr>
        <w:t>研究的其他关注点、</w:t>
      </w:r>
      <w:r w:rsidR="003D39D3" w:rsidRPr="003D39D3">
        <w:rPr>
          <w:rFonts w:ascii="Times New Roman" w:eastAsia="仿宋_GB2312" w:hAnsi="Times New Roman" w:cs="Times New Roman" w:hint="eastAsia"/>
          <w:sz w:val="32"/>
          <w:szCs w:val="32"/>
        </w:rPr>
        <w:t>微生物限度</w:t>
      </w:r>
      <w:r w:rsidR="003D39D3" w:rsidRPr="003D39D3">
        <w:rPr>
          <w:rFonts w:ascii="Times New Roman" w:eastAsia="仿宋_GB2312" w:hAnsi="Times New Roman" w:cs="Times New Roman"/>
          <w:sz w:val="32"/>
          <w:szCs w:val="32"/>
        </w:rPr>
        <w:t>申报资料要求、名词术语</w:t>
      </w:r>
      <w:r w:rsidRPr="003D39D3">
        <w:rPr>
          <w:rFonts w:ascii="Times New Roman" w:eastAsia="仿宋_GB2312" w:hAnsi="Times New Roman" w:cs="Times New Roman"/>
          <w:sz w:val="32"/>
          <w:szCs w:val="32"/>
        </w:rPr>
        <w:t>及</w:t>
      </w:r>
      <w:r w:rsidRPr="00B03475">
        <w:rPr>
          <w:rFonts w:ascii="Times New Roman" w:eastAsia="仿宋_GB2312" w:hAnsi="Times New Roman" w:cs="Times New Roman"/>
          <w:sz w:val="32"/>
          <w:szCs w:val="32"/>
        </w:rPr>
        <w:t>参考文献</w:t>
      </w:r>
      <w:r w:rsidR="003D39D3">
        <w:rPr>
          <w:rFonts w:ascii="Times New Roman" w:eastAsia="仿宋_GB2312" w:hAnsi="Times New Roman" w:cs="Times New Roman" w:hint="eastAsia"/>
          <w:sz w:val="32"/>
          <w:szCs w:val="32"/>
        </w:rPr>
        <w:t>七</w:t>
      </w:r>
      <w:r w:rsidRPr="00B03475">
        <w:rPr>
          <w:rFonts w:ascii="Times New Roman" w:eastAsia="仿宋_GB2312" w:hAnsi="Times New Roman" w:cs="Times New Roman"/>
          <w:sz w:val="32"/>
          <w:szCs w:val="32"/>
        </w:rPr>
        <w:t>个部分。</w:t>
      </w:r>
    </w:p>
    <w:p w14:paraId="75FB38A8" w14:textId="77777777" w:rsidR="00084616" w:rsidRPr="003D5D5D" w:rsidRDefault="00084616" w:rsidP="00955AF5">
      <w:pPr>
        <w:widowControl/>
        <w:snapToGrid w:val="0"/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 w:rsidRPr="003D5D5D">
        <w:rPr>
          <w:rFonts w:ascii="Times New Roman" w:eastAsia="楷体" w:hAnsi="Times New Roman" w:cs="Times New Roman"/>
          <w:bCs/>
          <w:sz w:val="32"/>
          <w:szCs w:val="32"/>
        </w:rPr>
        <w:t>1</w:t>
      </w:r>
      <w:r w:rsidRPr="003D5D5D">
        <w:rPr>
          <w:rFonts w:ascii="Times New Roman" w:eastAsia="楷体" w:hAnsi="Times New Roman" w:cs="Times New Roman"/>
          <w:bCs/>
          <w:sz w:val="32"/>
          <w:szCs w:val="32"/>
        </w:rPr>
        <w:t>、概述部分</w:t>
      </w:r>
    </w:p>
    <w:p w14:paraId="41B97E31" w14:textId="52819353" w:rsidR="00084616" w:rsidRPr="00B03475" w:rsidRDefault="00084616" w:rsidP="00955AF5">
      <w:pPr>
        <w:widowControl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03475">
        <w:rPr>
          <w:rFonts w:ascii="Times New Roman" w:eastAsia="仿宋_GB2312" w:hAnsi="Times New Roman" w:cs="Times New Roman"/>
          <w:sz w:val="32"/>
          <w:szCs w:val="32"/>
        </w:rPr>
        <w:t>对</w:t>
      </w:r>
      <w:r w:rsidR="003D39D3" w:rsidRPr="00B03475">
        <w:rPr>
          <w:rFonts w:ascii="Times New Roman" w:eastAsia="仿宋_GB2312" w:hAnsi="Times New Roman" w:cs="Times New Roman"/>
          <w:sz w:val="32"/>
          <w:szCs w:val="32"/>
        </w:rPr>
        <w:t>本指导原则</w:t>
      </w:r>
      <w:r w:rsidR="003D39D3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3D39D3">
        <w:rPr>
          <w:rFonts w:ascii="Times New Roman" w:eastAsia="仿宋_GB2312" w:hAnsi="Times New Roman" w:cs="Times New Roman"/>
          <w:sz w:val="32"/>
          <w:szCs w:val="32"/>
        </w:rPr>
        <w:t>拟定背景</w:t>
      </w:r>
      <w:r w:rsidRPr="00B03475">
        <w:rPr>
          <w:rFonts w:ascii="Times New Roman" w:eastAsia="仿宋_GB2312" w:hAnsi="Times New Roman" w:cs="Times New Roman"/>
          <w:sz w:val="32"/>
          <w:szCs w:val="32"/>
        </w:rPr>
        <w:t>及适用范围进行了</w:t>
      </w:r>
      <w:r w:rsidR="00EC40FF">
        <w:rPr>
          <w:rFonts w:ascii="Times New Roman" w:eastAsia="仿宋_GB2312" w:hAnsi="Times New Roman" w:cs="Times New Roman" w:hint="eastAsia"/>
          <w:sz w:val="32"/>
          <w:szCs w:val="32"/>
        </w:rPr>
        <w:t>阐述</w:t>
      </w:r>
      <w:r w:rsidRPr="00B03475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7E753F3" w14:textId="4C1AE4E4" w:rsidR="003D39D3" w:rsidRPr="003D5D5D" w:rsidRDefault="003D39D3" w:rsidP="00955AF5">
      <w:pPr>
        <w:widowControl/>
        <w:snapToGrid w:val="0"/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 w:rsidRPr="003D5D5D">
        <w:rPr>
          <w:rFonts w:ascii="Times New Roman" w:eastAsia="楷体" w:hAnsi="Times New Roman" w:cs="Times New Roman"/>
          <w:bCs/>
          <w:sz w:val="32"/>
          <w:szCs w:val="32"/>
        </w:rPr>
        <w:t>2</w:t>
      </w:r>
      <w:r w:rsidRPr="003D5D5D">
        <w:rPr>
          <w:rFonts w:ascii="Times New Roman" w:eastAsia="楷体" w:hAnsi="Times New Roman" w:cs="Times New Roman"/>
          <w:bCs/>
          <w:sz w:val="32"/>
          <w:szCs w:val="32"/>
        </w:rPr>
        <w:t>、</w:t>
      </w:r>
      <w:r w:rsidRPr="003D5D5D">
        <w:rPr>
          <w:rFonts w:ascii="Times New Roman" w:eastAsia="楷体" w:hAnsi="Times New Roman" w:cs="Times New Roman" w:hint="eastAsia"/>
          <w:bCs/>
          <w:sz w:val="32"/>
          <w:szCs w:val="32"/>
        </w:rPr>
        <w:t>非无菌原辅料</w:t>
      </w:r>
      <w:r w:rsidRPr="003D5D5D">
        <w:rPr>
          <w:rFonts w:ascii="Times New Roman" w:eastAsia="楷体" w:hAnsi="Times New Roman" w:cs="Times New Roman"/>
          <w:bCs/>
          <w:sz w:val="32"/>
          <w:szCs w:val="32"/>
        </w:rPr>
        <w:t>微生物限度研究</w:t>
      </w:r>
    </w:p>
    <w:p w14:paraId="4C27968A" w14:textId="295F221E" w:rsidR="00EC40FF" w:rsidRDefault="00EC40FF" w:rsidP="00EC40FF">
      <w:pPr>
        <w:widowControl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03475">
        <w:rPr>
          <w:rFonts w:ascii="Times New Roman" w:eastAsia="仿宋_GB2312" w:hAnsi="Times New Roman" w:cs="Times New Roman"/>
          <w:sz w:val="32"/>
          <w:szCs w:val="32"/>
        </w:rPr>
        <w:t>主要对</w:t>
      </w:r>
      <w:r w:rsidRPr="00567925">
        <w:rPr>
          <w:rFonts w:ascii="Times New Roman" w:eastAsia="仿宋_GB2312" w:hAnsi="Times New Roman" w:cs="Times New Roman" w:hint="eastAsia"/>
          <w:sz w:val="32"/>
          <w:szCs w:val="32"/>
        </w:rPr>
        <w:t>非无菌原辅料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Pr="00621CD4">
        <w:rPr>
          <w:rFonts w:ascii="Times New Roman" w:eastAsia="仿宋_GB2312" w:hAnsi="Times New Roman" w:cs="Times New Roman" w:hint="eastAsia"/>
          <w:sz w:val="32"/>
          <w:szCs w:val="32"/>
        </w:rPr>
        <w:t>微生物控制策略建立时</w:t>
      </w:r>
      <w:r w:rsidRPr="00621CD4">
        <w:rPr>
          <w:rFonts w:ascii="Times New Roman" w:eastAsia="仿宋_GB2312" w:hAnsi="Times New Roman" w:cs="Times New Roman"/>
          <w:sz w:val="32"/>
          <w:szCs w:val="32"/>
        </w:rPr>
        <w:t>需进行的风险评估</w:t>
      </w:r>
      <w:r w:rsidR="007A3A94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="007A3A94">
        <w:rPr>
          <w:rFonts w:ascii="Times New Roman" w:eastAsia="仿宋_GB2312" w:hAnsi="Times New Roman" w:cs="Times New Roman"/>
          <w:sz w:val="32"/>
          <w:szCs w:val="32"/>
        </w:rPr>
        <w:t>控制策略</w:t>
      </w:r>
      <w:r w:rsidRPr="00621CD4">
        <w:rPr>
          <w:rFonts w:ascii="Times New Roman" w:eastAsia="仿宋_GB2312" w:hAnsi="Times New Roman" w:cs="Times New Roman"/>
          <w:sz w:val="32"/>
          <w:szCs w:val="32"/>
        </w:rPr>
        <w:t>进行了明确，</w:t>
      </w:r>
      <w:r w:rsidRPr="00621CD4">
        <w:rPr>
          <w:rFonts w:ascii="Times New Roman" w:eastAsia="仿宋_GB2312" w:hAnsi="Times New Roman" w:cs="Times New Roman" w:hint="eastAsia"/>
          <w:sz w:val="32"/>
          <w:szCs w:val="32"/>
        </w:rPr>
        <w:t>参考</w:t>
      </w:r>
      <w:r w:rsidRPr="00621CD4">
        <w:rPr>
          <w:rFonts w:ascii="Times New Roman" w:eastAsia="仿宋_GB2312" w:hAnsi="Times New Roman" w:cs="Times New Roman" w:hint="eastAsia"/>
          <w:sz w:val="32"/>
          <w:szCs w:val="32"/>
        </w:rPr>
        <w:t>ICH Q6A</w:t>
      </w:r>
      <w:r w:rsidRPr="00621CD4">
        <w:rPr>
          <w:rFonts w:ascii="Times New Roman" w:eastAsia="仿宋_GB2312" w:hAnsi="Times New Roman" w:cs="Times New Roman" w:hint="eastAsia"/>
          <w:sz w:val="32"/>
          <w:szCs w:val="32"/>
        </w:rPr>
        <w:t>决策树阐述了微生物限度</w:t>
      </w:r>
      <w:r w:rsidRPr="00621CD4">
        <w:rPr>
          <w:rFonts w:ascii="Times New Roman" w:eastAsia="仿宋_GB2312" w:hAnsi="Times New Roman" w:cs="Times New Roman"/>
          <w:sz w:val="32"/>
          <w:szCs w:val="32"/>
        </w:rPr>
        <w:t>控制的层级关系，</w:t>
      </w:r>
      <w:r w:rsidRPr="00621CD4">
        <w:rPr>
          <w:rFonts w:ascii="Times New Roman" w:eastAsia="仿宋_GB2312" w:hAnsi="Times New Roman" w:cs="Times New Roman" w:hint="eastAsia"/>
          <w:sz w:val="32"/>
          <w:szCs w:val="32"/>
        </w:rPr>
        <w:t>明确了</w:t>
      </w:r>
      <w:r w:rsidRPr="00621CD4">
        <w:rPr>
          <w:rFonts w:ascii="Times New Roman" w:eastAsia="仿宋_GB2312" w:hAnsi="Times New Roman" w:cs="Times New Roman"/>
          <w:sz w:val="32"/>
          <w:szCs w:val="32"/>
        </w:rPr>
        <w:t>可选择的</w:t>
      </w:r>
      <w:r w:rsidRPr="00621CD4">
        <w:rPr>
          <w:rFonts w:ascii="Times New Roman" w:eastAsia="仿宋_GB2312" w:hAnsi="Times New Roman" w:cs="Times New Roman" w:hint="eastAsia"/>
          <w:sz w:val="32"/>
          <w:szCs w:val="32"/>
        </w:rPr>
        <w:t>检测</w:t>
      </w:r>
      <w:r w:rsidRPr="00621CD4">
        <w:rPr>
          <w:rFonts w:ascii="Times New Roman" w:eastAsia="仿宋_GB2312" w:hAnsi="Times New Roman" w:cs="Times New Roman"/>
          <w:sz w:val="32"/>
          <w:szCs w:val="32"/>
        </w:rPr>
        <w:t>方法及限度拟定时需考虑的因素，并从过程控制的角度进一步阐述了如何在生产过程中</w:t>
      </w:r>
      <w:r w:rsidRPr="00621CD4">
        <w:rPr>
          <w:rFonts w:ascii="Times New Roman" w:eastAsia="仿宋_GB2312" w:hAnsi="Times New Roman" w:cs="Times New Roman" w:hint="eastAsia"/>
          <w:sz w:val="32"/>
          <w:szCs w:val="32"/>
        </w:rPr>
        <w:t>更好</w:t>
      </w:r>
      <w:r w:rsidRPr="00621CD4">
        <w:rPr>
          <w:rFonts w:ascii="Times New Roman" w:eastAsia="仿宋_GB2312" w:hAnsi="Times New Roman" w:cs="Times New Roman"/>
          <w:sz w:val="32"/>
          <w:szCs w:val="32"/>
        </w:rPr>
        <w:t>的对微生物</w:t>
      </w:r>
      <w:r w:rsidRPr="00621CD4">
        <w:rPr>
          <w:rFonts w:ascii="Times New Roman" w:eastAsia="仿宋_GB2312" w:hAnsi="Times New Roman" w:cs="Times New Roman" w:hint="eastAsia"/>
          <w:sz w:val="32"/>
          <w:szCs w:val="32"/>
        </w:rPr>
        <w:t>污染</w:t>
      </w:r>
      <w:r w:rsidRPr="00621CD4">
        <w:rPr>
          <w:rFonts w:ascii="Times New Roman" w:eastAsia="仿宋_GB2312" w:hAnsi="Times New Roman" w:cs="Times New Roman"/>
          <w:sz w:val="32"/>
          <w:szCs w:val="32"/>
        </w:rPr>
        <w:t>风险进行控制。</w:t>
      </w:r>
    </w:p>
    <w:p w14:paraId="25C71077" w14:textId="6A67BC34" w:rsidR="00EC40FF" w:rsidRDefault="003E0635" w:rsidP="00EC40FF">
      <w:pPr>
        <w:widowControl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强调了</w:t>
      </w:r>
      <w:r w:rsidR="00EC40FF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="00EC40FF">
        <w:rPr>
          <w:rFonts w:ascii="Times New Roman" w:eastAsia="仿宋_GB2312" w:hAnsi="Times New Roman" w:cs="Times New Roman"/>
          <w:sz w:val="32"/>
          <w:szCs w:val="32"/>
        </w:rPr>
        <w:t>单位</w:t>
      </w:r>
      <w:r w:rsidR="00EC40FF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EC40FF">
        <w:rPr>
          <w:rFonts w:ascii="Times New Roman" w:eastAsia="仿宋_GB2312" w:hAnsi="Times New Roman" w:cs="Times New Roman"/>
          <w:sz w:val="32"/>
          <w:szCs w:val="32"/>
        </w:rPr>
        <w:t>负主体责任</w:t>
      </w:r>
      <w:r w:rsidR="00EC40F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7A3A94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EC40FF">
        <w:rPr>
          <w:rFonts w:ascii="Times New Roman" w:eastAsia="仿宋_GB2312" w:hAnsi="Times New Roman" w:cs="Times New Roman" w:hint="eastAsia"/>
          <w:sz w:val="32"/>
          <w:szCs w:val="32"/>
        </w:rPr>
        <w:t>结合</w:t>
      </w:r>
      <w:r w:rsidR="00EC40FF">
        <w:rPr>
          <w:rFonts w:ascii="Times New Roman" w:eastAsia="仿宋_GB2312" w:hAnsi="Times New Roman" w:cs="Times New Roman"/>
          <w:sz w:val="32"/>
          <w:szCs w:val="32"/>
        </w:rPr>
        <w:t>风险评估</w:t>
      </w:r>
      <w:r w:rsidR="00EC40FF">
        <w:rPr>
          <w:rFonts w:ascii="Times New Roman" w:eastAsia="仿宋_GB2312" w:hAnsi="Times New Roman" w:cs="Times New Roman" w:hint="eastAsia"/>
          <w:sz w:val="32"/>
          <w:szCs w:val="32"/>
        </w:rPr>
        <w:t>结果制定合理</w:t>
      </w:r>
      <w:r w:rsidR="00EC40FF">
        <w:rPr>
          <w:rFonts w:ascii="Times New Roman" w:eastAsia="仿宋_GB2312" w:hAnsi="Times New Roman" w:cs="Times New Roman"/>
          <w:sz w:val="32"/>
          <w:szCs w:val="32"/>
        </w:rPr>
        <w:t>的</w:t>
      </w:r>
      <w:r w:rsidR="00EC40FF">
        <w:rPr>
          <w:rFonts w:ascii="Times New Roman" w:eastAsia="仿宋_GB2312" w:hAnsi="Times New Roman" w:cs="Times New Roman" w:hint="eastAsia"/>
          <w:sz w:val="32"/>
          <w:szCs w:val="32"/>
        </w:rPr>
        <w:t>微生物限度控制策略</w:t>
      </w:r>
      <w:r w:rsidR="007A3A94">
        <w:rPr>
          <w:rFonts w:ascii="Times New Roman" w:eastAsia="仿宋_GB2312" w:hAnsi="Times New Roman" w:cs="Times New Roman" w:hint="eastAsia"/>
          <w:sz w:val="32"/>
          <w:szCs w:val="32"/>
        </w:rPr>
        <w:t>并应有</w:t>
      </w:r>
      <w:r w:rsidR="007A3A94">
        <w:rPr>
          <w:rFonts w:ascii="Times New Roman" w:eastAsia="仿宋_GB2312" w:hAnsi="Times New Roman" w:cs="Times New Roman"/>
          <w:sz w:val="32"/>
          <w:szCs w:val="32"/>
        </w:rPr>
        <w:t>足够的数据支持</w:t>
      </w:r>
      <w:r w:rsidR="00EC40FF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EC40FF" w:rsidRPr="0086494D">
        <w:rPr>
          <w:rFonts w:ascii="Times New Roman" w:eastAsia="仿宋_GB2312" w:hAnsi="Times New Roman" w:cs="Times New Roman" w:hint="eastAsia"/>
          <w:sz w:val="32"/>
          <w:szCs w:val="32"/>
        </w:rPr>
        <w:t>例如：某化学合成的原料药，国内外药典均未收载，也无足够的科学数据表明能抑制微生物生长或存活</w:t>
      </w:r>
      <w:r w:rsidR="00190107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EC40FF" w:rsidRPr="0086494D">
        <w:rPr>
          <w:rFonts w:ascii="Times New Roman" w:eastAsia="仿宋_GB2312" w:hAnsi="Times New Roman" w:cs="Times New Roman" w:hint="eastAsia"/>
          <w:sz w:val="32"/>
          <w:szCs w:val="32"/>
        </w:rPr>
        <w:t>申报单位在研发过程中建立了符合中国药典要求的微生物检查方法，并对三批工艺验证样品进行了微生物限度检查，结果均小于可接受标准。申报单位考虑到现有检测批次有限，经评估后认为存在一定</w:t>
      </w:r>
      <w:r w:rsidR="00EC40FF" w:rsidRPr="0086494D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的风险，在注册申报时将微生物限度检查订入货架期标准并逐批检测。</w:t>
      </w:r>
    </w:p>
    <w:p w14:paraId="60CF6106" w14:textId="57ADADBB" w:rsidR="00EC40FF" w:rsidRPr="00621CD4" w:rsidRDefault="00EC40FF" w:rsidP="00EC40FF">
      <w:pPr>
        <w:widowControl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微生物</w:t>
      </w:r>
      <w:r>
        <w:rPr>
          <w:rFonts w:ascii="Times New Roman" w:eastAsia="仿宋_GB2312" w:hAnsi="Times New Roman" w:cs="Times New Roman"/>
          <w:sz w:val="32"/>
          <w:szCs w:val="32"/>
        </w:rPr>
        <w:t>限度检查可使用经验证的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替代方法。包括</w:t>
      </w:r>
      <w:r w:rsidRPr="00D4539B">
        <w:rPr>
          <w:rFonts w:ascii="Times New Roman" w:eastAsia="仿宋_GB2312" w:hAnsi="Times New Roman" w:cs="Times New Roman" w:hint="eastAsia"/>
          <w:sz w:val="32"/>
          <w:szCs w:val="32"/>
        </w:rPr>
        <w:t>基于微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生物生长信息的检验技术，如生物发光技术、电化学技术、比浊法等；</w:t>
      </w:r>
      <w:r w:rsidRPr="00D4539B">
        <w:rPr>
          <w:rFonts w:ascii="Times New Roman" w:eastAsia="仿宋_GB2312" w:hAnsi="Times New Roman" w:cs="Times New Roman" w:hint="eastAsia"/>
          <w:sz w:val="32"/>
          <w:szCs w:val="32"/>
        </w:rPr>
        <w:t>直接测定被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测介质中活微生物的检验技术，如固相细胞计数法、流式细胞计数法等；</w:t>
      </w:r>
      <w:r w:rsidRPr="00D4539B">
        <w:rPr>
          <w:rFonts w:ascii="Times New Roman" w:eastAsia="仿宋_GB2312" w:hAnsi="Times New Roman" w:cs="Times New Roman" w:hint="eastAsia"/>
          <w:sz w:val="32"/>
          <w:szCs w:val="32"/>
        </w:rPr>
        <w:t>基于微生物细胞所含有特定组成成份的分析技术，如脂肪酸测定技术、核酸扩增技术、基因指纹分析技术等</w:t>
      </w:r>
      <w:r w:rsidR="003E0635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3E0635">
        <w:rPr>
          <w:rFonts w:ascii="Times New Roman" w:eastAsia="仿宋_GB2312" w:hAnsi="Times New Roman" w:cs="Times New Roman"/>
          <w:sz w:val="32"/>
          <w:szCs w:val="32"/>
        </w:rPr>
        <w:t>上述</w:t>
      </w:r>
      <w:r w:rsidR="003E0635">
        <w:rPr>
          <w:rFonts w:ascii="Times New Roman" w:eastAsia="仿宋_GB2312" w:hAnsi="Times New Roman" w:cs="Times New Roman" w:hint="eastAsia"/>
          <w:sz w:val="32"/>
          <w:szCs w:val="32"/>
        </w:rPr>
        <w:t>方法来源于中国药典</w:t>
      </w:r>
      <w:r w:rsidR="00CE0D15">
        <w:rPr>
          <w:rFonts w:ascii="Times New Roman" w:eastAsia="仿宋_GB2312" w:hAnsi="Times New Roman" w:cs="Times New Roman" w:hint="eastAsia"/>
          <w:sz w:val="32"/>
          <w:szCs w:val="32"/>
        </w:rPr>
        <w:t>四部指导原则</w:t>
      </w:r>
      <w:r w:rsidR="00CE0D15">
        <w:rPr>
          <w:rFonts w:ascii="Times New Roman" w:eastAsia="仿宋_GB2312" w:hAnsi="Times New Roman" w:cs="Times New Roman" w:hint="eastAsia"/>
          <w:sz w:val="32"/>
          <w:szCs w:val="32"/>
        </w:rPr>
        <w:t>9201</w:t>
      </w:r>
      <w:r w:rsidRPr="00D4539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B5F1701" w14:textId="77777777" w:rsidR="00621CD4" w:rsidRPr="003D5D5D" w:rsidRDefault="00621CD4" w:rsidP="00955AF5">
      <w:pPr>
        <w:widowControl/>
        <w:snapToGrid w:val="0"/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 w:rsidRPr="003D5D5D">
        <w:rPr>
          <w:rFonts w:ascii="Times New Roman" w:eastAsia="楷体" w:hAnsi="Times New Roman" w:cs="Times New Roman" w:hint="eastAsia"/>
          <w:bCs/>
          <w:sz w:val="32"/>
          <w:szCs w:val="32"/>
        </w:rPr>
        <w:t>3</w:t>
      </w:r>
      <w:r w:rsidRPr="003D5D5D">
        <w:rPr>
          <w:rFonts w:ascii="Times New Roman" w:eastAsia="楷体" w:hAnsi="Times New Roman" w:cs="Times New Roman" w:hint="eastAsia"/>
          <w:bCs/>
          <w:sz w:val="32"/>
          <w:szCs w:val="32"/>
        </w:rPr>
        <w:t>、非无菌化学</w:t>
      </w:r>
      <w:r w:rsidRPr="003D5D5D">
        <w:rPr>
          <w:rFonts w:ascii="Times New Roman" w:eastAsia="楷体" w:hAnsi="Times New Roman" w:cs="Times New Roman"/>
          <w:bCs/>
          <w:sz w:val="32"/>
          <w:szCs w:val="32"/>
        </w:rPr>
        <w:t>药品微生物限度</w:t>
      </w:r>
      <w:r w:rsidRPr="003D5D5D">
        <w:rPr>
          <w:rFonts w:ascii="Times New Roman" w:eastAsia="楷体" w:hAnsi="Times New Roman" w:cs="Times New Roman" w:hint="eastAsia"/>
          <w:bCs/>
          <w:sz w:val="32"/>
          <w:szCs w:val="32"/>
        </w:rPr>
        <w:t>研究</w:t>
      </w:r>
    </w:p>
    <w:p w14:paraId="10E73FE0" w14:textId="682149FC" w:rsidR="003C4131" w:rsidRDefault="003C4131" w:rsidP="00955AF5">
      <w:pPr>
        <w:widowControl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03475">
        <w:rPr>
          <w:rFonts w:ascii="Times New Roman" w:eastAsia="仿宋_GB2312" w:hAnsi="Times New Roman" w:cs="Times New Roman"/>
          <w:sz w:val="32"/>
          <w:szCs w:val="32"/>
        </w:rPr>
        <w:t>主要对</w:t>
      </w:r>
      <w:r w:rsidRPr="00567925">
        <w:rPr>
          <w:rFonts w:ascii="Times New Roman" w:eastAsia="仿宋_GB2312" w:hAnsi="Times New Roman" w:cs="Times New Roman" w:hint="eastAsia"/>
          <w:sz w:val="32"/>
          <w:szCs w:val="32"/>
        </w:rPr>
        <w:t>非无菌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化学药品在</w:t>
      </w:r>
      <w:r w:rsidRPr="00621CD4">
        <w:rPr>
          <w:rFonts w:ascii="Times New Roman" w:eastAsia="仿宋_GB2312" w:hAnsi="Times New Roman" w:cs="Times New Roman" w:hint="eastAsia"/>
          <w:sz w:val="32"/>
          <w:szCs w:val="32"/>
        </w:rPr>
        <w:t>微生物控制策略建立时</w:t>
      </w:r>
      <w:r w:rsidRPr="00621CD4">
        <w:rPr>
          <w:rFonts w:ascii="Times New Roman" w:eastAsia="仿宋_GB2312" w:hAnsi="Times New Roman" w:cs="Times New Roman"/>
          <w:sz w:val="32"/>
          <w:szCs w:val="32"/>
        </w:rPr>
        <w:t>需进行的风险评估</w:t>
      </w:r>
      <w:r w:rsidR="007A3A94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="007A3A94">
        <w:rPr>
          <w:rFonts w:ascii="Times New Roman" w:eastAsia="仿宋_GB2312" w:hAnsi="Times New Roman" w:cs="Times New Roman"/>
          <w:sz w:val="32"/>
          <w:szCs w:val="32"/>
        </w:rPr>
        <w:t>控制策略</w:t>
      </w:r>
      <w:r w:rsidRPr="00621CD4">
        <w:rPr>
          <w:rFonts w:ascii="Times New Roman" w:eastAsia="仿宋_GB2312" w:hAnsi="Times New Roman" w:cs="Times New Roman"/>
          <w:sz w:val="32"/>
          <w:szCs w:val="32"/>
        </w:rPr>
        <w:t>进行了明确，</w:t>
      </w:r>
      <w:r w:rsidRPr="00621CD4">
        <w:rPr>
          <w:rFonts w:ascii="Times New Roman" w:eastAsia="仿宋_GB2312" w:hAnsi="Times New Roman" w:cs="Times New Roman" w:hint="eastAsia"/>
          <w:sz w:val="32"/>
          <w:szCs w:val="32"/>
        </w:rPr>
        <w:t>参考</w:t>
      </w:r>
      <w:r w:rsidRPr="00621CD4">
        <w:rPr>
          <w:rFonts w:ascii="Times New Roman" w:eastAsia="仿宋_GB2312" w:hAnsi="Times New Roman" w:cs="Times New Roman" w:hint="eastAsia"/>
          <w:sz w:val="32"/>
          <w:szCs w:val="32"/>
        </w:rPr>
        <w:t>ICH Q6A</w:t>
      </w:r>
      <w:r w:rsidRPr="00621CD4">
        <w:rPr>
          <w:rFonts w:ascii="Times New Roman" w:eastAsia="仿宋_GB2312" w:hAnsi="Times New Roman" w:cs="Times New Roman" w:hint="eastAsia"/>
          <w:sz w:val="32"/>
          <w:szCs w:val="32"/>
        </w:rPr>
        <w:t>决策树阐述了微生物限度</w:t>
      </w:r>
      <w:r w:rsidRPr="00621CD4">
        <w:rPr>
          <w:rFonts w:ascii="Times New Roman" w:eastAsia="仿宋_GB2312" w:hAnsi="Times New Roman" w:cs="Times New Roman"/>
          <w:sz w:val="32"/>
          <w:szCs w:val="32"/>
        </w:rPr>
        <w:t>控制的层级关系，</w:t>
      </w:r>
      <w:r w:rsidRPr="00621CD4">
        <w:rPr>
          <w:rFonts w:ascii="Times New Roman" w:eastAsia="仿宋_GB2312" w:hAnsi="Times New Roman" w:cs="Times New Roman" w:hint="eastAsia"/>
          <w:sz w:val="32"/>
          <w:szCs w:val="32"/>
        </w:rPr>
        <w:t>明确了</w:t>
      </w:r>
      <w:r w:rsidRPr="00621CD4">
        <w:rPr>
          <w:rFonts w:ascii="Times New Roman" w:eastAsia="仿宋_GB2312" w:hAnsi="Times New Roman" w:cs="Times New Roman"/>
          <w:sz w:val="32"/>
          <w:szCs w:val="32"/>
        </w:rPr>
        <w:t>可选择的</w:t>
      </w:r>
      <w:r w:rsidRPr="00621CD4">
        <w:rPr>
          <w:rFonts w:ascii="Times New Roman" w:eastAsia="仿宋_GB2312" w:hAnsi="Times New Roman" w:cs="Times New Roman" w:hint="eastAsia"/>
          <w:sz w:val="32"/>
          <w:szCs w:val="32"/>
        </w:rPr>
        <w:t>检测</w:t>
      </w:r>
      <w:r w:rsidRPr="00621CD4">
        <w:rPr>
          <w:rFonts w:ascii="Times New Roman" w:eastAsia="仿宋_GB2312" w:hAnsi="Times New Roman" w:cs="Times New Roman"/>
          <w:sz w:val="32"/>
          <w:szCs w:val="32"/>
        </w:rPr>
        <w:t>方法及限度拟定时需考虑的因素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4365C25" w14:textId="2107B7B7" w:rsidR="002C2BF3" w:rsidRDefault="00BB5A0E" w:rsidP="00BB5A0E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指导原则中明确</w:t>
      </w:r>
      <w:r w:rsidR="005615A0">
        <w:rPr>
          <w:rFonts w:ascii="Times New Roman" w:eastAsia="仿宋_GB2312" w:hAnsi="Times New Roman" w:cs="Times New Roman" w:hint="eastAsia"/>
          <w:sz w:val="32"/>
          <w:szCs w:val="32"/>
        </w:rPr>
        <w:t>了</w:t>
      </w:r>
      <w:r w:rsidRPr="00BB5A0E">
        <w:rPr>
          <w:rFonts w:ascii="Times New Roman" w:eastAsia="仿宋_GB2312" w:hAnsi="Times New Roman" w:cs="Times New Roman" w:hint="eastAsia"/>
          <w:sz w:val="32"/>
          <w:szCs w:val="32"/>
        </w:rPr>
        <w:t>对于制定控制策略时检测微生物限度的样品批次数量</w:t>
      </w:r>
      <w:r w:rsidR="005615A0">
        <w:rPr>
          <w:rFonts w:ascii="Times New Roman" w:eastAsia="仿宋_GB2312" w:hAnsi="Times New Roman" w:cs="Times New Roman" w:hint="eastAsia"/>
          <w:sz w:val="32"/>
          <w:szCs w:val="32"/>
        </w:rPr>
        <w:t>。建议</w:t>
      </w:r>
      <w:r w:rsidR="005615A0" w:rsidRPr="00386FDC">
        <w:rPr>
          <w:rFonts w:ascii="Times New Roman" w:eastAsia="仿宋_GB2312" w:hAnsi="Times New Roman" w:cs="Times New Roman" w:hint="eastAsia"/>
          <w:sz w:val="32"/>
          <w:szCs w:val="32"/>
        </w:rPr>
        <w:t>提供产品</w:t>
      </w:r>
      <w:r w:rsidR="005615A0">
        <w:rPr>
          <w:rFonts w:ascii="Times New Roman" w:eastAsia="仿宋_GB2312" w:hAnsi="Times New Roman" w:cs="Times New Roman" w:hint="eastAsia"/>
          <w:sz w:val="32"/>
          <w:szCs w:val="32"/>
        </w:rPr>
        <w:t>研发</w:t>
      </w:r>
      <w:r w:rsidR="005615A0" w:rsidRPr="00386FD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615A0">
        <w:rPr>
          <w:rFonts w:ascii="Times New Roman" w:eastAsia="仿宋_GB2312" w:hAnsi="Times New Roman" w:cs="Times New Roman" w:hint="eastAsia"/>
          <w:sz w:val="32"/>
          <w:szCs w:val="32"/>
        </w:rPr>
        <w:t>批量放大、</w:t>
      </w:r>
      <w:r w:rsidR="005615A0" w:rsidRPr="00386FDC">
        <w:rPr>
          <w:rFonts w:ascii="Times New Roman" w:eastAsia="仿宋_GB2312" w:hAnsi="Times New Roman" w:cs="Times New Roman" w:hint="eastAsia"/>
          <w:sz w:val="32"/>
          <w:szCs w:val="32"/>
        </w:rPr>
        <w:t>过程验证</w:t>
      </w:r>
      <w:r w:rsidR="005615A0">
        <w:rPr>
          <w:rFonts w:ascii="Times New Roman" w:eastAsia="仿宋_GB2312" w:hAnsi="Times New Roman" w:cs="Times New Roman" w:hint="eastAsia"/>
          <w:sz w:val="32"/>
          <w:szCs w:val="32"/>
        </w:rPr>
        <w:t>、商业化生</w:t>
      </w:r>
      <w:r w:rsidR="005615A0" w:rsidRPr="00386FDC">
        <w:rPr>
          <w:rFonts w:ascii="Times New Roman" w:eastAsia="仿宋_GB2312" w:hAnsi="Times New Roman" w:cs="Times New Roman" w:hint="eastAsia"/>
          <w:sz w:val="32"/>
          <w:szCs w:val="32"/>
        </w:rPr>
        <w:t>产</w:t>
      </w:r>
      <w:r w:rsidR="005615A0">
        <w:rPr>
          <w:rFonts w:ascii="Times New Roman" w:eastAsia="仿宋_GB2312" w:hAnsi="Times New Roman" w:cs="Times New Roman" w:hint="eastAsia"/>
          <w:sz w:val="32"/>
          <w:szCs w:val="32"/>
        </w:rPr>
        <w:t>批次的微生物限度检测数据（例如不少于</w:t>
      </w:r>
      <w:r w:rsidR="005615A0" w:rsidRPr="00386FDC">
        <w:rPr>
          <w:rFonts w:ascii="Times New Roman" w:eastAsia="仿宋_GB2312" w:hAnsi="Times New Roman" w:cs="Times New Roman"/>
          <w:sz w:val="32"/>
          <w:szCs w:val="32"/>
        </w:rPr>
        <w:t xml:space="preserve">20 </w:t>
      </w:r>
      <w:r w:rsidR="005615A0" w:rsidRPr="00386FDC">
        <w:rPr>
          <w:rFonts w:ascii="Times New Roman" w:eastAsia="仿宋_GB2312" w:hAnsi="Times New Roman" w:cs="Times New Roman" w:hint="eastAsia"/>
          <w:sz w:val="32"/>
          <w:szCs w:val="32"/>
        </w:rPr>
        <w:t>批</w:t>
      </w:r>
      <w:r w:rsidR="005615A0">
        <w:rPr>
          <w:rFonts w:ascii="Times New Roman" w:eastAsia="仿宋_GB2312" w:hAnsi="Times New Roman" w:cs="Times New Roman" w:hint="eastAsia"/>
          <w:sz w:val="32"/>
          <w:szCs w:val="32"/>
        </w:rPr>
        <w:t>），</w:t>
      </w:r>
      <w:r w:rsidR="003E0635">
        <w:rPr>
          <w:rFonts w:ascii="Times New Roman" w:eastAsia="仿宋_GB2312" w:hAnsi="Times New Roman" w:cs="Times New Roman" w:hint="eastAsia"/>
          <w:sz w:val="32"/>
          <w:szCs w:val="32"/>
        </w:rPr>
        <w:t>主要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参考</w:t>
      </w:r>
      <w:r w:rsidR="002C2BF3" w:rsidRPr="00BB5A0E">
        <w:rPr>
          <w:rFonts w:ascii="Times New Roman" w:eastAsia="仿宋_GB2312" w:hAnsi="Times New Roman" w:cs="Times New Roman" w:hint="eastAsia"/>
          <w:sz w:val="32"/>
          <w:szCs w:val="32"/>
        </w:rPr>
        <w:t>美国药典</w:t>
      </w:r>
      <w:r w:rsidR="002C2BF3" w:rsidRPr="00BB5A0E">
        <w:rPr>
          <w:rFonts w:ascii="Times New Roman" w:eastAsia="仿宋_GB2312" w:hAnsi="Times New Roman" w:cs="Times New Roman" w:hint="eastAsia"/>
          <w:sz w:val="32"/>
          <w:szCs w:val="32"/>
        </w:rPr>
        <w:t>&lt;</w:t>
      </w:r>
      <w:r w:rsidR="002C2BF3" w:rsidRPr="00BB5A0E">
        <w:rPr>
          <w:rFonts w:ascii="Times New Roman" w:eastAsia="仿宋_GB2312" w:hAnsi="Times New Roman" w:cs="Times New Roman"/>
          <w:sz w:val="32"/>
          <w:szCs w:val="32"/>
        </w:rPr>
        <w:t>1112</w:t>
      </w:r>
      <w:r w:rsidR="002C2BF3" w:rsidRPr="00BB5A0E">
        <w:rPr>
          <w:rFonts w:ascii="Times New Roman" w:eastAsia="仿宋_GB2312" w:hAnsi="Times New Roman" w:cs="Times New Roman" w:hint="eastAsia"/>
          <w:sz w:val="32"/>
          <w:szCs w:val="32"/>
        </w:rPr>
        <w:t>&gt;</w:t>
      </w:r>
      <w:r w:rsidR="002C2BF3" w:rsidRPr="00BB5A0E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="003E0635">
        <w:rPr>
          <w:rFonts w:ascii="Times New Roman" w:eastAsia="仿宋_GB2312" w:hAnsi="Times New Roman" w:cs="Times New Roman" w:hint="eastAsia"/>
          <w:sz w:val="32"/>
          <w:szCs w:val="32"/>
        </w:rPr>
        <w:t>的相关要求。</w:t>
      </w:r>
    </w:p>
    <w:p w14:paraId="1486C75C" w14:textId="03907100" w:rsidR="003C4131" w:rsidRPr="003C4131" w:rsidRDefault="007571CC" w:rsidP="00BF557A">
      <w:pPr>
        <w:widowControl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关于</w:t>
      </w:r>
      <w:r w:rsidRPr="007571CC">
        <w:rPr>
          <w:rFonts w:ascii="Times New Roman" w:eastAsia="仿宋_GB2312" w:hAnsi="Times New Roman" w:cs="Times New Roman" w:hint="eastAsia"/>
          <w:sz w:val="32"/>
          <w:szCs w:val="32"/>
        </w:rPr>
        <w:t>洋葱伯克霍尔德菌群的控制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参考</w:t>
      </w:r>
      <w:r w:rsidRPr="007571CC">
        <w:rPr>
          <w:rFonts w:ascii="Times New Roman" w:eastAsia="仿宋_GB2312" w:hAnsi="Times New Roman" w:cs="Times New Roman" w:hint="eastAsia"/>
          <w:sz w:val="32"/>
          <w:szCs w:val="32"/>
        </w:rPr>
        <w:t>美国药典</w:t>
      </w:r>
      <w:r w:rsidR="00B618E8" w:rsidRPr="00BB5A0E">
        <w:rPr>
          <w:rFonts w:ascii="Times New Roman" w:eastAsia="仿宋_GB2312" w:hAnsi="Times New Roman" w:cs="Times New Roman" w:hint="eastAsia"/>
          <w:sz w:val="32"/>
          <w:szCs w:val="32"/>
        </w:rPr>
        <w:t>&lt;</w:t>
      </w:r>
      <w:r w:rsidR="00B618E8">
        <w:rPr>
          <w:rFonts w:ascii="Times New Roman" w:eastAsia="仿宋_GB2312" w:hAnsi="Times New Roman" w:cs="Times New Roman"/>
          <w:sz w:val="32"/>
          <w:szCs w:val="32"/>
        </w:rPr>
        <w:t>60</w:t>
      </w:r>
      <w:r w:rsidR="00B618E8" w:rsidRPr="00BB5A0E">
        <w:rPr>
          <w:rFonts w:ascii="Times New Roman" w:eastAsia="仿宋_GB2312" w:hAnsi="Times New Roman" w:cs="Times New Roman" w:hint="eastAsia"/>
          <w:sz w:val="32"/>
          <w:szCs w:val="32"/>
        </w:rPr>
        <w:t>&gt;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571CC">
        <w:rPr>
          <w:rFonts w:ascii="Times New Roman" w:eastAsia="仿宋_GB2312" w:hAnsi="Times New Roman" w:cs="Times New Roman"/>
          <w:sz w:val="32"/>
          <w:szCs w:val="32"/>
        </w:rPr>
        <w:t>FDA</w:t>
      </w:r>
      <w:r w:rsidR="000B2BE7">
        <w:rPr>
          <w:rFonts w:ascii="Times New Roman" w:eastAsia="仿宋_GB2312" w:hAnsi="Times New Roman" w:cs="Times New Roman" w:hint="eastAsia"/>
          <w:sz w:val="32"/>
          <w:szCs w:val="32"/>
        </w:rPr>
        <w:t>行业指南</w:t>
      </w:r>
      <w:r>
        <w:rPr>
          <w:rFonts w:ascii="Times New Roman" w:eastAsia="仿宋_GB2312" w:hAnsi="Times New Roman" w:cs="Times New Roman"/>
          <w:sz w:val="32"/>
          <w:szCs w:val="32"/>
        </w:rPr>
        <w:t>以及</w:t>
      </w:r>
      <w:r w:rsidRPr="007571CC">
        <w:rPr>
          <w:rFonts w:ascii="Times New Roman" w:eastAsia="仿宋_GB2312" w:hAnsi="Times New Roman" w:cs="Times New Roman" w:hint="eastAsia"/>
          <w:sz w:val="32"/>
          <w:szCs w:val="32"/>
        </w:rPr>
        <w:t>《化学药品创新药上市申请前会议药学共性问题及相关技术要求》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="00AB6C85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AB6C85">
        <w:rPr>
          <w:rFonts w:ascii="Times New Roman" w:eastAsia="仿宋_GB2312" w:hAnsi="Times New Roman" w:cs="Times New Roman"/>
          <w:sz w:val="32"/>
          <w:szCs w:val="32"/>
        </w:rPr>
        <w:t>相关要求</w:t>
      </w:r>
      <w:r w:rsidR="00190107">
        <w:rPr>
          <w:rFonts w:ascii="Times New Roman" w:eastAsia="仿宋_GB2312" w:hAnsi="Times New Roman" w:cs="Times New Roman" w:hint="eastAsia"/>
          <w:sz w:val="32"/>
          <w:szCs w:val="32"/>
        </w:rPr>
        <w:t>，对需要</w:t>
      </w:r>
      <w:r w:rsidR="00190107">
        <w:rPr>
          <w:rFonts w:ascii="Times New Roman" w:eastAsia="仿宋_GB2312" w:hAnsi="Times New Roman" w:cs="Times New Roman"/>
          <w:sz w:val="32"/>
          <w:szCs w:val="32"/>
        </w:rPr>
        <w:t>重点关注的剂型</w:t>
      </w:r>
      <w:r w:rsidR="009E552B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="009E552B">
        <w:rPr>
          <w:rFonts w:ascii="Times New Roman" w:eastAsia="仿宋_GB2312" w:hAnsi="Times New Roman" w:cs="Times New Roman"/>
          <w:sz w:val="32"/>
          <w:szCs w:val="32"/>
        </w:rPr>
        <w:t>控</w:t>
      </w:r>
      <w:bookmarkStart w:id="0" w:name="_GoBack"/>
      <w:bookmarkEnd w:id="0"/>
      <w:r w:rsidR="009E552B">
        <w:rPr>
          <w:rFonts w:ascii="Times New Roman" w:eastAsia="仿宋_GB2312" w:hAnsi="Times New Roman" w:cs="Times New Roman"/>
          <w:sz w:val="32"/>
          <w:szCs w:val="32"/>
        </w:rPr>
        <w:t>制</w:t>
      </w:r>
      <w:r w:rsidR="009E552B"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 w:rsidR="00190107">
        <w:rPr>
          <w:rFonts w:ascii="Times New Roman" w:eastAsia="仿宋_GB2312" w:hAnsi="Times New Roman" w:cs="Times New Roman"/>
          <w:sz w:val="32"/>
          <w:szCs w:val="32"/>
        </w:rPr>
        <w:t>进行了明确</w:t>
      </w:r>
      <w:r w:rsidR="003C4131" w:rsidRPr="003C4131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73BBD96" w14:textId="5F0B91BA" w:rsidR="003C4131" w:rsidRDefault="00C55575" w:rsidP="00955AF5">
      <w:pPr>
        <w:widowControl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指导原则中</w:t>
      </w:r>
      <w:r w:rsidR="00D9635F" w:rsidRPr="00D9635F">
        <w:rPr>
          <w:rFonts w:ascii="Times New Roman" w:eastAsia="仿宋_GB2312" w:hAnsi="Times New Roman" w:cs="Times New Roman" w:hint="eastAsia"/>
          <w:sz w:val="32"/>
          <w:szCs w:val="32"/>
        </w:rPr>
        <w:t>明确了</w:t>
      </w:r>
      <w:r w:rsidR="00D9635F" w:rsidRPr="00D9635F">
        <w:rPr>
          <w:rFonts w:ascii="Times New Roman" w:eastAsia="仿宋_GB2312" w:hAnsi="Times New Roman" w:cs="Times New Roman"/>
          <w:sz w:val="32"/>
          <w:szCs w:val="32"/>
        </w:rPr>
        <w:t>制剂在过程控制及</w:t>
      </w:r>
      <w:r w:rsidR="00D9635F" w:rsidRPr="00D9635F">
        <w:rPr>
          <w:rFonts w:ascii="Times New Roman" w:eastAsia="仿宋_GB2312" w:hAnsi="Times New Roman" w:cs="Times New Roman" w:hint="eastAsia"/>
          <w:sz w:val="32"/>
          <w:szCs w:val="32"/>
        </w:rPr>
        <w:t>其他方面应</w:t>
      </w:r>
      <w:r w:rsidR="00D9635F" w:rsidRPr="00D9635F">
        <w:rPr>
          <w:rFonts w:ascii="Times New Roman" w:eastAsia="仿宋_GB2312" w:hAnsi="Times New Roman" w:cs="Times New Roman"/>
          <w:sz w:val="32"/>
          <w:szCs w:val="32"/>
        </w:rPr>
        <w:t>进行</w:t>
      </w:r>
      <w:r w:rsidR="00D9635F" w:rsidRPr="00D9635F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D9635F" w:rsidRPr="00D9635F">
        <w:rPr>
          <w:rFonts w:ascii="Times New Roman" w:eastAsia="仿宋_GB2312" w:hAnsi="Times New Roman" w:cs="Times New Roman"/>
          <w:sz w:val="32"/>
          <w:szCs w:val="32"/>
        </w:rPr>
        <w:t>风险评估（</w:t>
      </w:r>
      <w:r w:rsidR="00D9635F" w:rsidRPr="00D9635F">
        <w:rPr>
          <w:rFonts w:ascii="Times New Roman" w:eastAsia="仿宋_GB2312" w:hAnsi="Times New Roman" w:cs="Times New Roman" w:hint="eastAsia"/>
          <w:sz w:val="32"/>
          <w:szCs w:val="32"/>
        </w:rPr>
        <w:t>如水分活度</w:t>
      </w:r>
      <w:r w:rsidR="00D9635F" w:rsidRPr="00D9635F">
        <w:rPr>
          <w:rFonts w:ascii="Times New Roman" w:eastAsia="仿宋_GB2312" w:hAnsi="Times New Roman" w:cs="Times New Roman"/>
          <w:sz w:val="32"/>
          <w:szCs w:val="32"/>
        </w:rPr>
        <w:t>、</w:t>
      </w:r>
      <w:r w:rsidR="00D9635F" w:rsidRPr="00D9635F">
        <w:rPr>
          <w:rFonts w:ascii="Times New Roman" w:eastAsia="仿宋_GB2312" w:hAnsi="Times New Roman" w:cs="Times New Roman" w:hint="eastAsia"/>
          <w:sz w:val="32"/>
          <w:szCs w:val="32"/>
        </w:rPr>
        <w:t>生产工艺、中间产品存放时限、</w:t>
      </w:r>
      <w:r w:rsidR="00D9635F" w:rsidRPr="00D9635F">
        <w:rPr>
          <w:rFonts w:ascii="Times New Roman" w:eastAsia="仿宋_GB2312" w:hAnsi="Times New Roman" w:cs="Times New Roman"/>
          <w:sz w:val="32"/>
          <w:szCs w:val="32"/>
        </w:rPr>
        <w:t>环境设备</w:t>
      </w:r>
      <w:r w:rsidR="00D9635F" w:rsidRPr="00D9635F">
        <w:rPr>
          <w:rFonts w:ascii="Times New Roman" w:eastAsia="仿宋_GB2312" w:hAnsi="Times New Roman" w:cs="Times New Roman" w:hint="eastAsia"/>
          <w:sz w:val="32"/>
          <w:szCs w:val="32"/>
        </w:rPr>
        <w:t>人员</w:t>
      </w:r>
      <w:r w:rsidR="00D9635F" w:rsidRPr="00D9635F">
        <w:rPr>
          <w:rFonts w:ascii="Times New Roman" w:eastAsia="仿宋_GB2312" w:hAnsi="Times New Roman" w:cs="Times New Roman"/>
          <w:sz w:val="32"/>
          <w:szCs w:val="32"/>
        </w:rPr>
        <w:t>等、剂型</w:t>
      </w:r>
      <w:r w:rsidR="00D9635F" w:rsidRPr="00D9635F">
        <w:rPr>
          <w:rFonts w:ascii="Times New Roman" w:eastAsia="仿宋_GB2312" w:hAnsi="Times New Roman" w:cs="Times New Roman" w:hint="eastAsia"/>
          <w:sz w:val="32"/>
          <w:szCs w:val="32"/>
        </w:rPr>
        <w:t>、组成成份、给药途径、适用人群</w:t>
      </w:r>
      <w:r w:rsidR="00D9635F" w:rsidRPr="00D9635F">
        <w:rPr>
          <w:rFonts w:ascii="Times New Roman" w:eastAsia="仿宋_GB2312" w:hAnsi="Times New Roman" w:cs="Times New Roman"/>
          <w:sz w:val="32"/>
          <w:szCs w:val="32"/>
        </w:rPr>
        <w:t>）</w:t>
      </w:r>
      <w:r w:rsidR="002A5E95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6DBC169" w14:textId="77777777" w:rsidR="00621CD4" w:rsidRPr="003D5D5D" w:rsidRDefault="00621CD4" w:rsidP="00955AF5">
      <w:pPr>
        <w:widowControl/>
        <w:snapToGrid w:val="0"/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 w:rsidRPr="003D5D5D">
        <w:rPr>
          <w:rFonts w:ascii="Times New Roman" w:eastAsia="楷体" w:hAnsi="Times New Roman" w:cs="Times New Roman"/>
          <w:bCs/>
          <w:sz w:val="32"/>
          <w:szCs w:val="32"/>
        </w:rPr>
        <w:t>4</w:t>
      </w:r>
      <w:r w:rsidRPr="003D5D5D">
        <w:rPr>
          <w:rFonts w:ascii="Times New Roman" w:eastAsia="楷体" w:hAnsi="Times New Roman" w:cs="Times New Roman" w:hint="eastAsia"/>
          <w:bCs/>
          <w:sz w:val="32"/>
          <w:szCs w:val="32"/>
        </w:rPr>
        <w:t>、微生物限度</w:t>
      </w:r>
      <w:r w:rsidRPr="003D5D5D">
        <w:rPr>
          <w:rFonts w:ascii="Times New Roman" w:eastAsia="楷体" w:hAnsi="Times New Roman" w:cs="Times New Roman"/>
          <w:bCs/>
          <w:sz w:val="32"/>
          <w:szCs w:val="32"/>
        </w:rPr>
        <w:t>研究的其他关注点</w:t>
      </w:r>
    </w:p>
    <w:p w14:paraId="2B8B579C" w14:textId="7FDF72ED" w:rsidR="00621CD4" w:rsidRDefault="009279C1" w:rsidP="00955AF5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279C1">
        <w:rPr>
          <w:rFonts w:ascii="Times New Roman" w:eastAsia="仿宋_GB2312" w:hAnsi="Times New Roman" w:cs="Times New Roman" w:hint="eastAsia"/>
          <w:sz w:val="32"/>
          <w:szCs w:val="32"/>
        </w:rPr>
        <w:t>明确了微生物限度检查的取样量要求、方法适用性试验中</w:t>
      </w:r>
      <w:r w:rsidRPr="009279C1">
        <w:rPr>
          <w:rFonts w:ascii="Times New Roman" w:eastAsia="仿宋_GB2312" w:hAnsi="Times New Roman" w:cs="Times New Roman"/>
          <w:sz w:val="32"/>
          <w:szCs w:val="32"/>
        </w:rPr>
        <w:t>产品具有抑菌性</w:t>
      </w:r>
      <w:r w:rsidRPr="009279C1">
        <w:rPr>
          <w:rFonts w:ascii="Times New Roman" w:eastAsia="仿宋_GB2312" w:hAnsi="Times New Roman" w:cs="Times New Roman" w:hint="eastAsia"/>
          <w:sz w:val="32"/>
          <w:szCs w:val="32"/>
        </w:rPr>
        <w:t>时的解决方案及微生物检验替代方法的认可。</w:t>
      </w:r>
    </w:p>
    <w:p w14:paraId="4EFC9199" w14:textId="06F09788" w:rsidR="00DA037A" w:rsidRDefault="00BB5A0E" w:rsidP="00BB5A0E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其中，对于微生物限度检查时的取样量，应参照中国药典相关要求。</w:t>
      </w:r>
      <w:r w:rsidR="00DA037A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="00DA037A">
        <w:rPr>
          <w:rFonts w:ascii="Times New Roman" w:eastAsia="仿宋_GB2312" w:hAnsi="Times New Roman" w:cs="Times New Roman"/>
          <w:sz w:val="32"/>
          <w:szCs w:val="32"/>
        </w:rPr>
        <w:t>为特殊检验量，应有详实的</w:t>
      </w:r>
      <w:r w:rsidR="00DA037A">
        <w:rPr>
          <w:rFonts w:ascii="Times New Roman" w:eastAsia="仿宋_GB2312" w:hAnsi="Times New Roman" w:cs="Times New Roman" w:hint="eastAsia"/>
          <w:sz w:val="32"/>
          <w:szCs w:val="32"/>
        </w:rPr>
        <w:t>拟定依据，</w:t>
      </w:r>
      <w:r w:rsidR="00DA037A">
        <w:rPr>
          <w:rFonts w:ascii="Times New Roman" w:eastAsia="仿宋_GB2312" w:hAnsi="Times New Roman" w:cs="Times New Roman"/>
          <w:sz w:val="32"/>
          <w:szCs w:val="32"/>
        </w:rPr>
        <w:t>并满足检验需求。</w:t>
      </w:r>
      <w:r w:rsidR="00DA037A" w:rsidRPr="009279C1">
        <w:rPr>
          <w:rFonts w:ascii="Times New Roman" w:eastAsia="仿宋_GB2312" w:hAnsi="Times New Roman" w:cs="Times New Roman" w:hint="eastAsia"/>
          <w:sz w:val="32"/>
          <w:szCs w:val="32"/>
        </w:rPr>
        <w:t>方法适用性试验中</w:t>
      </w:r>
      <w:r w:rsidR="00DA037A" w:rsidRPr="009279C1">
        <w:rPr>
          <w:rFonts w:ascii="Times New Roman" w:eastAsia="仿宋_GB2312" w:hAnsi="Times New Roman" w:cs="Times New Roman"/>
          <w:sz w:val="32"/>
          <w:szCs w:val="32"/>
        </w:rPr>
        <w:t>产品具有抑菌性</w:t>
      </w:r>
      <w:r w:rsidR="00DA037A" w:rsidRPr="009279C1">
        <w:rPr>
          <w:rFonts w:ascii="Times New Roman" w:eastAsia="仿宋_GB2312" w:hAnsi="Times New Roman" w:cs="Times New Roman" w:hint="eastAsia"/>
          <w:sz w:val="32"/>
          <w:szCs w:val="32"/>
        </w:rPr>
        <w:t>时</w:t>
      </w:r>
      <w:r w:rsidR="00DA037A">
        <w:rPr>
          <w:rFonts w:ascii="Times New Roman" w:eastAsia="仿宋_GB2312" w:hAnsi="Times New Roman" w:cs="Times New Roman" w:hint="eastAsia"/>
          <w:sz w:val="32"/>
          <w:szCs w:val="32"/>
        </w:rPr>
        <w:t>，应</w:t>
      </w:r>
      <w:r w:rsidR="00DA037A">
        <w:rPr>
          <w:rFonts w:ascii="Times New Roman" w:eastAsia="仿宋_GB2312" w:hAnsi="Times New Roman" w:cs="Times New Roman"/>
          <w:sz w:val="32"/>
          <w:szCs w:val="32"/>
        </w:rPr>
        <w:t>提供</w:t>
      </w:r>
      <w:r w:rsidR="00DA037A">
        <w:rPr>
          <w:rFonts w:ascii="Times New Roman" w:eastAsia="仿宋_GB2312" w:hAnsi="Times New Roman" w:cs="Times New Roman" w:hint="eastAsia"/>
          <w:sz w:val="32"/>
          <w:szCs w:val="32"/>
        </w:rPr>
        <w:t>解决</w:t>
      </w:r>
      <w:r w:rsidR="00DA037A">
        <w:rPr>
          <w:rFonts w:ascii="Times New Roman" w:eastAsia="仿宋_GB2312" w:hAnsi="Times New Roman" w:cs="Times New Roman"/>
          <w:sz w:val="32"/>
          <w:szCs w:val="32"/>
        </w:rPr>
        <w:t>方案，必要时提供</w:t>
      </w:r>
      <w:r w:rsidR="00DA037A">
        <w:rPr>
          <w:rFonts w:ascii="Times New Roman" w:eastAsia="仿宋_GB2312" w:hAnsi="Times New Roman" w:cs="Times New Roman" w:hint="eastAsia"/>
          <w:sz w:val="32"/>
          <w:szCs w:val="32"/>
        </w:rPr>
        <w:t>相应</w:t>
      </w:r>
      <w:r w:rsidR="00DA037A">
        <w:rPr>
          <w:rFonts w:ascii="Times New Roman" w:eastAsia="仿宋_GB2312" w:hAnsi="Times New Roman" w:cs="Times New Roman"/>
          <w:sz w:val="32"/>
          <w:szCs w:val="32"/>
        </w:rPr>
        <w:t>的风险</w:t>
      </w:r>
      <w:r w:rsidR="00DA037A">
        <w:rPr>
          <w:rFonts w:ascii="Times New Roman" w:eastAsia="仿宋_GB2312" w:hAnsi="Times New Roman" w:cs="Times New Roman" w:hint="eastAsia"/>
          <w:sz w:val="32"/>
          <w:szCs w:val="32"/>
        </w:rPr>
        <w:t>评估</w:t>
      </w:r>
      <w:r w:rsidR="00DA037A">
        <w:rPr>
          <w:rFonts w:ascii="Times New Roman" w:eastAsia="仿宋_GB2312" w:hAnsi="Times New Roman" w:cs="Times New Roman"/>
          <w:sz w:val="32"/>
          <w:szCs w:val="32"/>
        </w:rPr>
        <w:t>资料</w:t>
      </w:r>
      <w:r w:rsidR="00DA037A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E786B32" w14:textId="77777777" w:rsidR="00A32878" w:rsidRPr="003D5D5D" w:rsidRDefault="00621CD4" w:rsidP="00955AF5">
      <w:pPr>
        <w:widowControl/>
        <w:snapToGrid w:val="0"/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 w:rsidRPr="003D5D5D">
        <w:rPr>
          <w:rFonts w:ascii="Times New Roman" w:eastAsia="楷体" w:hAnsi="Times New Roman" w:cs="Times New Roman"/>
          <w:bCs/>
          <w:sz w:val="32"/>
          <w:szCs w:val="32"/>
        </w:rPr>
        <w:t>5</w:t>
      </w:r>
      <w:r w:rsidRPr="003D5D5D">
        <w:rPr>
          <w:rFonts w:ascii="Times New Roman" w:eastAsia="楷体" w:hAnsi="Times New Roman" w:cs="Times New Roman"/>
          <w:bCs/>
          <w:sz w:val="32"/>
          <w:szCs w:val="32"/>
        </w:rPr>
        <w:t>、</w:t>
      </w:r>
      <w:r w:rsidRPr="003D5D5D">
        <w:rPr>
          <w:rFonts w:ascii="Times New Roman" w:eastAsia="楷体" w:hAnsi="Times New Roman" w:cs="Times New Roman" w:hint="eastAsia"/>
          <w:bCs/>
          <w:sz w:val="32"/>
          <w:szCs w:val="32"/>
        </w:rPr>
        <w:t>微生物限度</w:t>
      </w:r>
      <w:r w:rsidRPr="003D5D5D">
        <w:rPr>
          <w:rFonts w:ascii="Times New Roman" w:eastAsia="楷体" w:hAnsi="Times New Roman" w:cs="Times New Roman"/>
          <w:bCs/>
          <w:sz w:val="32"/>
          <w:szCs w:val="32"/>
        </w:rPr>
        <w:t>申报资料要求</w:t>
      </w:r>
    </w:p>
    <w:p w14:paraId="40189811" w14:textId="187F8B11" w:rsidR="00A32878" w:rsidRDefault="00A32878" w:rsidP="00955AF5">
      <w:pPr>
        <w:widowControl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2878">
        <w:rPr>
          <w:rFonts w:ascii="Times New Roman" w:eastAsia="仿宋_GB2312" w:hAnsi="Times New Roman" w:cs="Times New Roman" w:hint="eastAsia"/>
          <w:sz w:val="32"/>
          <w:szCs w:val="32"/>
        </w:rPr>
        <w:t>申报资料</w:t>
      </w:r>
      <w:r w:rsidRPr="00A32878">
        <w:rPr>
          <w:rFonts w:ascii="Times New Roman" w:eastAsia="仿宋_GB2312" w:hAnsi="Times New Roman" w:cs="Times New Roman"/>
          <w:sz w:val="32"/>
          <w:szCs w:val="32"/>
        </w:rPr>
        <w:t>中</w:t>
      </w:r>
      <w:r w:rsidRPr="00A32878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Pr="00A32878">
        <w:rPr>
          <w:rFonts w:ascii="Times New Roman" w:eastAsia="仿宋_GB2312" w:hAnsi="Times New Roman" w:cs="Times New Roman"/>
          <w:sz w:val="32"/>
          <w:szCs w:val="32"/>
        </w:rPr>
        <w:t>包括</w:t>
      </w:r>
      <w:r w:rsidRPr="00A32878">
        <w:rPr>
          <w:rFonts w:ascii="Times New Roman" w:eastAsia="仿宋_GB2312" w:hAnsi="Times New Roman" w:cs="Times New Roman" w:hint="eastAsia"/>
          <w:sz w:val="32"/>
          <w:szCs w:val="32"/>
        </w:rPr>
        <w:t>微生物限度检测</w:t>
      </w:r>
      <w:r w:rsidRPr="00A32878">
        <w:rPr>
          <w:rFonts w:ascii="Times New Roman" w:eastAsia="仿宋_GB2312" w:hAnsi="Times New Roman" w:cs="Times New Roman"/>
          <w:sz w:val="32"/>
          <w:szCs w:val="32"/>
        </w:rPr>
        <w:t>方法、方法适用性</w:t>
      </w:r>
      <w:r w:rsidRPr="00A32878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Pr="00A32878">
        <w:rPr>
          <w:rFonts w:ascii="Times New Roman" w:eastAsia="仿宋_GB2312" w:hAnsi="Times New Roman" w:cs="Times New Roman"/>
          <w:sz w:val="32"/>
          <w:szCs w:val="32"/>
        </w:rPr>
        <w:t>资料</w:t>
      </w:r>
      <w:r w:rsidR="007571CC">
        <w:rPr>
          <w:rFonts w:ascii="Times New Roman" w:eastAsia="仿宋_GB2312" w:hAnsi="Times New Roman" w:cs="Times New Roman" w:hint="eastAsia"/>
          <w:sz w:val="32"/>
          <w:szCs w:val="32"/>
        </w:rPr>
        <w:t>以及</w:t>
      </w:r>
      <w:r w:rsidR="007571CC" w:rsidRPr="007571CC">
        <w:rPr>
          <w:rFonts w:ascii="Times New Roman" w:eastAsia="仿宋_GB2312" w:hAnsi="Times New Roman" w:cs="Times New Roman" w:hint="eastAsia"/>
          <w:sz w:val="32"/>
          <w:szCs w:val="32"/>
        </w:rPr>
        <w:t>微生物限度控制策略</w:t>
      </w:r>
      <w:r w:rsidR="007571CC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7571CC">
        <w:rPr>
          <w:rFonts w:ascii="Times New Roman" w:eastAsia="仿宋_GB2312" w:hAnsi="Times New Roman" w:cs="Times New Roman"/>
          <w:sz w:val="32"/>
          <w:szCs w:val="32"/>
        </w:rPr>
        <w:t>制定依据</w:t>
      </w:r>
      <w:r w:rsidRPr="00A32878">
        <w:rPr>
          <w:rFonts w:ascii="Times New Roman" w:eastAsia="仿宋_GB2312" w:hAnsi="Times New Roman" w:cs="Times New Roman" w:hint="eastAsia"/>
          <w:sz w:val="32"/>
          <w:szCs w:val="32"/>
        </w:rPr>
        <w:t>。明确了</w:t>
      </w:r>
      <w:r w:rsidRPr="00A32878">
        <w:rPr>
          <w:rFonts w:ascii="Times New Roman" w:eastAsia="仿宋_GB2312" w:hAnsi="Times New Roman" w:cs="Times New Roman"/>
          <w:sz w:val="32"/>
          <w:szCs w:val="32"/>
        </w:rPr>
        <w:t>各</w:t>
      </w:r>
      <w:r w:rsidRPr="00A32878">
        <w:rPr>
          <w:rFonts w:ascii="Times New Roman" w:eastAsia="仿宋_GB2312" w:hAnsi="Times New Roman" w:cs="Times New Roman" w:hint="eastAsia"/>
          <w:sz w:val="32"/>
          <w:szCs w:val="32"/>
        </w:rPr>
        <w:t>模块下</w:t>
      </w:r>
      <w:r w:rsidRPr="00A32878">
        <w:rPr>
          <w:rFonts w:ascii="Times New Roman" w:eastAsia="仿宋_GB2312" w:hAnsi="Times New Roman" w:cs="Times New Roman"/>
          <w:sz w:val="32"/>
          <w:szCs w:val="32"/>
        </w:rPr>
        <w:t>应包含的具体研究资料</w:t>
      </w:r>
      <w:r w:rsidRPr="00A32878">
        <w:rPr>
          <w:rFonts w:ascii="Times New Roman" w:eastAsia="仿宋_GB2312" w:hAnsi="Times New Roman" w:cs="Times New Roman" w:hint="eastAsia"/>
          <w:sz w:val="32"/>
          <w:szCs w:val="32"/>
        </w:rPr>
        <w:t>以及</w:t>
      </w:r>
      <w:r w:rsidRPr="00A32878">
        <w:rPr>
          <w:rFonts w:ascii="Times New Roman" w:eastAsia="仿宋_GB2312" w:hAnsi="Times New Roman" w:cs="Times New Roman"/>
          <w:sz w:val="32"/>
          <w:szCs w:val="32"/>
        </w:rPr>
        <w:t>申报资料的</w:t>
      </w:r>
      <w:r w:rsidRPr="00A32878">
        <w:rPr>
          <w:rFonts w:ascii="Times New Roman" w:eastAsia="仿宋_GB2312" w:hAnsi="Times New Roman" w:cs="Times New Roman" w:hint="eastAsia"/>
          <w:sz w:val="32"/>
          <w:szCs w:val="32"/>
        </w:rPr>
        <w:t>其他</w:t>
      </w:r>
      <w:r w:rsidRPr="00A32878">
        <w:rPr>
          <w:rFonts w:ascii="Times New Roman" w:eastAsia="仿宋_GB2312" w:hAnsi="Times New Roman" w:cs="Times New Roman"/>
          <w:sz w:val="32"/>
          <w:szCs w:val="32"/>
        </w:rPr>
        <w:t>关注点，如</w:t>
      </w:r>
      <w:r w:rsidR="00E70A2B">
        <w:rPr>
          <w:rFonts w:ascii="Times New Roman" w:eastAsia="仿宋_GB2312" w:hAnsi="Times New Roman" w:cs="Times New Roman" w:hint="eastAsia"/>
          <w:sz w:val="32"/>
          <w:szCs w:val="32"/>
        </w:rPr>
        <w:t>放行标准及货架期标准中的微生物限度要求</w:t>
      </w:r>
      <w:r w:rsidRPr="00A32878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05EAE" w:rsidRPr="00A05EAE">
        <w:rPr>
          <w:rFonts w:ascii="Times New Roman" w:eastAsia="仿宋_GB2312" w:hAnsi="Times New Roman" w:cs="Times New Roman"/>
          <w:sz w:val="32"/>
          <w:szCs w:val="32"/>
        </w:rPr>
        <w:t>稳定性考察期间的微生物限度研究</w:t>
      </w:r>
      <w:r w:rsidR="00A05EA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A32878">
        <w:rPr>
          <w:rFonts w:ascii="Times New Roman" w:eastAsia="仿宋_GB2312" w:hAnsi="Times New Roman" w:cs="Times New Roman" w:hint="eastAsia"/>
          <w:sz w:val="32"/>
          <w:szCs w:val="32"/>
        </w:rPr>
        <w:t>微生物限度检查的标准复核及样品检验。</w:t>
      </w:r>
    </w:p>
    <w:p w14:paraId="26592C36" w14:textId="1E822B5D" w:rsidR="00E70A2B" w:rsidRPr="00E70A2B" w:rsidRDefault="00290B6E" w:rsidP="00E70A2B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关于</w:t>
      </w:r>
      <w:r w:rsidR="00A646D8">
        <w:rPr>
          <w:rFonts w:ascii="Times New Roman" w:eastAsia="仿宋_GB2312" w:hAnsi="Times New Roman" w:cs="Times New Roman" w:hint="eastAsia"/>
          <w:sz w:val="32"/>
          <w:szCs w:val="32"/>
        </w:rPr>
        <w:t>标准复核</w:t>
      </w:r>
      <w:r w:rsidR="00E70A2B">
        <w:rPr>
          <w:rFonts w:ascii="Times New Roman" w:eastAsia="仿宋_GB2312" w:hAnsi="Times New Roman" w:cs="Times New Roman" w:hint="eastAsia"/>
          <w:sz w:val="32"/>
          <w:szCs w:val="32"/>
        </w:rPr>
        <w:t>及样品</w:t>
      </w:r>
      <w:r w:rsidR="00E70A2B">
        <w:rPr>
          <w:rFonts w:ascii="Times New Roman" w:eastAsia="仿宋_GB2312" w:hAnsi="Times New Roman" w:cs="Times New Roman"/>
          <w:sz w:val="32"/>
          <w:szCs w:val="32"/>
        </w:rPr>
        <w:t>检验</w:t>
      </w:r>
      <w:r w:rsidR="00A646D8">
        <w:rPr>
          <w:rFonts w:ascii="Times New Roman" w:eastAsia="仿宋_GB2312" w:hAnsi="Times New Roman" w:cs="Times New Roman"/>
          <w:sz w:val="32"/>
          <w:szCs w:val="32"/>
        </w:rPr>
        <w:t>，应关注</w:t>
      </w:r>
      <w:r w:rsidR="00A646D8" w:rsidRPr="00A646D8">
        <w:rPr>
          <w:rFonts w:ascii="Times New Roman" w:eastAsia="仿宋_GB2312" w:hAnsi="Times New Roman" w:cs="Times New Roman" w:hint="eastAsia"/>
          <w:sz w:val="32"/>
          <w:szCs w:val="32"/>
        </w:rPr>
        <w:t>检验机构对于申报资料的相关要求，避免出现申报质量标准与方法学研究资料不一致、检验项目缺失、检验量少于药典要求、具体操作方法明显不可行、存在过度稀释等明显不能满足标准判断需要等情况。</w:t>
      </w:r>
      <w:r w:rsidR="00E70A2B">
        <w:rPr>
          <w:rFonts w:ascii="Times New Roman" w:eastAsia="仿宋_GB2312" w:hAnsi="Times New Roman" w:cs="Times New Roman" w:hint="eastAsia"/>
          <w:sz w:val="32"/>
          <w:szCs w:val="32"/>
        </w:rPr>
        <w:t>另外</w:t>
      </w:r>
      <w:r w:rsidR="0086793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3C4829">
        <w:rPr>
          <w:rFonts w:ascii="Times New Roman" w:eastAsia="仿宋_GB2312" w:hAnsi="Times New Roman" w:cs="Times New Roman" w:hint="eastAsia"/>
          <w:sz w:val="32"/>
          <w:szCs w:val="32"/>
        </w:rPr>
        <w:t>针对</w:t>
      </w:r>
      <w:r w:rsidR="003C4829" w:rsidRPr="00AD6E7C">
        <w:rPr>
          <w:rFonts w:ascii="Times New Roman" w:eastAsia="仿宋_GB2312" w:hAnsi="Times New Roman" w:cs="Times New Roman" w:hint="eastAsia"/>
          <w:sz w:val="32"/>
          <w:szCs w:val="32"/>
        </w:rPr>
        <w:t>进口</w:t>
      </w:r>
      <w:r w:rsidR="003C4829" w:rsidRPr="00AD6E7C">
        <w:rPr>
          <w:rFonts w:ascii="Times New Roman" w:eastAsia="仿宋_GB2312" w:hAnsi="Times New Roman" w:cs="Times New Roman"/>
          <w:sz w:val="32"/>
          <w:szCs w:val="32"/>
        </w:rPr>
        <w:t>品种</w:t>
      </w:r>
      <w:r w:rsidR="003C4829" w:rsidRPr="00AD6E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3C4829" w:rsidRPr="00AD6E7C">
        <w:rPr>
          <w:rFonts w:ascii="Times New Roman" w:eastAsia="仿宋_GB2312" w:hAnsi="Times New Roman" w:cs="Times New Roman"/>
          <w:sz w:val="32"/>
          <w:szCs w:val="32"/>
        </w:rPr>
        <w:t>国内外共线品种</w:t>
      </w:r>
      <w:r w:rsidR="003C4829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3C4829">
        <w:rPr>
          <w:rFonts w:ascii="Times New Roman" w:eastAsia="仿宋_GB2312" w:hAnsi="Times New Roman" w:cs="Times New Roman"/>
          <w:sz w:val="32"/>
          <w:szCs w:val="32"/>
        </w:rPr>
        <w:t>试验菌种问</w:t>
      </w:r>
      <w:r w:rsidR="003C4829">
        <w:rPr>
          <w:rFonts w:ascii="Times New Roman" w:eastAsia="仿宋_GB2312" w:hAnsi="Times New Roman" w:cs="Times New Roman"/>
          <w:sz w:val="32"/>
          <w:szCs w:val="32"/>
        </w:rPr>
        <w:lastRenderedPageBreak/>
        <w:t>题，</w:t>
      </w:r>
      <w:r w:rsidR="00867935">
        <w:rPr>
          <w:rFonts w:ascii="Times New Roman" w:eastAsia="仿宋_GB2312" w:hAnsi="Times New Roman" w:cs="Times New Roman" w:hint="eastAsia"/>
          <w:sz w:val="32"/>
          <w:szCs w:val="32"/>
        </w:rPr>
        <w:t>建议执行</w:t>
      </w:r>
      <w:r w:rsidR="00E70A2B" w:rsidRPr="00E70A2B">
        <w:rPr>
          <w:rFonts w:ascii="Times New Roman" w:eastAsia="仿宋_GB2312" w:hAnsi="Times New Roman" w:cs="Times New Roman" w:hint="eastAsia"/>
          <w:sz w:val="32"/>
          <w:szCs w:val="32"/>
        </w:rPr>
        <w:t>中国药典</w:t>
      </w:r>
      <w:r w:rsidR="00E70A2B">
        <w:rPr>
          <w:rFonts w:ascii="Times New Roman" w:eastAsia="仿宋_GB2312" w:hAnsi="Times New Roman" w:cs="Times New Roman" w:hint="eastAsia"/>
          <w:sz w:val="32"/>
          <w:szCs w:val="32"/>
        </w:rPr>
        <w:t>9203</w:t>
      </w:r>
      <w:r w:rsidR="00E70A2B" w:rsidRPr="00E70A2B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E70A2B" w:rsidRPr="00E70A2B">
        <w:rPr>
          <w:rFonts w:ascii="Times New Roman" w:eastAsia="仿宋_GB2312" w:hAnsi="Times New Roman" w:cs="Times New Roman"/>
          <w:sz w:val="32"/>
          <w:szCs w:val="32"/>
        </w:rPr>
        <w:t>药品微生物实验室质量管理指导原则</w:t>
      </w:r>
      <w:r w:rsidR="00E70A2B" w:rsidRPr="00E70A2B">
        <w:rPr>
          <w:rFonts w:ascii="Times New Roman" w:eastAsia="仿宋_GB2312" w:hAnsi="Times New Roman" w:cs="Times New Roman" w:hint="eastAsia"/>
          <w:sz w:val="32"/>
          <w:szCs w:val="32"/>
        </w:rPr>
        <w:t>》中</w:t>
      </w:r>
      <w:r w:rsidR="003C4829">
        <w:rPr>
          <w:rFonts w:ascii="Times New Roman" w:eastAsia="仿宋_GB2312" w:hAnsi="Times New Roman" w:cs="Times New Roman" w:hint="eastAsia"/>
          <w:sz w:val="32"/>
          <w:szCs w:val="32"/>
        </w:rPr>
        <w:t>的相关</w:t>
      </w:r>
      <w:r w:rsidR="003C4829">
        <w:rPr>
          <w:rFonts w:ascii="Times New Roman" w:eastAsia="仿宋_GB2312" w:hAnsi="Times New Roman" w:cs="Times New Roman"/>
          <w:sz w:val="32"/>
          <w:szCs w:val="32"/>
        </w:rPr>
        <w:t>要求，并</w:t>
      </w:r>
      <w:r w:rsidR="00E70A2B" w:rsidRPr="0011212C">
        <w:rPr>
          <w:rFonts w:ascii="Times New Roman" w:eastAsia="仿宋_GB2312" w:hAnsi="Times New Roman" w:cs="Times New Roman"/>
          <w:sz w:val="32"/>
          <w:szCs w:val="32"/>
        </w:rPr>
        <w:t>关注</w:t>
      </w:r>
      <w:r w:rsidR="00E70A2B" w:rsidRPr="0011212C">
        <w:rPr>
          <w:rFonts w:ascii="Times New Roman" w:eastAsia="仿宋_GB2312" w:hAnsi="Times New Roman" w:cs="Times New Roman" w:hint="eastAsia"/>
          <w:sz w:val="32"/>
          <w:szCs w:val="32"/>
        </w:rPr>
        <w:t>检测方法与菌株来源的匹配性，</w:t>
      </w:r>
      <w:r w:rsidR="00FA1DE1">
        <w:rPr>
          <w:rFonts w:ascii="Times New Roman" w:eastAsia="仿宋_GB2312" w:hAnsi="Times New Roman" w:cs="Times New Roman" w:hint="eastAsia"/>
          <w:sz w:val="32"/>
          <w:szCs w:val="32"/>
        </w:rPr>
        <w:t>同时</w:t>
      </w:r>
      <w:r w:rsidR="00FA1DE1">
        <w:rPr>
          <w:rFonts w:ascii="Times New Roman" w:eastAsia="仿宋_GB2312" w:hAnsi="Times New Roman" w:cs="Times New Roman"/>
          <w:sz w:val="32"/>
          <w:szCs w:val="32"/>
        </w:rPr>
        <w:t>请</w:t>
      </w:r>
      <w:r w:rsidR="00867935">
        <w:rPr>
          <w:rFonts w:ascii="Times New Roman" w:eastAsia="仿宋_GB2312" w:hAnsi="Times New Roman" w:cs="Times New Roman" w:hint="eastAsia"/>
          <w:sz w:val="32"/>
          <w:szCs w:val="32"/>
        </w:rPr>
        <w:t>关注</w:t>
      </w:r>
      <w:r w:rsidR="00E70A2B" w:rsidRPr="0011212C">
        <w:rPr>
          <w:rFonts w:ascii="Times New Roman" w:eastAsia="仿宋_GB2312" w:hAnsi="Times New Roman" w:cs="Times New Roman" w:hint="eastAsia"/>
          <w:sz w:val="32"/>
          <w:szCs w:val="32"/>
        </w:rPr>
        <w:t>检验机构</w:t>
      </w:r>
      <w:r w:rsidR="00E70A2B" w:rsidRPr="0011212C">
        <w:rPr>
          <w:rFonts w:ascii="Times New Roman" w:eastAsia="仿宋_GB2312" w:hAnsi="Times New Roman" w:cs="Times New Roman"/>
          <w:sz w:val="32"/>
          <w:szCs w:val="32"/>
        </w:rPr>
        <w:t>的具体要求</w:t>
      </w:r>
      <w:r w:rsidR="00E70A2B" w:rsidRPr="0011212C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84384F5" w14:textId="77777777" w:rsidR="00621CD4" w:rsidRPr="003D5D5D" w:rsidRDefault="00621CD4" w:rsidP="00955AF5">
      <w:pPr>
        <w:widowControl/>
        <w:snapToGrid w:val="0"/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 w:rsidRPr="003D5D5D">
        <w:rPr>
          <w:rFonts w:ascii="Times New Roman" w:eastAsia="楷体" w:hAnsi="Times New Roman" w:cs="Times New Roman"/>
          <w:bCs/>
          <w:sz w:val="32"/>
          <w:szCs w:val="32"/>
        </w:rPr>
        <w:t>6</w:t>
      </w:r>
      <w:r w:rsidRPr="003D5D5D">
        <w:rPr>
          <w:rFonts w:ascii="Times New Roman" w:eastAsia="楷体" w:hAnsi="Times New Roman" w:cs="Times New Roman"/>
          <w:bCs/>
          <w:sz w:val="32"/>
          <w:szCs w:val="32"/>
        </w:rPr>
        <w:t>、名词术语</w:t>
      </w:r>
    </w:p>
    <w:p w14:paraId="1A2C9031" w14:textId="234CEB7A" w:rsidR="00621CD4" w:rsidRDefault="00955AF5" w:rsidP="00955AF5">
      <w:pPr>
        <w:widowControl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对本</w:t>
      </w:r>
      <w:r>
        <w:rPr>
          <w:rFonts w:ascii="Times New Roman" w:eastAsia="仿宋_GB2312" w:hAnsi="Times New Roman" w:cs="Times New Roman"/>
          <w:sz w:val="32"/>
          <w:szCs w:val="32"/>
        </w:rPr>
        <w:t>指导原则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中个别名词</w:t>
      </w:r>
      <w:r>
        <w:rPr>
          <w:rFonts w:ascii="Times New Roman" w:eastAsia="仿宋_GB2312" w:hAnsi="Times New Roman" w:cs="Times New Roman"/>
          <w:sz w:val="32"/>
          <w:szCs w:val="32"/>
        </w:rPr>
        <w:t>术语进行了解释。</w:t>
      </w:r>
    </w:p>
    <w:p w14:paraId="6233F3B7" w14:textId="3ABE087C" w:rsidR="00621CD4" w:rsidRPr="003D5D5D" w:rsidRDefault="00621CD4" w:rsidP="00955AF5">
      <w:pPr>
        <w:widowControl/>
        <w:snapToGrid w:val="0"/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 w:rsidRPr="003D5D5D">
        <w:rPr>
          <w:rFonts w:ascii="Times New Roman" w:eastAsia="楷体" w:hAnsi="Times New Roman" w:cs="Times New Roman" w:hint="eastAsia"/>
          <w:bCs/>
          <w:sz w:val="32"/>
          <w:szCs w:val="32"/>
        </w:rPr>
        <w:t>7</w:t>
      </w:r>
      <w:r w:rsidRPr="003D5D5D">
        <w:rPr>
          <w:rFonts w:ascii="Times New Roman" w:eastAsia="楷体" w:hAnsi="Times New Roman" w:cs="Times New Roman" w:hint="eastAsia"/>
          <w:bCs/>
          <w:sz w:val="32"/>
          <w:szCs w:val="32"/>
        </w:rPr>
        <w:t>、</w:t>
      </w:r>
      <w:r w:rsidRPr="003D5D5D">
        <w:rPr>
          <w:rFonts w:ascii="Times New Roman" w:eastAsia="楷体" w:hAnsi="Times New Roman" w:cs="Times New Roman"/>
          <w:bCs/>
          <w:sz w:val="32"/>
          <w:szCs w:val="32"/>
        </w:rPr>
        <w:t>参考文献</w:t>
      </w:r>
    </w:p>
    <w:p w14:paraId="6A5B0D55" w14:textId="44623454" w:rsidR="003D39D3" w:rsidRPr="00955AF5" w:rsidRDefault="00955AF5" w:rsidP="00955AF5">
      <w:pPr>
        <w:widowControl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55AF5">
        <w:rPr>
          <w:rFonts w:ascii="Times New Roman" w:eastAsia="仿宋_GB2312" w:hAnsi="Times New Roman" w:cs="Times New Roman" w:hint="eastAsia"/>
          <w:sz w:val="32"/>
          <w:szCs w:val="32"/>
        </w:rPr>
        <w:t>列举了主要</w:t>
      </w:r>
      <w:r w:rsidRPr="00955AF5">
        <w:rPr>
          <w:rFonts w:ascii="Times New Roman" w:eastAsia="仿宋_GB2312" w:hAnsi="Times New Roman" w:cs="Times New Roman"/>
          <w:sz w:val="32"/>
          <w:szCs w:val="32"/>
        </w:rPr>
        <w:t>参考的国内外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文献，</w:t>
      </w:r>
      <w:r>
        <w:rPr>
          <w:rFonts w:ascii="Times New Roman" w:eastAsia="仿宋_GB2312" w:hAnsi="Times New Roman" w:cs="Times New Roman"/>
          <w:sz w:val="32"/>
          <w:szCs w:val="32"/>
        </w:rPr>
        <w:t>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国内外</w:t>
      </w:r>
      <w:r>
        <w:rPr>
          <w:rFonts w:ascii="Times New Roman" w:eastAsia="仿宋_GB2312" w:hAnsi="Times New Roman" w:cs="Times New Roman"/>
          <w:sz w:val="32"/>
          <w:szCs w:val="32"/>
        </w:rPr>
        <w:t>药典、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ICH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PDA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2D42649" w14:textId="18F0AE47" w:rsidR="00C72FA1" w:rsidRPr="00E70A2B" w:rsidRDefault="003D39D3" w:rsidP="00E70A2B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03475">
        <w:rPr>
          <w:rFonts w:ascii="Times New Roman" w:eastAsia="仿宋_GB2312" w:hAnsi="Times New Roman" w:cs="Times New Roman"/>
          <w:sz w:val="32"/>
          <w:szCs w:val="32"/>
        </w:rPr>
        <w:t>本指导原则是在现行法规和标准体系以及当前认知水平下制定的，随着相关法规的不断完善以及药物研究技术要求的提高，本指导原则将不断修订并完善。</w:t>
      </w:r>
    </w:p>
    <w:sectPr w:rsidR="00C72FA1" w:rsidRPr="00E70A2B" w:rsidSect="00E70A2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0606C" w14:textId="77777777" w:rsidR="004F5E72" w:rsidRDefault="004F5E72">
      <w:r>
        <w:separator/>
      </w:r>
    </w:p>
  </w:endnote>
  <w:endnote w:type="continuationSeparator" w:id="0">
    <w:p w14:paraId="5429684A" w14:textId="77777777" w:rsidR="004F5E72" w:rsidRDefault="004F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16997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17F76D" w14:textId="2351630B" w:rsidR="007A5838" w:rsidRDefault="00E8434C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3F5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3F5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7BD396" w14:textId="77777777" w:rsidR="007A5838" w:rsidRDefault="00523F5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4A101" w14:textId="77777777" w:rsidR="004F5E72" w:rsidRDefault="004F5E72">
      <w:r>
        <w:separator/>
      </w:r>
    </w:p>
  </w:footnote>
  <w:footnote w:type="continuationSeparator" w:id="0">
    <w:p w14:paraId="2435A0ED" w14:textId="77777777" w:rsidR="004F5E72" w:rsidRDefault="004F5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27"/>
    <w:rsid w:val="00011936"/>
    <w:rsid w:val="000535CE"/>
    <w:rsid w:val="000838EF"/>
    <w:rsid w:val="00083B8F"/>
    <w:rsid w:val="00084616"/>
    <w:rsid w:val="00096953"/>
    <w:rsid w:val="000B2BE7"/>
    <w:rsid w:val="000B5C40"/>
    <w:rsid w:val="000C615B"/>
    <w:rsid w:val="000C6FCD"/>
    <w:rsid w:val="0011212C"/>
    <w:rsid w:val="00134F9F"/>
    <w:rsid w:val="0017793F"/>
    <w:rsid w:val="00183F48"/>
    <w:rsid w:val="00190107"/>
    <w:rsid w:val="00190F45"/>
    <w:rsid w:val="00192E3D"/>
    <w:rsid w:val="001960D5"/>
    <w:rsid w:val="001A5C8B"/>
    <w:rsid w:val="001C0B16"/>
    <w:rsid w:val="001C54D3"/>
    <w:rsid w:val="001C6D92"/>
    <w:rsid w:val="001D1AD2"/>
    <w:rsid w:val="001E3C68"/>
    <w:rsid w:val="002317B8"/>
    <w:rsid w:val="0023370A"/>
    <w:rsid w:val="00251ADD"/>
    <w:rsid w:val="00290B6E"/>
    <w:rsid w:val="002A5E95"/>
    <w:rsid w:val="002C2BF3"/>
    <w:rsid w:val="002D2E20"/>
    <w:rsid w:val="002E5E60"/>
    <w:rsid w:val="002F584D"/>
    <w:rsid w:val="002F59DF"/>
    <w:rsid w:val="003020D6"/>
    <w:rsid w:val="0031003F"/>
    <w:rsid w:val="003211B1"/>
    <w:rsid w:val="0033110F"/>
    <w:rsid w:val="00366C05"/>
    <w:rsid w:val="00366D9A"/>
    <w:rsid w:val="00385FDF"/>
    <w:rsid w:val="003954DF"/>
    <w:rsid w:val="003956AC"/>
    <w:rsid w:val="003A6BD5"/>
    <w:rsid w:val="003B29F9"/>
    <w:rsid w:val="003C4131"/>
    <w:rsid w:val="003C4829"/>
    <w:rsid w:val="003D39D3"/>
    <w:rsid w:val="003D5D5D"/>
    <w:rsid w:val="003E0635"/>
    <w:rsid w:val="003F5595"/>
    <w:rsid w:val="004025A8"/>
    <w:rsid w:val="00495B1E"/>
    <w:rsid w:val="004B5EE1"/>
    <w:rsid w:val="004C7457"/>
    <w:rsid w:val="004D0795"/>
    <w:rsid w:val="004F4AF0"/>
    <w:rsid w:val="004F5E72"/>
    <w:rsid w:val="005039EE"/>
    <w:rsid w:val="00523F51"/>
    <w:rsid w:val="00552AAC"/>
    <w:rsid w:val="005615A0"/>
    <w:rsid w:val="00567925"/>
    <w:rsid w:val="00591F7F"/>
    <w:rsid w:val="005A0212"/>
    <w:rsid w:val="005A49CF"/>
    <w:rsid w:val="00613B8B"/>
    <w:rsid w:val="00621CD4"/>
    <w:rsid w:val="0065247D"/>
    <w:rsid w:val="00653C89"/>
    <w:rsid w:val="006678D2"/>
    <w:rsid w:val="00680042"/>
    <w:rsid w:val="00687CC7"/>
    <w:rsid w:val="006A2DC2"/>
    <w:rsid w:val="006D1EE6"/>
    <w:rsid w:val="00724915"/>
    <w:rsid w:val="00727B52"/>
    <w:rsid w:val="00742A30"/>
    <w:rsid w:val="00745C27"/>
    <w:rsid w:val="007512E5"/>
    <w:rsid w:val="007571CC"/>
    <w:rsid w:val="00757486"/>
    <w:rsid w:val="00767ACB"/>
    <w:rsid w:val="007719F0"/>
    <w:rsid w:val="0077502A"/>
    <w:rsid w:val="0079104D"/>
    <w:rsid w:val="00792177"/>
    <w:rsid w:val="007A3A94"/>
    <w:rsid w:val="007B0788"/>
    <w:rsid w:val="007C2E27"/>
    <w:rsid w:val="007C5416"/>
    <w:rsid w:val="007D4D0F"/>
    <w:rsid w:val="007F181B"/>
    <w:rsid w:val="00805BF4"/>
    <w:rsid w:val="008078B0"/>
    <w:rsid w:val="008255F4"/>
    <w:rsid w:val="0083736B"/>
    <w:rsid w:val="00842552"/>
    <w:rsid w:val="00847691"/>
    <w:rsid w:val="0085075F"/>
    <w:rsid w:val="00862778"/>
    <w:rsid w:val="00867935"/>
    <w:rsid w:val="00884148"/>
    <w:rsid w:val="00893F3E"/>
    <w:rsid w:val="008A6266"/>
    <w:rsid w:val="008A6D28"/>
    <w:rsid w:val="008B3F2F"/>
    <w:rsid w:val="008F0C10"/>
    <w:rsid w:val="009001BB"/>
    <w:rsid w:val="00907661"/>
    <w:rsid w:val="00913CF2"/>
    <w:rsid w:val="009279C1"/>
    <w:rsid w:val="00927F5F"/>
    <w:rsid w:val="009307AC"/>
    <w:rsid w:val="009355A8"/>
    <w:rsid w:val="00955AF5"/>
    <w:rsid w:val="00972406"/>
    <w:rsid w:val="00972D24"/>
    <w:rsid w:val="00973849"/>
    <w:rsid w:val="00984067"/>
    <w:rsid w:val="009A1E90"/>
    <w:rsid w:val="009E352D"/>
    <w:rsid w:val="009E552B"/>
    <w:rsid w:val="009F4597"/>
    <w:rsid w:val="00A05EAE"/>
    <w:rsid w:val="00A149F7"/>
    <w:rsid w:val="00A22105"/>
    <w:rsid w:val="00A32878"/>
    <w:rsid w:val="00A427C5"/>
    <w:rsid w:val="00A51742"/>
    <w:rsid w:val="00A646D8"/>
    <w:rsid w:val="00A95FE5"/>
    <w:rsid w:val="00AA1A08"/>
    <w:rsid w:val="00AB2C5C"/>
    <w:rsid w:val="00AB6C85"/>
    <w:rsid w:val="00AC4840"/>
    <w:rsid w:val="00AD1064"/>
    <w:rsid w:val="00AD6E7C"/>
    <w:rsid w:val="00AF6420"/>
    <w:rsid w:val="00B428DA"/>
    <w:rsid w:val="00B446C9"/>
    <w:rsid w:val="00B53D24"/>
    <w:rsid w:val="00B57707"/>
    <w:rsid w:val="00B618E8"/>
    <w:rsid w:val="00B67389"/>
    <w:rsid w:val="00B94AA4"/>
    <w:rsid w:val="00BA139F"/>
    <w:rsid w:val="00BB5A0E"/>
    <w:rsid w:val="00BB5A4C"/>
    <w:rsid w:val="00BE2510"/>
    <w:rsid w:val="00BF11A7"/>
    <w:rsid w:val="00BF557A"/>
    <w:rsid w:val="00C07D48"/>
    <w:rsid w:val="00C16488"/>
    <w:rsid w:val="00C52D8C"/>
    <w:rsid w:val="00C55575"/>
    <w:rsid w:val="00C56057"/>
    <w:rsid w:val="00C72FA1"/>
    <w:rsid w:val="00C903B3"/>
    <w:rsid w:val="00C914D2"/>
    <w:rsid w:val="00CB316D"/>
    <w:rsid w:val="00CC4451"/>
    <w:rsid w:val="00CE0D15"/>
    <w:rsid w:val="00D143AD"/>
    <w:rsid w:val="00D2350A"/>
    <w:rsid w:val="00D43481"/>
    <w:rsid w:val="00D478CF"/>
    <w:rsid w:val="00D53D9B"/>
    <w:rsid w:val="00D62B00"/>
    <w:rsid w:val="00D66DAB"/>
    <w:rsid w:val="00D7069E"/>
    <w:rsid w:val="00D9635F"/>
    <w:rsid w:val="00DA037A"/>
    <w:rsid w:val="00E00AE9"/>
    <w:rsid w:val="00E16FE1"/>
    <w:rsid w:val="00E2656E"/>
    <w:rsid w:val="00E44AAF"/>
    <w:rsid w:val="00E619F3"/>
    <w:rsid w:val="00E6676D"/>
    <w:rsid w:val="00E70A2B"/>
    <w:rsid w:val="00E70C30"/>
    <w:rsid w:val="00E81569"/>
    <w:rsid w:val="00E8434C"/>
    <w:rsid w:val="00EB49A6"/>
    <w:rsid w:val="00EC40FF"/>
    <w:rsid w:val="00ED12AB"/>
    <w:rsid w:val="00EE2B73"/>
    <w:rsid w:val="00EE470B"/>
    <w:rsid w:val="00F36741"/>
    <w:rsid w:val="00F40E4C"/>
    <w:rsid w:val="00F75B4C"/>
    <w:rsid w:val="00F91E86"/>
    <w:rsid w:val="00FA1DE1"/>
    <w:rsid w:val="00FA2657"/>
    <w:rsid w:val="00FB3E8C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09EC86"/>
  <w15:docId w15:val="{DB11D8B1-1740-4077-B48E-3E2CE1CE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C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70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70C30"/>
    <w:rPr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E70C3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5"/>
    <w:uiPriority w:val="10"/>
    <w:rsid w:val="00E70C3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annotation reference"/>
    <w:basedOn w:val="a0"/>
    <w:uiPriority w:val="99"/>
    <w:semiHidden/>
    <w:unhideWhenUsed/>
    <w:rsid w:val="00FA2657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FA2657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FA2657"/>
  </w:style>
  <w:style w:type="paragraph" w:styleId="aa">
    <w:name w:val="Balloon Text"/>
    <w:basedOn w:val="a"/>
    <w:link w:val="ab"/>
    <w:uiPriority w:val="99"/>
    <w:semiHidden/>
    <w:unhideWhenUsed/>
    <w:rsid w:val="00FA265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A2657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C2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C2BF3"/>
    <w:rPr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D62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320</Words>
  <Characters>1827</Characters>
  <Application>Microsoft Office Word</Application>
  <DocSecurity>0</DocSecurity>
  <Lines>15</Lines>
  <Paragraphs>4</Paragraphs>
  <ScaleCrop>false</ScaleCrop>
  <Company>Microsoft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李珊珊</dc:creator>
  <cp:keywords/>
  <dc:description/>
  <cp:lastModifiedBy>李珊珊</cp:lastModifiedBy>
  <cp:revision>59</cp:revision>
  <dcterms:created xsi:type="dcterms:W3CDTF">2022-08-25T00:35:00Z</dcterms:created>
  <dcterms:modified xsi:type="dcterms:W3CDTF">2022-09-29T06:44:00Z</dcterms:modified>
</cp:coreProperties>
</file>