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56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</w:t>
      </w:r>
    </w:p>
    <w:p>
      <w:pPr>
        <w:snapToGrid w:val="0"/>
        <w:spacing w:line="288" w:lineRule="auto"/>
        <w:jc w:val="center"/>
        <w:rPr>
          <w:rFonts w:hint="eastAsia" w:ascii="黑体" w:hAnsi="黑体" w:eastAsia="黑体" w:cs="黑体"/>
          <w:sz w:val="84"/>
          <w:szCs w:val="84"/>
          <w:highlight w:val="none"/>
        </w:rPr>
      </w:pPr>
    </w:p>
    <w:p>
      <w:pPr>
        <w:adjustRightInd w:val="0"/>
        <w:snapToGrid w:val="0"/>
        <w:spacing w:line="288" w:lineRule="auto"/>
        <w:jc w:val="center"/>
        <w:rPr>
          <w:rFonts w:ascii="黑体" w:hAnsi="黑体" w:eastAsia="黑体" w:cs="黑体"/>
          <w:sz w:val="84"/>
          <w:szCs w:val="84"/>
          <w:highlight w:val="none"/>
        </w:rPr>
      </w:pPr>
    </w:p>
    <w:p>
      <w:pPr>
        <w:snapToGrid w:val="0"/>
        <w:spacing w:line="360" w:lineRule="auto"/>
        <w:jc w:val="center"/>
        <w:rPr>
          <w:rFonts w:hint="default" w:ascii="黑体" w:hAnsi="黑体" w:eastAsia="黑体" w:cs="黑体"/>
          <w:b/>
          <w:bCs/>
          <w:sz w:val="72"/>
          <w:szCs w:val="7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highlight w:val="none"/>
        </w:rPr>
        <w:t>防晒化妆品</w:t>
      </w:r>
      <w:r>
        <w:rPr>
          <w:rFonts w:hint="eastAsia" w:ascii="黑体" w:hAnsi="黑体" w:eastAsia="黑体" w:cs="黑体"/>
          <w:b/>
          <w:bCs/>
          <w:sz w:val="72"/>
          <w:szCs w:val="72"/>
          <w:highlight w:val="none"/>
          <w:lang w:val="en-US" w:eastAsia="zh-CN"/>
        </w:rPr>
        <w:t>防水性能检测</w:t>
      </w:r>
    </w:p>
    <w:p>
      <w:pPr>
        <w:snapToGrid w:val="0"/>
        <w:spacing w:line="288" w:lineRule="auto"/>
        <w:jc w:val="center"/>
        <w:rPr>
          <w:rFonts w:hint="eastAsia" w:ascii="黑体" w:hAnsi="黑体" w:eastAsia="黑体" w:cs="黑体"/>
          <w:b/>
          <w:bCs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highlight w:val="none"/>
        </w:rPr>
        <w:t>技术指导原则</w:t>
      </w:r>
    </w:p>
    <w:p>
      <w:pPr>
        <w:snapToGrid w:val="0"/>
        <w:spacing w:line="288" w:lineRule="auto"/>
        <w:jc w:val="center"/>
        <w:rPr>
          <w:rFonts w:hint="eastAsia" w:ascii="黑体" w:hAnsi="黑体" w:eastAsia="黑体" w:cs="黑体"/>
          <w:b/>
          <w:bCs/>
          <w:sz w:val="52"/>
          <w:szCs w:val="52"/>
          <w:highlight w:val="none"/>
        </w:rPr>
      </w:pPr>
    </w:p>
    <w:p>
      <w:pPr>
        <w:snapToGrid w:val="0"/>
        <w:spacing w:line="288" w:lineRule="auto"/>
        <w:jc w:val="center"/>
        <w:rPr>
          <w:rFonts w:ascii="黑体" w:hAnsi="黑体" w:eastAsia="黑体" w:cs="黑体"/>
          <w:b/>
          <w:bCs/>
          <w:sz w:val="52"/>
          <w:szCs w:val="52"/>
          <w:highlight w:val="none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highlight w:val="none"/>
        </w:rPr>
        <w:t>（</w:t>
      </w:r>
      <w:r>
        <w:rPr>
          <w:rFonts w:hint="eastAsia" w:ascii="黑体" w:hAnsi="黑体" w:eastAsia="黑体" w:cs="黑体"/>
          <w:b/>
          <w:bCs/>
          <w:sz w:val="52"/>
          <w:szCs w:val="52"/>
          <w:highlight w:val="none"/>
          <w:lang w:eastAsia="zh-CN"/>
        </w:rPr>
        <w:t>征求意见稿</w:t>
      </w:r>
      <w:r>
        <w:rPr>
          <w:rFonts w:hint="eastAsia" w:ascii="黑体" w:hAnsi="黑体" w:eastAsia="黑体" w:cs="黑体"/>
          <w:b/>
          <w:bCs/>
          <w:sz w:val="52"/>
          <w:szCs w:val="52"/>
          <w:highlight w:val="none"/>
        </w:rPr>
        <w:t>）</w:t>
      </w:r>
    </w:p>
    <w:p>
      <w:pPr>
        <w:snapToGrid w:val="0"/>
        <w:spacing w:line="360" w:lineRule="auto"/>
        <w:jc w:val="center"/>
        <w:rPr>
          <w:rFonts w:ascii="仿宋" w:hAnsi="仿宋" w:eastAsia="仿宋" w:cs="仿宋"/>
          <w:sz w:val="44"/>
          <w:szCs w:val="44"/>
          <w:highlight w:val="none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仿宋"/>
          <w:sz w:val="44"/>
          <w:szCs w:val="44"/>
          <w:highlight w:val="none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仿宋"/>
          <w:sz w:val="44"/>
          <w:szCs w:val="44"/>
          <w:highlight w:val="none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仿宋"/>
          <w:sz w:val="44"/>
          <w:szCs w:val="44"/>
          <w:highlight w:val="none"/>
        </w:rPr>
      </w:pPr>
      <w:bookmarkStart w:id="17" w:name="_GoBack"/>
      <w:bookmarkEnd w:id="17"/>
    </w:p>
    <w:p>
      <w:pPr>
        <w:snapToGrid w:val="0"/>
        <w:spacing w:line="360" w:lineRule="auto"/>
        <w:jc w:val="center"/>
        <w:rPr>
          <w:rFonts w:hint="eastAsia" w:ascii="楷体" w:hAnsi="楷体" w:eastAsia="楷体" w:cs="楷体"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sz w:val="44"/>
          <w:szCs w:val="44"/>
          <w:highlight w:val="none"/>
        </w:rPr>
        <w:t>中国食品药品检定研究院</w:t>
      </w:r>
    </w:p>
    <w:p>
      <w:pPr>
        <w:snapToGrid w:val="0"/>
        <w:spacing w:line="360" w:lineRule="auto"/>
        <w:jc w:val="center"/>
        <w:rPr>
          <w:rFonts w:hint="eastAsia" w:ascii="楷体" w:hAnsi="楷体" w:eastAsia="楷体" w:cs="楷体"/>
          <w:sz w:val="44"/>
          <w:szCs w:val="44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楷体" w:hAnsi="楷体" w:eastAsia="楷体" w:cs="楷体"/>
          <w:sz w:val="44"/>
          <w:szCs w:val="44"/>
          <w:highlight w:val="none"/>
        </w:rPr>
      </w:pPr>
    </w:p>
    <w:p>
      <w:pPr>
        <w:snapToGrid w:val="0"/>
        <w:spacing w:line="360" w:lineRule="auto"/>
        <w:rPr>
          <w:rFonts w:ascii="黑体" w:hAnsi="黑体" w:eastAsia="黑体" w:cs="黑体"/>
          <w:b/>
          <w:bCs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ascii="黑体" w:hAnsi="黑体" w:eastAsia="黑体" w:cs="黑体"/>
          <w:b/>
          <w:bCs/>
          <w:sz w:val="28"/>
          <w:szCs w:val="28"/>
          <w:highlight w:val="none"/>
        </w:rPr>
      </w:pPr>
    </w:p>
    <w:sdt>
      <w:sdtPr>
        <w:rPr>
          <w:rFonts w:ascii="宋体" w:hAnsi="宋体" w:eastAsia="宋体"/>
          <w:highlight w:val="none"/>
        </w:rPr>
        <w:id w:val="147463053"/>
        <w:docPartObj>
          <w:docPartGallery w:val="Table of Contents"/>
          <w:docPartUnique/>
        </w:docPartObj>
      </w:sdtPr>
      <w:sdtEndPr>
        <w:rPr>
          <w:rFonts w:ascii="宋体" w:hAnsi="宋体" w:eastAsia="宋体"/>
          <w:highlight w:val="none"/>
        </w:rPr>
      </w:sdtEndPr>
      <w:sdtContent>
        <w:p>
          <w:pPr>
            <w:jc w:val="center"/>
            <w:rPr>
              <w:rFonts w:ascii="黑体" w:hAnsi="黑体" w:eastAsia="黑体" w:cs="黑体"/>
              <w:sz w:val="36"/>
              <w:szCs w:val="44"/>
              <w:highlight w:val="none"/>
            </w:rPr>
          </w:pPr>
          <w:r>
            <w:rPr>
              <w:rFonts w:hint="eastAsia" w:ascii="黑体" w:hAnsi="黑体" w:eastAsia="黑体" w:cs="黑体"/>
              <w:sz w:val="36"/>
              <w:szCs w:val="44"/>
              <w:highlight w:val="none"/>
            </w:rPr>
            <w:t>目  录</w:t>
          </w:r>
        </w:p>
        <w:p>
          <w:pPr>
            <w:pStyle w:val="4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  <w:highlight w:val="none"/>
            </w:rPr>
            <w:fldChar w:fldCharType="begin"/>
          </w:r>
          <w:r>
            <w:rPr>
              <w:sz w:val="28"/>
              <w:szCs w:val="28"/>
              <w:highlight w:val="none"/>
            </w:rPr>
            <w:instrText xml:space="preserve">TOC \o "1-3" \h \u </w:instrText>
          </w:r>
          <w:r>
            <w:rPr>
              <w:sz w:val="28"/>
              <w:szCs w:val="28"/>
              <w:highlight w:val="none"/>
            </w:rPr>
            <w:fldChar w:fldCharType="separate"/>
          </w:r>
          <w:r>
            <w:rPr>
              <w:sz w:val="28"/>
              <w:szCs w:val="28"/>
              <w:highlight w:val="none"/>
            </w:rPr>
            <w:fldChar w:fldCharType="begin"/>
          </w:r>
          <w:r>
            <w:rPr>
              <w:sz w:val="28"/>
              <w:szCs w:val="28"/>
              <w:highlight w:val="none"/>
            </w:rPr>
            <w:instrText xml:space="preserve"> HYPERLINK \l _Toc20525 </w:instrText>
          </w:r>
          <w:r>
            <w:rPr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highlight w:val="none"/>
              <w:lang w:val="en-US" w:eastAsia="zh-CN"/>
            </w:rPr>
            <w:t>一、概述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_Toc20525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  <w:highlight w:val="none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  <w:highlight w:val="none"/>
            </w:rPr>
            <w:fldChar w:fldCharType="begin"/>
          </w:r>
          <w:r>
            <w:rPr>
              <w:sz w:val="28"/>
              <w:szCs w:val="28"/>
              <w:highlight w:val="none"/>
            </w:rPr>
            <w:instrText xml:space="preserve"> HYPERLINK \l _Toc23413 </w:instrText>
          </w:r>
          <w:r>
            <w:rPr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highlight w:val="none"/>
              <w:lang w:val="en-US" w:eastAsia="zh-CN"/>
            </w:rPr>
            <w:t>二、基本原则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_Toc23413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  <w:highlight w:val="none"/>
            </w:rPr>
            <w:fldChar w:fldCharType="begin"/>
          </w:r>
          <w:r>
            <w:rPr>
              <w:sz w:val="28"/>
              <w:szCs w:val="28"/>
              <w:highlight w:val="none"/>
            </w:rPr>
            <w:instrText xml:space="preserve"> HYPERLINK \l _Toc14904 </w:instrText>
          </w:r>
          <w:r>
            <w:rPr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highlight w:val="none"/>
              <w:lang w:val="en-US" w:eastAsia="zh-CN"/>
            </w:rPr>
            <w:t>（一）检验管理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_Toc14904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  <w:highlight w:val="none"/>
            </w:rPr>
            <w:fldChar w:fldCharType="begin"/>
          </w:r>
          <w:r>
            <w:rPr>
              <w:sz w:val="28"/>
              <w:szCs w:val="28"/>
              <w:highlight w:val="none"/>
            </w:rPr>
            <w:instrText xml:space="preserve"> HYPERLINK \l _Toc16460 </w:instrText>
          </w:r>
          <w:r>
            <w:rPr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highlight w:val="none"/>
              <w:lang w:val="en-US" w:eastAsia="zh-CN"/>
            </w:rPr>
            <w:t>（二）人体功效检验基本原则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_Toc16460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  <w:highlight w:val="none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  <w:highlight w:val="none"/>
            </w:rPr>
            <w:fldChar w:fldCharType="begin"/>
          </w:r>
          <w:r>
            <w:rPr>
              <w:sz w:val="28"/>
              <w:szCs w:val="28"/>
              <w:highlight w:val="none"/>
            </w:rPr>
            <w:instrText xml:space="preserve"> HYPERLINK \l _Toc6758 </w:instrText>
          </w:r>
          <w:r>
            <w:rPr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highlight w:val="none"/>
              <w:lang w:val="en-US" w:eastAsia="zh-CN"/>
            </w:rPr>
            <w:t>三、基本内容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_Toc6758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  <w:highlight w:val="none"/>
            </w:rPr>
            <w:fldChar w:fldCharType="begin"/>
          </w:r>
          <w:r>
            <w:rPr>
              <w:sz w:val="28"/>
              <w:szCs w:val="28"/>
              <w:highlight w:val="none"/>
            </w:rPr>
            <w:instrText xml:space="preserve"> HYPERLINK \l _Toc3271 </w:instrText>
          </w:r>
          <w:r>
            <w:rPr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highlight w:val="none"/>
              <w:lang w:val="en-US" w:eastAsia="zh-CN"/>
            </w:rPr>
            <w:t>（一）设备要求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_Toc3271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  <w:highlight w:val="none"/>
            </w:rPr>
            <w:fldChar w:fldCharType="begin"/>
          </w:r>
          <w:r>
            <w:rPr>
              <w:sz w:val="28"/>
              <w:szCs w:val="28"/>
              <w:highlight w:val="none"/>
            </w:rPr>
            <w:instrText xml:space="preserve"> HYPERLINK \l _Toc8839 </w:instrText>
          </w:r>
          <w:r>
            <w:rPr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highlight w:val="none"/>
              <w:lang w:val="en-US" w:eastAsia="zh-CN"/>
            </w:rPr>
            <w:t>（二）一般抗水性测试试验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_Toc8839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  <w:highlight w:val="none"/>
            </w:rPr>
            <w:fldChar w:fldCharType="begin"/>
          </w:r>
          <w:r>
            <w:rPr>
              <w:sz w:val="28"/>
              <w:szCs w:val="28"/>
              <w:highlight w:val="none"/>
            </w:rPr>
            <w:instrText xml:space="preserve"> HYPERLINK \l _Toc3533 </w:instrText>
          </w:r>
          <w:r>
            <w:rPr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highlight w:val="none"/>
              <w:lang w:val="en-US" w:eastAsia="zh-CN"/>
            </w:rPr>
            <w:t>（三）强抗水性测试试验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_Toc3533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  <w:highlight w:val="none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  <w:highlight w:val="none"/>
            </w:rPr>
            <w:fldChar w:fldCharType="begin"/>
          </w:r>
          <w:r>
            <w:rPr>
              <w:sz w:val="28"/>
              <w:szCs w:val="28"/>
              <w:highlight w:val="none"/>
            </w:rPr>
            <w:instrText xml:space="preserve"> HYPERLINK \l _Toc11479 </w:instrText>
          </w:r>
          <w:r>
            <w:rPr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highlight w:val="none"/>
              <w:lang w:val="en-US" w:eastAsia="zh-CN"/>
            </w:rPr>
            <w:t>四、结果分析与评价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_Toc11479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  <w:highlight w:val="none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  <w:highlight w:val="none"/>
            </w:rPr>
            <w:fldChar w:fldCharType="begin"/>
          </w:r>
          <w:r>
            <w:rPr>
              <w:sz w:val="28"/>
              <w:szCs w:val="28"/>
              <w:highlight w:val="none"/>
            </w:rPr>
            <w:instrText xml:space="preserve"> HYPERLINK \l _Toc14807 </w:instrText>
          </w:r>
          <w:r>
            <w:rPr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highlight w:val="none"/>
              <w:lang w:val="en-US" w:eastAsia="zh-CN"/>
            </w:rPr>
            <w:t>五、名词解释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_Toc14807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  <w:highlight w:val="none"/>
            </w:rPr>
            <w:fldChar w:fldCharType="end"/>
          </w:r>
        </w:p>
        <w:p>
          <w:pPr>
            <w:rPr>
              <w:highlight w:val="none"/>
            </w:rPr>
          </w:pPr>
          <w:r>
            <w:rPr>
              <w:sz w:val="28"/>
              <w:szCs w:val="28"/>
              <w:highlight w:val="none"/>
            </w:rPr>
            <w:fldChar w:fldCharType="end"/>
          </w:r>
        </w:p>
      </w:sdtContent>
    </w:sdt>
    <w:p>
      <w:pPr>
        <w:numPr>
          <w:ilvl w:val="0"/>
          <w:numId w:val="1"/>
        </w:numPr>
        <w:snapToGrid w:val="0"/>
        <w:spacing w:line="360" w:lineRule="auto"/>
        <w:ind w:firstLine="562" w:firstLineChars="200"/>
        <w:outlineLvl w:val="0"/>
        <w:rPr>
          <w:rFonts w:ascii="黑体" w:hAnsi="黑体" w:eastAsia="黑体" w:cs="黑体"/>
          <w:b/>
          <w:bCs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  <w:ind w:firstLine="643" w:firstLineChars="200"/>
        <w:outlineLvl w:val="0"/>
        <w:rPr>
          <w:b/>
          <w:bCs/>
          <w:sz w:val="32"/>
          <w:szCs w:val="32"/>
          <w:highlight w:val="none"/>
        </w:rPr>
      </w:pPr>
      <w:bookmarkStart w:id="0" w:name="_Toc30193"/>
      <w:bookmarkStart w:id="1" w:name="_Toc20525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一、概述</w:t>
      </w:r>
      <w:bookmarkEnd w:id="0"/>
      <w:bookmarkEnd w:id="1"/>
    </w:p>
    <w:p>
      <w:pPr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过量的紫外辐射可能导致皮肤损伤，使用防晒化妆品能够对被照射皮肤产生一定的保护作用，其防晒能力可以通过防晒指数（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Sun protection factor, SPF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表示。在遇水或出汗等外界因素下，防晒化妆品的防晒效果可能会受到影响，根据《化妆品注册备案资料管理规定》《化妆品注册和备案检验工作规范》（以下简称《检验工作规范》）等法规要求，防晒产品宣称“防水”、“防汗”或“适合游泳等户外活动”等内容的，需要根据其所宣称抗水程度或时间进行防水性能的检测。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本技术指导原则适用于防晒化妆品的防水性能检测和结果评价。重点阐述防晒化妆品防水性能检测试验的基本原则；设备要求、一般抗水性测试、强抗水性测试等基本内容；以及对结果的分析与评价等。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本指导原则是在现行法规和标准以及当前科学认知水平下制定的，随着法规和标准的更新完善，以及科学技术的发展，将适时进行调整。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bookmarkStart w:id="2" w:name="_Toc23413"/>
      <w:bookmarkStart w:id="3" w:name="_Toc16532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二、基本原则</w:t>
      </w:r>
      <w:bookmarkEnd w:id="2"/>
      <w:bookmarkEnd w:id="3"/>
    </w:p>
    <w:p>
      <w:pPr>
        <w:widowControl/>
        <w:snapToGrid w:val="0"/>
        <w:spacing w:line="360" w:lineRule="auto"/>
        <w:ind w:firstLine="562" w:firstLineChars="200"/>
        <w:jc w:val="both"/>
        <w:outlineLvl w:val="1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4" w:name="_Toc30951"/>
      <w:bookmarkStart w:id="5" w:name="_Toc14904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（一）检验管理</w:t>
      </w:r>
      <w:bookmarkEnd w:id="4"/>
      <w:bookmarkEnd w:id="5"/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防晒化妆品防水性能检测根据产品宣称开展，属于注册检验事项，应符合《检验工作规范》及相关法规要求，包括检验机构资质、检验机构选择、检验方法、检验程序、结果分析、报告体例等。</w:t>
      </w:r>
    </w:p>
    <w:p>
      <w:pPr>
        <w:widowControl/>
        <w:snapToGrid w:val="0"/>
        <w:spacing w:line="360" w:lineRule="auto"/>
        <w:ind w:firstLine="562" w:firstLineChars="200"/>
        <w:jc w:val="both"/>
        <w:outlineLvl w:val="1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6" w:name="_Toc9772"/>
      <w:bookmarkStart w:id="7" w:name="_Toc1646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（二）人体功效检验基本原则</w:t>
      </w:r>
      <w:bookmarkEnd w:id="6"/>
      <w:bookmarkEnd w:id="7"/>
    </w:p>
    <w:p>
      <w:pPr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防晒化妆品防水性能检测检测属于人体功效检验，应符合国际赫尔辛基宣言的基本原则，要求受试者签署知情同意书并采取必要的医学防护措施，最大程度地保护受试者的利益。试验前应先完成必要的毒理学检验及人体皮肤斑贴试验，并出具书面证明，人体皮肤斑贴试验不合格的产品不再进行防水性能检测试验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bookmarkStart w:id="8" w:name="_Toc6758"/>
      <w:bookmarkStart w:id="9" w:name="_Toc32465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三、基本内容</w:t>
      </w:r>
      <w:bookmarkEnd w:id="8"/>
      <w:bookmarkEnd w:id="9"/>
    </w:p>
    <w:p>
      <w:pPr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按照强度的不同，防晒化妆品的防水性能检测分为两种：一般抗水性测试、强抗水性测试。应按照《化妆品安全技术规范》（以下简称《安全技术规范》）中收录的《防晒化妆品防水性能测定方法》开展检测，并重点关注以下内容。其中，SPF值的测定应按照《安全技术规范》中收录的《防晒化妆品防晒指数（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SPF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值）测定方法》开展，并参考《防晒化妆品防晒指数检测技术指导原则》中的有关要求。</w:t>
      </w:r>
    </w:p>
    <w:p>
      <w:pPr>
        <w:snapToGrid w:val="0"/>
        <w:spacing w:line="360" w:lineRule="auto"/>
        <w:ind w:firstLine="562" w:firstLineChars="200"/>
        <w:outlineLvl w:val="1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10" w:name="_Toc3271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（一）设备要求</w:t>
      </w:r>
      <w:bookmarkEnd w:id="10"/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为获得正确的防水性能评价，应按照《安全技术规范》要求，选择适当的设备。应使用室内水池，旋转或水流浴缸均可，水温维持在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℃-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32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℃，水质应新鲜。记录水温、室温以及相对湿度。</w:t>
      </w:r>
    </w:p>
    <w:p>
      <w:pPr>
        <w:snapToGrid w:val="0"/>
        <w:spacing w:line="360" w:lineRule="auto"/>
        <w:ind w:firstLine="562" w:firstLineChars="200"/>
        <w:outlineLvl w:val="1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11" w:name="_Toc8839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（二）一般抗水性测试试验</w:t>
      </w:r>
      <w:bookmarkEnd w:id="11"/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如产品宣称具有抗水性，应当经过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分钟抗水性试验。 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应严格按照《安全技术规范》所规定的程序和步骤开展检测：1）在皮肤受试部位涂抹防晒品，等待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15-30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分钟或按标签说明书要求进行；2）受试者在水中中等量活动或水流以中等程度旋转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分钟；3）出水休息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分钟；4）入水再中等量活动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分钟；5）结束水中活动，等待皮肤干燥。最后，按照《安全技术规范》规定的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SPF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测定方法进行紫外照射和测定。过程中，应注意避免使用毛巾等擦拭试验部位。</w:t>
      </w:r>
    </w:p>
    <w:p>
      <w:pPr>
        <w:snapToGrid w:val="0"/>
        <w:spacing w:line="360" w:lineRule="auto"/>
        <w:ind w:firstLine="562" w:firstLineChars="200"/>
        <w:outlineLvl w:val="1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12" w:name="_Toc3533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（三）强抗水性测试试验</w:t>
      </w:r>
      <w:bookmarkEnd w:id="12"/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如产品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SPF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值宣称具有强抗水性，应当经过80分钟抗水性试验。 </w:t>
      </w:r>
    </w:p>
    <w:p>
      <w:pPr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应严格按照《安全技术规范》所规定的程序和步骤开展检测：1）在皮肤受试部位涂抹防晒品，等待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15-30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分钟或按标签说明书要求进行；2）受试者在水中中等量活动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分钟；3）出水休息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分钟；4）入水再中等量活动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分钟；5）出水休息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分钟；6）入水再中等量活动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分钟；7）出水休息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分钟；8）入水再中等量活动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分钟；9）结束水中活动，等待皮肤干燥。最后，按照《安全技术规范》规定的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SPF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测定方法进行紫外照射和测定。过程中，应注意避免使用毛巾等擦拭试验部位。 </w:t>
      </w:r>
    </w:p>
    <w:p>
      <w:pPr>
        <w:snapToGrid w:val="0"/>
        <w:spacing w:line="360" w:lineRule="auto"/>
        <w:ind w:firstLine="643" w:firstLineChars="200"/>
        <w:outlineLvl w:val="0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bookmarkStart w:id="13" w:name="_Toc27128"/>
      <w:bookmarkStart w:id="14" w:name="_Toc11479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四、结果分析与评价</w:t>
      </w:r>
      <w:bookmarkEnd w:id="13"/>
      <w:bookmarkEnd w:id="14"/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在进行结果评价时，首先对防水性能检测的规范性进行评价。检测过程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应符合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《检验工作规范》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《安全技术规范》等法规要求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检验报告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格式和内容应准确、规范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其中防晒指数检测的过程和结果也应当规范，可参考《防晒化妆品防晒指数检测技术指导原则》中的有关要求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进行防水性能测定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，测量洗浴前、洗浴后SPF值时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原则上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应选用同一批受试人员。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根据防水性能检测结果，对防晒化妆品的防水能力进行评价。对洗浴前后SPF值进行比较，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洗浴后SPF值为洗浴前的50%以上的，可以判定为具有相应的防水性能。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bookmarkStart w:id="15" w:name="_Toc17902"/>
      <w:bookmarkStart w:id="16" w:name="_Toc14807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五、名词解释</w:t>
      </w:r>
      <w:bookmarkEnd w:id="15"/>
      <w:bookmarkEnd w:id="16"/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防晒指数（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Sun protection factor, SPF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）：引起被防晒化妆品防护的皮肤产生红斑所需的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MED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与未被防护的皮肤产生红斑所需的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MED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之比。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最小红斑量（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Minimal erythema dose, MED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）：引起皮肤清晰可见的红斑，其范围达到照射点大部分区域所需要的紫外线照射最低剂量（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J/m</w:t>
      </w:r>
      <w:r>
        <w:rPr>
          <w:rFonts w:hint="default" w:ascii="仿宋" w:hAnsi="仿宋" w:eastAsia="仿宋" w:cs="仿宋"/>
          <w:sz w:val="28"/>
          <w:szCs w:val="28"/>
          <w:highlight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）或最短时间（秒）。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CF1E2"/>
    <w:multiLevelType w:val="singleLevel"/>
    <w:tmpl w:val="8ADCF1E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MTI5NGRiODJkYTlmNWEyNWRkYTZmM2E0MTVjNDkifQ=="/>
  </w:docVars>
  <w:rsids>
    <w:rsidRoot w:val="00000000"/>
    <w:rsid w:val="00046C99"/>
    <w:rsid w:val="00194804"/>
    <w:rsid w:val="00533CD2"/>
    <w:rsid w:val="008153C3"/>
    <w:rsid w:val="00F84FCA"/>
    <w:rsid w:val="013D1BC8"/>
    <w:rsid w:val="017B2320"/>
    <w:rsid w:val="01CF7929"/>
    <w:rsid w:val="01DA20AA"/>
    <w:rsid w:val="02367383"/>
    <w:rsid w:val="02370730"/>
    <w:rsid w:val="02C3398B"/>
    <w:rsid w:val="0392265E"/>
    <w:rsid w:val="03E21634"/>
    <w:rsid w:val="045551D3"/>
    <w:rsid w:val="04887592"/>
    <w:rsid w:val="04AD01F5"/>
    <w:rsid w:val="04DD72B3"/>
    <w:rsid w:val="053E5697"/>
    <w:rsid w:val="05886939"/>
    <w:rsid w:val="05960033"/>
    <w:rsid w:val="059E4151"/>
    <w:rsid w:val="05D76EF2"/>
    <w:rsid w:val="060355EB"/>
    <w:rsid w:val="06D552BD"/>
    <w:rsid w:val="07112543"/>
    <w:rsid w:val="07C2084C"/>
    <w:rsid w:val="08687FE8"/>
    <w:rsid w:val="087B1D98"/>
    <w:rsid w:val="09280D36"/>
    <w:rsid w:val="095F13EB"/>
    <w:rsid w:val="098671B4"/>
    <w:rsid w:val="09B14094"/>
    <w:rsid w:val="09D70941"/>
    <w:rsid w:val="09E20F0F"/>
    <w:rsid w:val="09E23282"/>
    <w:rsid w:val="0A005CC1"/>
    <w:rsid w:val="0A6A72A6"/>
    <w:rsid w:val="0AAF61F2"/>
    <w:rsid w:val="0AE25A86"/>
    <w:rsid w:val="0AE74858"/>
    <w:rsid w:val="0B21498C"/>
    <w:rsid w:val="0CFD33F5"/>
    <w:rsid w:val="0D097FEC"/>
    <w:rsid w:val="0D615ECB"/>
    <w:rsid w:val="0E352659"/>
    <w:rsid w:val="0E5E5169"/>
    <w:rsid w:val="0E6423DA"/>
    <w:rsid w:val="0E697E3A"/>
    <w:rsid w:val="0EA81EB1"/>
    <w:rsid w:val="0F00405B"/>
    <w:rsid w:val="0FEF6A5D"/>
    <w:rsid w:val="10814756"/>
    <w:rsid w:val="10993E42"/>
    <w:rsid w:val="110A420A"/>
    <w:rsid w:val="1115494E"/>
    <w:rsid w:val="114059CB"/>
    <w:rsid w:val="116017FE"/>
    <w:rsid w:val="118B6BCD"/>
    <w:rsid w:val="11C44294"/>
    <w:rsid w:val="11D94042"/>
    <w:rsid w:val="13210FF0"/>
    <w:rsid w:val="132F6E99"/>
    <w:rsid w:val="133B4C77"/>
    <w:rsid w:val="13420CEC"/>
    <w:rsid w:val="13A448C1"/>
    <w:rsid w:val="13F37545"/>
    <w:rsid w:val="145A09F1"/>
    <w:rsid w:val="14F54FC2"/>
    <w:rsid w:val="159D04D9"/>
    <w:rsid w:val="15F32E80"/>
    <w:rsid w:val="16111B25"/>
    <w:rsid w:val="161A6DC6"/>
    <w:rsid w:val="16512FDF"/>
    <w:rsid w:val="1655753D"/>
    <w:rsid w:val="1715758D"/>
    <w:rsid w:val="17606A5A"/>
    <w:rsid w:val="17C75F44"/>
    <w:rsid w:val="17D905BB"/>
    <w:rsid w:val="17EA0819"/>
    <w:rsid w:val="187E3A65"/>
    <w:rsid w:val="18AF5067"/>
    <w:rsid w:val="18F61B9E"/>
    <w:rsid w:val="190D26C5"/>
    <w:rsid w:val="192511C5"/>
    <w:rsid w:val="195E0562"/>
    <w:rsid w:val="19EA48DF"/>
    <w:rsid w:val="19F45576"/>
    <w:rsid w:val="1A2356E4"/>
    <w:rsid w:val="1A652B87"/>
    <w:rsid w:val="1A861039"/>
    <w:rsid w:val="1A862587"/>
    <w:rsid w:val="1A930A0C"/>
    <w:rsid w:val="1AA9571E"/>
    <w:rsid w:val="1B846E94"/>
    <w:rsid w:val="1CC50A5E"/>
    <w:rsid w:val="1CEC59E0"/>
    <w:rsid w:val="1CFE0317"/>
    <w:rsid w:val="1D266050"/>
    <w:rsid w:val="1D552F66"/>
    <w:rsid w:val="1DD25F6F"/>
    <w:rsid w:val="1E11111C"/>
    <w:rsid w:val="1E2874B1"/>
    <w:rsid w:val="1F394761"/>
    <w:rsid w:val="1F68358B"/>
    <w:rsid w:val="1F79411A"/>
    <w:rsid w:val="1FE54AEC"/>
    <w:rsid w:val="202549D0"/>
    <w:rsid w:val="209E3A48"/>
    <w:rsid w:val="20CF7B1C"/>
    <w:rsid w:val="20EE51DE"/>
    <w:rsid w:val="20FD51BE"/>
    <w:rsid w:val="214F282F"/>
    <w:rsid w:val="21635AC5"/>
    <w:rsid w:val="21877933"/>
    <w:rsid w:val="22597A29"/>
    <w:rsid w:val="23077128"/>
    <w:rsid w:val="230A5A08"/>
    <w:rsid w:val="23194E63"/>
    <w:rsid w:val="231D3126"/>
    <w:rsid w:val="235D02F2"/>
    <w:rsid w:val="23C53C9C"/>
    <w:rsid w:val="23D44FD4"/>
    <w:rsid w:val="24015121"/>
    <w:rsid w:val="2442472A"/>
    <w:rsid w:val="24523BCF"/>
    <w:rsid w:val="25007493"/>
    <w:rsid w:val="25317484"/>
    <w:rsid w:val="259412EF"/>
    <w:rsid w:val="260D7FDE"/>
    <w:rsid w:val="268D7140"/>
    <w:rsid w:val="27DD25DF"/>
    <w:rsid w:val="280D218A"/>
    <w:rsid w:val="281832F2"/>
    <w:rsid w:val="28661061"/>
    <w:rsid w:val="28BE7954"/>
    <w:rsid w:val="292236E0"/>
    <w:rsid w:val="29244DDF"/>
    <w:rsid w:val="292C17DC"/>
    <w:rsid w:val="296D3E6D"/>
    <w:rsid w:val="29C00F7C"/>
    <w:rsid w:val="2A1A3444"/>
    <w:rsid w:val="2AA72265"/>
    <w:rsid w:val="2BA427D1"/>
    <w:rsid w:val="2BC527BC"/>
    <w:rsid w:val="2C063EFF"/>
    <w:rsid w:val="2C2A19CE"/>
    <w:rsid w:val="2C39109C"/>
    <w:rsid w:val="2C626531"/>
    <w:rsid w:val="2C663887"/>
    <w:rsid w:val="2C852F37"/>
    <w:rsid w:val="2C951EE2"/>
    <w:rsid w:val="2CFA5E70"/>
    <w:rsid w:val="2D2A70BC"/>
    <w:rsid w:val="2E0960D0"/>
    <w:rsid w:val="2E6E3273"/>
    <w:rsid w:val="2ED815FE"/>
    <w:rsid w:val="2F0000CD"/>
    <w:rsid w:val="2F035AA5"/>
    <w:rsid w:val="2F5A50A9"/>
    <w:rsid w:val="2FCC692D"/>
    <w:rsid w:val="2FE7783D"/>
    <w:rsid w:val="300C6117"/>
    <w:rsid w:val="301F579B"/>
    <w:rsid w:val="30BC6BF3"/>
    <w:rsid w:val="30F12AB1"/>
    <w:rsid w:val="313E79B5"/>
    <w:rsid w:val="314804B0"/>
    <w:rsid w:val="31597D3A"/>
    <w:rsid w:val="31600BD9"/>
    <w:rsid w:val="317970E9"/>
    <w:rsid w:val="317F0107"/>
    <w:rsid w:val="319F6799"/>
    <w:rsid w:val="31A16195"/>
    <w:rsid w:val="31CF685F"/>
    <w:rsid w:val="31D245A1"/>
    <w:rsid w:val="31D50722"/>
    <w:rsid w:val="323B7C0D"/>
    <w:rsid w:val="330F1310"/>
    <w:rsid w:val="331309CD"/>
    <w:rsid w:val="333F62AD"/>
    <w:rsid w:val="33484CB1"/>
    <w:rsid w:val="33B85E8F"/>
    <w:rsid w:val="33F156E3"/>
    <w:rsid w:val="3491429F"/>
    <w:rsid w:val="34A47B4B"/>
    <w:rsid w:val="34B65AB4"/>
    <w:rsid w:val="35277DDA"/>
    <w:rsid w:val="353D7F83"/>
    <w:rsid w:val="3588358D"/>
    <w:rsid w:val="368C269B"/>
    <w:rsid w:val="36C16187"/>
    <w:rsid w:val="36C632A5"/>
    <w:rsid w:val="371A608E"/>
    <w:rsid w:val="37551850"/>
    <w:rsid w:val="37E25454"/>
    <w:rsid w:val="37EB3193"/>
    <w:rsid w:val="38302F78"/>
    <w:rsid w:val="384E012F"/>
    <w:rsid w:val="39215212"/>
    <w:rsid w:val="392566F4"/>
    <w:rsid w:val="398C52AE"/>
    <w:rsid w:val="39B27192"/>
    <w:rsid w:val="39C35AAB"/>
    <w:rsid w:val="39F170F8"/>
    <w:rsid w:val="3A01572B"/>
    <w:rsid w:val="3A0840B5"/>
    <w:rsid w:val="3A587B73"/>
    <w:rsid w:val="3A8730BD"/>
    <w:rsid w:val="3AF4268E"/>
    <w:rsid w:val="3B2220F5"/>
    <w:rsid w:val="3C1B2D66"/>
    <w:rsid w:val="3CE753A4"/>
    <w:rsid w:val="3D811C1A"/>
    <w:rsid w:val="3D8E6FEE"/>
    <w:rsid w:val="3E080517"/>
    <w:rsid w:val="3EB859D3"/>
    <w:rsid w:val="3F740356"/>
    <w:rsid w:val="3F7F5085"/>
    <w:rsid w:val="3F8E6BED"/>
    <w:rsid w:val="400C1FB8"/>
    <w:rsid w:val="401A0B1B"/>
    <w:rsid w:val="40C75C7F"/>
    <w:rsid w:val="41411E2B"/>
    <w:rsid w:val="41A55C0F"/>
    <w:rsid w:val="41DB31F3"/>
    <w:rsid w:val="41E2488B"/>
    <w:rsid w:val="424764F9"/>
    <w:rsid w:val="435F1BBB"/>
    <w:rsid w:val="43746474"/>
    <w:rsid w:val="437C34BA"/>
    <w:rsid w:val="43AC56AB"/>
    <w:rsid w:val="43D81F81"/>
    <w:rsid w:val="43DD4E35"/>
    <w:rsid w:val="43F92678"/>
    <w:rsid w:val="4413082D"/>
    <w:rsid w:val="446C618F"/>
    <w:rsid w:val="4542375F"/>
    <w:rsid w:val="454B08B8"/>
    <w:rsid w:val="4564587A"/>
    <w:rsid w:val="45CA13BF"/>
    <w:rsid w:val="45DD6E08"/>
    <w:rsid w:val="46B22A95"/>
    <w:rsid w:val="470A32EC"/>
    <w:rsid w:val="475C5D43"/>
    <w:rsid w:val="479320E7"/>
    <w:rsid w:val="47F1224B"/>
    <w:rsid w:val="48256107"/>
    <w:rsid w:val="488A7910"/>
    <w:rsid w:val="488E17C5"/>
    <w:rsid w:val="48B87690"/>
    <w:rsid w:val="48EC495A"/>
    <w:rsid w:val="493E1BFC"/>
    <w:rsid w:val="49635E35"/>
    <w:rsid w:val="498B24B3"/>
    <w:rsid w:val="49D534DF"/>
    <w:rsid w:val="4A084240"/>
    <w:rsid w:val="4AA86EAE"/>
    <w:rsid w:val="4AC07CCF"/>
    <w:rsid w:val="4B3D55BF"/>
    <w:rsid w:val="4B6C1B39"/>
    <w:rsid w:val="4B9C17A8"/>
    <w:rsid w:val="4BC049EA"/>
    <w:rsid w:val="4C2C1295"/>
    <w:rsid w:val="4C9B68A1"/>
    <w:rsid w:val="4CDC1BF1"/>
    <w:rsid w:val="4D146571"/>
    <w:rsid w:val="4D971920"/>
    <w:rsid w:val="4DC1754C"/>
    <w:rsid w:val="4DF83669"/>
    <w:rsid w:val="4E2A1A81"/>
    <w:rsid w:val="4E481A1B"/>
    <w:rsid w:val="4E845F42"/>
    <w:rsid w:val="4F823BD7"/>
    <w:rsid w:val="4FB060F0"/>
    <w:rsid w:val="4FDD1CD3"/>
    <w:rsid w:val="504F27B6"/>
    <w:rsid w:val="50614BBB"/>
    <w:rsid w:val="50BB204A"/>
    <w:rsid w:val="515B4B56"/>
    <w:rsid w:val="51787787"/>
    <w:rsid w:val="51832493"/>
    <w:rsid w:val="51B71348"/>
    <w:rsid w:val="51C44442"/>
    <w:rsid w:val="51C60427"/>
    <w:rsid w:val="51ED71E3"/>
    <w:rsid w:val="51FA74D0"/>
    <w:rsid w:val="520F1397"/>
    <w:rsid w:val="529D432E"/>
    <w:rsid w:val="52A7405F"/>
    <w:rsid w:val="52C75604"/>
    <w:rsid w:val="53161DC8"/>
    <w:rsid w:val="53C7623A"/>
    <w:rsid w:val="5410237E"/>
    <w:rsid w:val="55B81489"/>
    <w:rsid w:val="560152C0"/>
    <w:rsid w:val="56AE0B22"/>
    <w:rsid w:val="56EB388B"/>
    <w:rsid w:val="56F91FCC"/>
    <w:rsid w:val="57027F43"/>
    <w:rsid w:val="571C51C3"/>
    <w:rsid w:val="571C5504"/>
    <w:rsid w:val="576E4220"/>
    <w:rsid w:val="57904046"/>
    <w:rsid w:val="57EF2F07"/>
    <w:rsid w:val="58044358"/>
    <w:rsid w:val="58367A92"/>
    <w:rsid w:val="58590338"/>
    <w:rsid w:val="586A0E03"/>
    <w:rsid w:val="588236C1"/>
    <w:rsid w:val="58945DC7"/>
    <w:rsid w:val="58954884"/>
    <w:rsid w:val="58A07523"/>
    <w:rsid w:val="58BB7D50"/>
    <w:rsid w:val="59227859"/>
    <w:rsid w:val="59283391"/>
    <w:rsid w:val="595E7B74"/>
    <w:rsid w:val="59877748"/>
    <w:rsid w:val="59C917F7"/>
    <w:rsid w:val="5A246656"/>
    <w:rsid w:val="5A670607"/>
    <w:rsid w:val="5A7D0C1A"/>
    <w:rsid w:val="5B127629"/>
    <w:rsid w:val="5B3E083D"/>
    <w:rsid w:val="5BEC7B5F"/>
    <w:rsid w:val="5C4E7021"/>
    <w:rsid w:val="5C9700AC"/>
    <w:rsid w:val="5D0A7F49"/>
    <w:rsid w:val="5D1221BC"/>
    <w:rsid w:val="5D2E23AC"/>
    <w:rsid w:val="5D351229"/>
    <w:rsid w:val="5D526412"/>
    <w:rsid w:val="5E446811"/>
    <w:rsid w:val="5E4C41F5"/>
    <w:rsid w:val="5EA20CCE"/>
    <w:rsid w:val="5EB1523D"/>
    <w:rsid w:val="5EC32AD4"/>
    <w:rsid w:val="5F0E1996"/>
    <w:rsid w:val="5F1A11FB"/>
    <w:rsid w:val="60244A01"/>
    <w:rsid w:val="606E3D17"/>
    <w:rsid w:val="60D46917"/>
    <w:rsid w:val="61416F4F"/>
    <w:rsid w:val="61695F12"/>
    <w:rsid w:val="61990971"/>
    <w:rsid w:val="61C93BD0"/>
    <w:rsid w:val="6238464A"/>
    <w:rsid w:val="624F7856"/>
    <w:rsid w:val="62AD3016"/>
    <w:rsid w:val="62BB05B6"/>
    <w:rsid w:val="62D73E6A"/>
    <w:rsid w:val="62EB7A42"/>
    <w:rsid w:val="63277921"/>
    <w:rsid w:val="63755D1E"/>
    <w:rsid w:val="639E6557"/>
    <w:rsid w:val="63E26741"/>
    <w:rsid w:val="6477644B"/>
    <w:rsid w:val="647E41D3"/>
    <w:rsid w:val="64874BF3"/>
    <w:rsid w:val="649164F5"/>
    <w:rsid w:val="649617DF"/>
    <w:rsid w:val="64BB1693"/>
    <w:rsid w:val="64E445D5"/>
    <w:rsid w:val="65152445"/>
    <w:rsid w:val="65F655FD"/>
    <w:rsid w:val="661D7FB4"/>
    <w:rsid w:val="66D30605"/>
    <w:rsid w:val="66E315E2"/>
    <w:rsid w:val="672A01EB"/>
    <w:rsid w:val="678F4E75"/>
    <w:rsid w:val="67AD41D7"/>
    <w:rsid w:val="67E97973"/>
    <w:rsid w:val="67FF32BE"/>
    <w:rsid w:val="68104F00"/>
    <w:rsid w:val="68DB3760"/>
    <w:rsid w:val="68FD4B99"/>
    <w:rsid w:val="69511DF0"/>
    <w:rsid w:val="698F0275"/>
    <w:rsid w:val="699E622B"/>
    <w:rsid w:val="69B95B21"/>
    <w:rsid w:val="69CA23E3"/>
    <w:rsid w:val="69FD3262"/>
    <w:rsid w:val="6A090A24"/>
    <w:rsid w:val="6A0D3524"/>
    <w:rsid w:val="6A6477AC"/>
    <w:rsid w:val="6A6C3678"/>
    <w:rsid w:val="6A6C5C6D"/>
    <w:rsid w:val="6A7B27B2"/>
    <w:rsid w:val="6B140697"/>
    <w:rsid w:val="6B145CD3"/>
    <w:rsid w:val="6B981494"/>
    <w:rsid w:val="6B9E11D6"/>
    <w:rsid w:val="6CCE66BA"/>
    <w:rsid w:val="6D530043"/>
    <w:rsid w:val="6D7E0B5E"/>
    <w:rsid w:val="6DF90983"/>
    <w:rsid w:val="6E0D3C4D"/>
    <w:rsid w:val="6E2D73E9"/>
    <w:rsid w:val="6EAC73BE"/>
    <w:rsid w:val="6EF15BF2"/>
    <w:rsid w:val="6F454505"/>
    <w:rsid w:val="6F522D98"/>
    <w:rsid w:val="6F927C93"/>
    <w:rsid w:val="6F9D176F"/>
    <w:rsid w:val="6FBA2C5C"/>
    <w:rsid w:val="70184013"/>
    <w:rsid w:val="70A65AEF"/>
    <w:rsid w:val="7139344B"/>
    <w:rsid w:val="720F1942"/>
    <w:rsid w:val="722446CE"/>
    <w:rsid w:val="722C5FD4"/>
    <w:rsid w:val="723426BD"/>
    <w:rsid w:val="72416ED0"/>
    <w:rsid w:val="7245592F"/>
    <w:rsid w:val="72BF283E"/>
    <w:rsid w:val="72C74D55"/>
    <w:rsid w:val="72D77E7E"/>
    <w:rsid w:val="73221843"/>
    <w:rsid w:val="73436EAB"/>
    <w:rsid w:val="73481CC8"/>
    <w:rsid w:val="7388341F"/>
    <w:rsid w:val="73CE496C"/>
    <w:rsid w:val="74324450"/>
    <w:rsid w:val="74B1304D"/>
    <w:rsid w:val="74CA450C"/>
    <w:rsid w:val="7502473F"/>
    <w:rsid w:val="754A68A4"/>
    <w:rsid w:val="754C46CD"/>
    <w:rsid w:val="75906A9D"/>
    <w:rsid w:val="75930241"/>
    <w:rsid w:val="76214DFA"/>
    <w:rsid w:val="76424508"/>
    <w:rsid w:val="76755873"/>
    <w:rsid w:val="76C74784"/>
    <w:rsid w:val="76D9325A"/>
    <w:rsid w:val="77107AF2"/>
    <w:rsid w:val="77756B2D"/>
    <w:rsid w:val="77BF07B7"/>
    <w:rsid w:val="77DE02F8"/>
    <w:rsid w:val="77FA30D2"/>
    <w:rsid w:val="78216CB5"/>
    <w:rsid w:val="78460CB8"/>
    <w:rsid w:val="7929744E"/>
    <w:rsid w:val="79357783"/>
    <w:rsid w:val="793E7C1B"/>
    <w:rsid w:val="79C32FBD"/>
    <w:rsid w:val="79C57385"/>
    <w:rsid w:val="7A02655C"/>
    <w:rsid w:val="7A1528E7"/>
    <w:rsid w:val="7A2913C4"/>
    <w:rsid w:val="7AA23856"/>
    <w:rsid w:val="7AF54A82"/>
    <w:rsid w:val="7B0F2C3A"/>
    <w:rsid w:val="7B3064BE"/>
    <w:rsid w:val="7BCB6339"/>
    <w:rsid w:val="7BD32074"/>
    <w:rsid w:val="7C0342E3"/>
    <w:rsid w:val="7C1E3C37"/>
    <w:rsid w:val="7C7B0C8A"/>
    <w:rsid w:val="7D460D7B"/>
    <w:rsid w:val="7D8227D9"/>
    <w:rsid w:val="7DA1045A"/>
    <w:rsid w:val="7DBC2F70"/>
    <w:rsid w:val="7DE24235"/>
    <w:rsid w:val="7DEB250A"/>
    <w:rsid w:val="7E061524"/>
    <w:rsid w:val="7E136EBD"/>
    <w:rsid w:val="7E2304A8"/>
    <w:rsid w:val="7EF0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39"/>
  </w:style>
  <w:style w:type="paragraph" w:styleId="5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1832</Words>
  <Characters>1937</Characters>
  <Lines>0</Lines>
  <Paragraphs>0</Paragraphs>
  <TotalTime>0</TotalTime>
  <ScaleCrop>false</ScaleCrop>
  <LinksUpToDate>false</LinksUpToDate>
  <CharactersWithSpaces>1982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2021-04-23T14:52:00Z</dcterms:created>
  <dc:creator>Lenovo</dc:creator>
  <cp:lastModifiedBy>WPS_1161219725</cp:lastModifiedBy>
  <dcterms:modified xsi:type="dcterms:W3CDTF">2023-02-22T05:04:28Z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2B94DAF38A194BAD9DB3628383DC84E6</vt:lpwstr>
  </property>
</Properties>
</file>