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7</w:t>
      </w:r>
    </w:p>
    <w:p>
      <w:pPr>
        <w:snapToGrid w:val="0"/>
        <w:spacing w:line="288" w:lineRule="auto"/>
        <w:jc w:val="center"/>
        <w:rPr>
          <w:rFonts w:hint="eastAsia" w:ascii="黑体" w:hAnsi="黑体" w:eastAsia="黑体" w:cs="黑体"/>
          <w:sz w:val="84"/>
          <w:szCs w:val="84"/>
          <w:highlight w:val="none"/>
        </w:rPr>
      </w:pPr>
    </w:p>
    <w:p>
      <w:pPr>
        <w:adjustRightInd w:val="0"/>
        <w:snapToGrid w:val="0"/>
        <w:spacing w:line="288" w:lineRule="auto"/>
        <w:jc w:val="center"/>
        <w:rPr>
          <w:rFonts w:ascii="黑体" w:hAnsi="黑体" w:eastAsia="黑体" w:cs="黑体"/>
          <w:sz w:val="84"/>
          <w:szCs w:val="84"/>
          <w:highlight w:val="none"/>
        </w:rPr>
      </w:pPr>
    </w:p>
    <w:p>
      <w:pPr>
        <w:snapToGrid w:val="0"/>
        <w:spacing w:line="360" w:lineRule="auto"/>
        <w:jc w:val="center"/>
        <w:rPr>
          <w:rFonts w:hint="default" w:ascii="黑体" w:hAnsi="黑体" w:eastAsia="黑体" w:cs="黑体"/>
          <w:b/>
          <w:bCs/>
          <w:sz w:val="72"/>
          <w:szCs w:val="7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highlight w:val="none"/>
        </w:rPr>
        <w:t>防晒化妆品</w:t>
      </w:r>
      <w:r>
        <w:rPr>
          <w:rFonts w:hint="eastAsia" w:ascii="黑体" w:hAnsi="黑体" w:eastAsia="黑体" w:cs="黑体"/>
          <w:b/>
          <w:bCs/>
          <w:sz w:val="72"/>
          <w:szCs w:val="72"/>
          <w:highlight w:val="none"/>
          <w:lang w:val="en-US" w:eastAsia="zh-CN"/>
        </w:rPr>
        <w:t>防水性能检测</w:t>
      </w:r>
    </w:p>
    <w:p>
      <w:pPr>
        <w:snapToGrid w:val="0"/>
        <w:spacing w:line="288" w:lineRule="auto"/>
        <w:jc w:val="center"/>
        <w:rPr>
          <w:rFonts w:hint="eastAsia" w:ascii="黑体" w:hAnsi="黑体" w:eastAsia="黑体" w:cs="黑体"/>
          <w:b/>
          <w:bCs/>
          <w:sz w:val="72"/>
          <w:szCs w:val="72"/>
          <w:highlight w:val="none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highlight w:val="none"/>
        </w:rPr>
        <w:t>技术指导原则</w:t>
      </w:r>
    </w:p>
    <w:p>
      <w:pPr>
        <w:snapToGrid w:val="0"/>
        <w:spacing w:line="288" w:lineRule="auto"/>
        <w:jc w:val="center"/>
        <w:rPr>
          <w:rFonts w:hint="eastAsia" w:ascii="黑体" w:hAnsi="黑体" w:eastAsia="黑体" w:cs="黑体"/>
          <w:b/>
          <w:bCs/>
          <w:sz w:val="52"/>
          <w:szCs w:val="52"/>
          <w:highlight w:val="none"/>
        </w:rPr>
      </w:pPr>
    </w:p>
    <w:p>
      <w:pPr>
        <w:snapToGrid w:val="0"/>
        <w:spacing w:line="288" w:lineRule="auto"/>
        <w:jc w:val="center"/>
        <w:rPr>
          <w:rFonts w:ascii="黑体" w:hAnsi="黑体" w:eastAsia="黑体" w:cs="黑体"/>
          <w:b/>
          <w:bCs/>
          <w:sz w:val="52"/>
          <w:szCs w:val="52"/>
          <w:highlight w:val="none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highlight w:val="none"/>
        </w:rPr>
        <w:t>（</w:t>
      </w:r>
      <w:r>
        <w:rPr>
          <w:rFonts w:hint="eastAsia" w:ascii="黑体" w:hAnsi="黑体" w:eastAsia="黑体" w:cs="黑体"/>
          <w:b/>
          <w:bCs/>
          <w:sz w:val="52"/>
          <w:szCs w:val="52"/>
          <w:highlight w:val="none"/>
          <w:lang w:eastAsia="zh-CN"/>
        </w:rPr>
        <w:t>征求意见稿</w:t>
      </w:r>
      <w:r>
        <w:rPr>
          <w:rFonts w:hint="eastAsia" w:ascii="黑体" w:hAnsi="黑体" w:eastAsia="黑体" w:cs="黑体"/>
          <w:b/>
          <w:bCs/>
          <w:sz w:val="52"/>
          <w:szCs w:val="52"/>
          <w:highlight w:val="none"/>
        </w:rPr>
        <w:t>）</w:t>
      </w: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  <w:highlight w:val="none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  <w:highlight w:val="none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  <w:highlight w:val="none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sz w:val="44"/>
          <w:szCs w:val="44"/>
          <w:highlight w:val="none"/>
        </w:rPr>
      </w:pPr>
      <w:bookmarkStart w:id="17" w:name="_GoBack"/>
      <w:bookmarkEnd w:id="17"/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sz w:val="44"/>
          <w:szCs w:val="44"/>
          <w:highlight w:val="none"/>
        </w:rPr>
      </w:pPr>
      <w:r>
        <w:rPr>
          <w:rFonts w:hint="eastAsia" w:ascii="楷体" w:hAnsi="楷体" w:eastAsia="楷体" w:cs="楷体"/>
          <w:sz w:val="44"/>
          <w:szCs w:val="44"/>
          <w:highlight w:val="none"/>
        </w:rPr>
        <w:t>中国食品药品检定研究院</w:t>
      </w: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sz w:val="44"/>
          <w:szCs w:val="44"/>
          <w:highlight w:val="none"/>
        </w:rPr>
      </w:pPr>
    </w:p>
    <w:p>
      <w:pPr>
        <w:snapToGrid w:val="0"/>
        <w:spacing w:line="360" w:lineRule="auto"/>
        <w:jc w:val="center"/>
        <w:rPr>
          <w:rFonts w:hint="eastAsia" w:ascii="楷体" w:hAnsi="楷体" w:eastAsia="楷体" w:cs="楷体"/>
          <w:sz w:val="44"/>
          <w:szCs w:val="44"/>
          <w:highlight w:val="none"/>
        </w:rPr>
      </w:pPr>
    </w:p>
    <w:p>
      <w:pPr>
        <w:snapToGrid w:val="0"/>
        <w:spacing w:line="360" w:lineRule="auto"/>
        <w:rPr>
          <w:rFonts w:ascii="黑体" w:hAnsi="黑体" w:eastAsia="黑体" w:cs="黑体"/>
          <w:b/>
          <w:bCs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360" w:lineRule="auto"/>
        <w:rPr>
          <w:rFonts w:ascii="黑体" w:hAnsi="黑体" w:eastAsia="黑体" w:cs="黑体"/>
          <w:b/>
          <w:bCs/>
          <w:sz w:val="28"/>
          <w:szCs w:val="28"/>
          <w:highlight w:val="none"/>
        </w:rPr>
      </w:pPr>
    </w:p>
    <w:sdt>
      <w:sdtPr>
        <w:rPr>
          <w:rFonts w:ascii="宋体" w:hAnsi="宋体" w:eastAsia="宋体"/>
          <w:highlight w:val="none"/>
        </w:rPr>
        <w:id w:val="147463053"/>
        <w:docPartObj>
          <w:docPartGallery w:val="Table of Contents"/>
          <w:docPartUnique/>
        </w:docPartObj>
      </w:sdtPr>
      <w:sdtEndPr>
        <w:rPr>
          <w:rFonts w:ascii="宋体" w:hAnsi="宋体" w:eastAsia="宋体"/>
          <w:highlight w:val="none"/>
        </w:rPr>
      </w:sdtEndPr>
      <w:sdtContent>
        <w:p>
          <w:pPr>
            <w:jc w:val="center"/>
            <w:rPr>
              <w:rFonts w:ascii="黑体" w:hAnsi="黑体" w:eastAsia="黑体" w:cs="黑体"/>
              <w:sz w:val="36"/>
              <w:szCs w:val="44"/>
              <w:highlight w:val="none"/>
            </w:rPr>
          </w:pPr>
          <w:r>
            <w:rPr>
              <w:rFonts w:hint="eastAsia" w:ascii="黑体" w:hAnsi="黑体" w:eastAsia="黑体" w:cs="黑体"/>
              <w:sz w:val="36"/>
              <w:szCs w:val="44"/>
              <w:highlight w:val="none"/>
            </w:rPr>
            <w:t>目  录</w:t>
          </w:r>
        </w:p>
        <w:p>
          <w:pPr>
            <w:pStyle w:val="4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TOC \o "1-3" \h \u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_Toc20525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一、概述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_Toc20525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_Toc23413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二、基本原则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_Toc23413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_Toc14904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（一）检验管理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_Toc14904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_Toc16460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（二）人体功效检验基本原则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_Toc16460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_Toc6758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三、基本内容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_Toc6758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_Toc3271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（一）设备要求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_Toc3271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_Toc8839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（二）一般抗水性测试试验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_Toc8839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_Toc3533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（三）强抗水性测试试验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_Toc3533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_Toc11479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四、结果分析与评价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_Toc11479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  <w:highlight w:val="none"/>
            </w:rPr>
            <w:fldChar w:fldCharType="begin"/>
          </w:r>
          <w:r>
            <w:rPr>
              <w:sz w:val="28"/>
              <w:szCs w:val="28"/>
              <w:highlight w:val="none"/>
            </w:rPr>
            <w:instrText xml:space="preserve"> HYPERLINK \l _Toc14807 </w:instrText>
          </w:r>
          <w:r>
            <w:rPr>
              <w:sz w:val="28"/>
              <w:szCs w:val="28"/>
              <w:highlight w:val="none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28"/>
              <w:highlight w:val="none"/>
              <w:lang w:val="en-US" w:eastAsia="zh-CN"/>
            </w:rPr>
            <w:t>五、名词解释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_Toc14807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  <w:highlight w:val="none"/>
            </w:rPr>
            <w:fldChar w:fldCharType="end"/>
          </w:r>
        </w:p>
        <w:p>
          <w:pPr>
            <w:rPr>
              <w:highlight w:val="none"/>
            </w:rPr>
          </w:pPr>
          <w:r>
            <w:rPr>
              <w:sz w:val="28"/>
              <w:szCs w:val="28"/>
              <w:highlight w:val="none"/>
            </w:rPr>
            <w:fldChar w:fldCharType="end"/>
          </w:r>
        </w:p>
      </w:sdtContent>
    </w:sdt>
    <w:p>
      <w:pPr>
        <w:numPr>
          <w:ilvl w:val="0"/>
          <w:numId w:val="1"/>
        </w:numPr>
        <w:snapToGrid w:val="0"/>
        <w:spacing w:line="360" w:lineRule="auto"/>
        <w:ind w:firstLine="562" w:firstLineChars="200"/>
        <w:outlineLvl w:val="0"/>
        <w:rPr>
          <w:rFonts w:ascii="黑体" w:hAnsi="黑体" w:eastAsia="黑体" w:cs="黑体"/>
          <w:b/>
          <w:bCs/>
          <w:sz w:val="28"/>
          <w:szCs w:val="28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360" w:lineRule="auto"/>
        <w:ind w:firstLine="643" w:firstLineChars="200"/>
        <w:outlineLvl w:val="0"/>
        <w:rPr>
          <w:b/>
          <w:bCs/>
          <w:sz w:val="32"/>
          <w:szCs w:val="32"/>
          <w:highlight w:val="none"/>
        </w:rPr>
      </w:pPr>
      <w:bookmarkStart w:id="0" w:name="_Toc30193"/>
      <w:bookmarkStart w:id="1" w:name="_Toc20525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一、概述</w:t>
      </w:r>
      <w:bookmarkEnd w:id="0"/>
      <w:bookmarkEnd w:id="1"/>
    </w:p>
    <w:p>
      <w:pPr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过量的紫外辐射可能导致皮肤损伤，使用防晒化妆品能够对被照射皮肤产生一定的保护作用，其防晒能力可以通过防晒指数（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Sun protection factor, SPF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）表示。在遇水或出汗等外界因素下，防晒化妆品的防晒效果可能会受到影响，根据《化妆品注册备案资料管理规定》《化妆品注册和备案检验工作规范》（以下简称《检验工作规范》）等法规要求，防晒产品宣称“防水”、“防汗”或“适合游泳等户外活动”等内容的，需要根据其所宣称抗水程度或时间进行防水性能的检测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本技术指导原则适用于防晒化妆品的防水性能检测和结果评价。重点阐述防晒化妆品防水性能检测试验的基本原则；设备要求、一般抗水性测试、强抗水性测试等基本内容；以及对结果的分析与评价等。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本指导原则是在现行法规和标准以及当前科学认知水平下制定的，随着法规和标准的更新完善，以及科学技术的发展，将适时进行调整。</w:t>
      </w:r>
    </w:p>
    <w:p>
      <w:pPr>
        <w:snapToGrid w:val="0"/>
        <w:spacing w:line="360" w:lineRule="auto"/>
        <w:ind w:firstLine="643" w:firstLineChars="200"/>
        <w:outlineLvl w:val="0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bookmarkStart w:id="2" w:name="_Toc23413"/>
      <w:bookmarkStart w:id="3" w:name="_Toc16532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二、基本原则</w:t>
      </w:r>
      <w:bookmarkEnd w:id="2"/>
      <w:bookmarkEnd w:id="3"/>
    </w:p>
    <w:p>
      <w:pPr>
        <w:widowControl/>
        <w:snapToGrid w:val="0"/>
        <w:spacing w:line="360" w:lineRule="auto"/>
        <w:ind w:firstLine="562" w:firstLineChars="200"/>
        <w:jc w:val="both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4" w:name="_Toc30951"/>
      <w:bookmarkStart w:id="5" w:name="_Toc14904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（一）检验管理</w:t>
      </w:r>
      <w:bookmarkEnd w:id="4"/>
      <w:bookmarkEnd w:id="5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防晒化妆品防水性能检测根据产品宣称开展，属于注册检验事项，应符合《检验工作规范》及相关法规要求，包括检验机构资质、检验机构选择、检验方法、检验程序、结果分析、报告体例等。</w:t>
      </w:r>
    </w:p>
    <w:p>
      <w:pPr>
        <w:widowControl/>
        <w:snapToGrid w:val="0"/>
        <w:spacing w:line="360" w:lineRule="auto"/>
        <w:ind w:firstLine="562" w:firstLineChars="200"/>
        <w:jc w:val="both"/>
        <w:outlineLvl w:val="1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6" w:name="_Toc9772"/>
      <w:bookmarkStart w:id="7" w:name="_Toc16460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（二）人体功效检验基本原则</w:t>
      </w:r>
      <w:bookmarkEnd w:id="6"/>
      <w:bookmarkEnd w:id="7"/>
    </w:p>
    <w:p>
      <w:pPr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防晒化妆品防水性能检测检测属于人体功效检验，应符合国际赫尔辛基宣言的基本原则，要求受试者签署知情同意书并采取必要的医学防护措施，最大程度地保护受试者的利益。试验前应先完成必要的毒理学检验及人体皮肤斑贴试验，并出具书面证明，人体皮肤斑贴试验不合格的产品不再进行防水性能检测试验。</w:t>
      </w:r>
    </w:p>
    <w:p>
      <w:pPr>
        <w:snapToGrid w:val="0"/>
        <w:spacing w:line="360" w:lineRule="auto"/>
        <w:ind w:firstLine="643" w:firstLineChars="200"/>
        <w:outlineLvl w:val="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bookmarkStart w:id="8" w:name="_Toc6758"/>
      <w:bookmarkStart w:id="9" w:name="_Toc32465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三、基本内容</w:t>
      </w:r>
      <w:bookmarkEnd w:id="8"/>
      <w:bookmarkEnd w:id="9"/>
    </w:p>
    <w:p>
      <w:pPr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按照强度的不同，防晒化妆品的防水性能检测分为两种：一般抗水性测试、强抗水性测试。应按照《化妆品安全技术规范》（以下简称《安全技术规范》）中收录的《防晒化妆品防水性能测定方法》开展检测，并重点关注以下内容。其中，SPF值的测定应按照《安全技术规范》中收录的《防晒化妆品防晒指数（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 xml:space="preserve">SPF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值）测定方法》开展，并参考《防晒化妆品防晒指数检测技术指导原则》中的有关要求。</w:t>
      </w:r>
    </w:p>
    <w:p>
      <w:pPr>
        <w:snapToGrid w:val="0"/>
        <w:spacing w:line="360" w:lineRule="auto"/>
        <w:ind w:firstLine="562" w:firstLineChars="200"/>
        <w:outlineLvl w:val="1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10" w:name="_Toc3271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（一）设备要求</w:t>
      </w:r>
      <w:bookmarkEnd w:id="10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为获得正确的防水性能评价，应按照《安全技术规范》要求，选择适当的设备。应使用室内水池，旋转或水流浴缸均可，水温维持在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℃-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32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℃，水质应新鲜。记录水温、室温以及相对湿度。</w:t>
      </w:r>
    </w:p>
    <w:p>
      <w:pPr>
        <w:snapToGrid w:val="0"/>
        <w:spacing w:line="360" w:lineRule="auto"/>
        <w:ind w:firstLine="562" w:firstLineChars="200"/>
        <w:outlineLvl w:val="1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11" w:name="_Toc8839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（二）一般抗水性测试试验</w:t>
      </w:r>
      <w:bookmarkEnd w:id="11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如产品宣称具有抗水性，应当经过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40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分钟抗水性试验。 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应严格按照《安全技术规范》所规定的程序和步骤开展检测：1）在皮肤受试部位涂抹防晒品，等待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15-30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分钟或按标签说明书要求进行；2）受试者在水中中等量活动或水流以中等程度旋转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分钟；3）出水休息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分钟；4）入水再中等量活动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分钟；5）结束水中活动，等待皮肤干燥。最后，按照《安全技术规范》规定的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SPF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测定方法进行紫外照射和测定。过程中，应注意避免使用毛巾等擦拭试验部位。</w:t>
      </w:r>
    </w:p>
    <w:p>
      <w:pPr>
        <w:snapToGrid w:val="0"/>
        <w:spacing w:line="360" w:lineRule="auto"/>
        <w:ind w:firstLine="562" w:firstLineChars="200"/>
        <w:outlineLvl w:val="1"/>
        <w:rPr>
          <w:rFonts w:hint="default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bookmarkStart w:id="12" w:name="_Toc3533"/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（三）强抗水性测试试验</w:t>
      </w:r>
      <w:bookmarkEnd w:id="12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如产品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SPF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值宣称具有强抗水性，应当经过80分钟抗水性试验。 </w:t>
      </w:r>
    </w:p>
    <w:p>
      <w:pPr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应严格按照《安全技术规范》所规定的程序和步骤开展检测：1）在皮肤受试部位涂抹防晒品，等待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15-30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分钟或按标签说明书要求进行；2）受试者在水中中等量活动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分钟；3）出水休息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分钟；4）入水再中等量活动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分钟；5）出水休息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分钟；6）入水再中等量活动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分钟；7）出水休息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分钟；8）入水再中等量活动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分钟；9）结束水中活动，等待皮肤干燥。最后，按照《安全技术规范》规定的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SPF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测定方法进行紫外照射和测定。过程中，应注意避免使用毛巾等擦拭试验部位。 </w:t>
      </w:r>
    </w:p>
    <w:p>
      <w:pPr>
        <w:snapToGrid w:val="0"/>
        <w:spacing w:line="360" w:lineRule="auto"/>
        <w:ind w:firstLine="643" w:firstLineChars="200"/>
        <w:outlineLvl w:val="0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bookmarkStart w:id="13" w:name="_Toc27128"/>
      <w:bookmarkStart w:id="14" w:name="_Toc11479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四、结果分析与评价</w:t>
      </w:r>
      <w:bookmarkEnd w:id="13"/>
      <w:bookmarkEnd w:id="14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在进行结果评价时，首先对防水性能检测的规范性进行评价。检测过程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应符合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《检验工作规范》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《安全技术规范》等法规要求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检验报告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格式和内容应准确、规范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其中防晒指数检测的过程和结果也应当规范，可参考《防晒化妆品防晒指数检测技术指导原则》中的有关要求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进行防水性能测定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，测量洗浴前、洗浴后SPF值时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原则上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应选用同一批受试人员。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根据防水性能检测结果，对防晒化妆品的防水能力进行评价。对洗浴前后SPF值进行比较，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洗浴后SPF值为洗浴前的50%以上的，可以判定为具有相应的防水性能。</w:t>
      </w:r>
    </w:p>
    <w:p>
      <w:pPr>
        <w:snapToGrid w:val="0"/>
        <w:spacing w:line="360" w:lineRule="auto"/>
        <w:ind w:firstLine="643" w:firstLineChars="200"/>
        <w:outlineLvl w:val="0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bookmarkStart w:id="15" w:name="_Toc17902"/>
      <w:bookmarkStart w:id="16" w:name="_Toc14807"/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五、名词解释</w:t>
      </w:r>
      <w:bookmarkEnd w:id="15"/>
      <w:bookmarkEnd w:id="16"/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防晒指数（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Sun protection factor, SPF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）：引起被防晒化妆品防护的皮肤产生红斑所需的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MED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与未被防护的皮肤产生红斑所需的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MED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之比。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最小红斑量（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Minimal erythema dose, MED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）：引起皮肤清晰可见的红斑，其范围达到照射点大部分区域所需要的紫外线照射最低剂量（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J/m</w:t>
      </w:r>
      <w:r>
        <w:rPr>
          <w:rFonts w:hint="default" w:ascii="仿宋" w:hAnsi="仿宋" w:eastAsia="仿宋" w:cs="仿宋"/>
          <w:sz w:val="28"/>
          <w:szCs w:val="28"/>
          <w:highlight w:val="none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）或最短时间（秒）。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CF1E2"/>
    <w:multiLevelType w:val="singleLevel"/>
    <w:tmpl w:val="8ADCF1E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MTI5NGRiODJkYTlmNWEyNWRkYTZmM2E0MTVjNDkifQ=="/>
  </w:docVars>
  <w:rsids>
    <w:rsidRoot w:val="00000000"/>
    <w:rsid w:val="00046C99"/>
    <w:rsid w:val="00194804"/>
    <w:rsid w:val="00533CD2"/>
    <w:rsid w:val="008153C3"/>
    <w:rsid w:val="00F84FCA"/>
    <w:rsid w:val="013D1BC8"/>
    <w:rsid w:val="017B2320"/>
    <w:rsid w:val="01CF7929"/>
    <w:rsid w:val="01DA20AA"/>
    <w:rsid w:val="02367383"/>
    <w:rsid w:val="02370730"/>
    <w:rsid w:val="02C3398B"/>
    <w:rsid w:val="0392265E"/>
    <w:rsid w:val="03E21634"/>
    <w:rsid w:val="045551D3"/>
    <w:rsid w:val="04887592"/>
    <w:rsid w:val="04AD01F5"/>
    <w:rsid w:val="04DD72B3"/>
    <w:rsid w:val="053E5697"/>
    <w:rsid w:val="05886939"/>
    <w:rsid w:val="05960033"/>
    <w:rsid w:val="059E4151"/>
    <w:rsid w:val="05D76EF2"/>
    <w:rsid w:val="060355EB"/>
    <w:rsid w:val="06D552BD"/>
    <w:rsid w:val="07112543"/>
    <w:rsid w:val="07C2084C"/>
    <w:rsid w:val="08687FE8"/>
    <w:rsid w:val="087B1D98"/>
    <w:rsid w:val="09280D36"/>
    <w:rsid w:val="095F13EB"/>
    <w:rsid w:val="098671B4"/>
    <w:rsid w:val="09B14094"/>
    <w:rsid w:val="09D70941"/>
    <w:rsid w:val="09E20F0F"/>
    <w:rsid w:val="09E23282"/>
    <w:rsid w:val="0A005CC1"/>
    <w:rsid w:val="0A6A72A6"/>
    <w:rsid w:val="0AAF61F2"/>
    <w:rsid w:val="0AE25A86"/>
    <w:rsid w:val="0AE74858"/>
    <w:rsid w:val="0B21498C"/>
    <w:rsid w:val="0CFD33F5"/>
    <w:rsid w:val="0D097FEC"/>
    <w:rsid w:val="0D615ECB"/>
    <w:rsid w:val="0E352659"/>
    <w:rsid w:val="0E5E5169"/>
    <w:rsid w:val="0E6423DA"/>
    <w:rsid w:val="0E697E3A"/>
    <w:rsid w:val="0EA81EB1"/>
    <w:rsid w:val="0F00405B"/>
    <w:rsid w:val="0FEF6A5D"/>
    <w:rsid w:val="10814756"/>
    <w:rsid w:val="10993E42"/>
    <w:rsid w:val="110A420A"/>
    <w:rsid w:val="1115494E"/>
    <w:rsid w:val="114059CB"/>
    <w:rsid w:val="116017FE"/>
    <w:rsid w:val="118B6BCD"/>
    <w:rsid w:val="11C44294"/>
    <w:rsid w:val="11D94042"/>
    <w:rsid w:val="13210FF0"/>
    <w:rsid w:val="132F6E99"/>
    <w:rsid w:val="133B4C77"/>
    <w:rsid w:val="13420CEC"/>
    <w:rsid w:val="13A448C1"/>
    <w:rsid w:val="13F37545"/>
    <w:rsid w:val="145A09F1"/>
    <w:rsid w:val="14F54FC2"/>
    <w:rsid w:val="159D04D9"/>
    <w:rsid w:val="15F32E80"/>
    <w:rsid w:val="16111B25"/>
    <w:rsid w:val="161A6DC6"/>
    <w:rsid w:val="16512FDF"/>
    <w:rsid w:val="1655753D"/>
    <w:rsid w:val="1715758D"/>
    <w:rsid w:val="17606A5A"/>
    <w:rsid w:val="17C75F44"/>
    <w:rsid w:val="17D905BB"/>
    <w:rsid w:val="17EA0819"/>
    <w:rsid w:val="187E3A65"/>
    <w:rsid w:val="18AF5067"/>
    <w:rsid w:val="18F61B9E"/>
    <w:rsid w:val="190D26C5"/>
    <w:rsid w:val="192511C5"/>
    <w:rsid w:val="195E0562"/>
    <w:rsid w:val="19EA48DF"/>
    <w:rsid w:val="19F45576"/>
    <w:rsid w:val="1A2356E4"/>
    <w:rsid w:val="1A652B87"/>
    <w:rsid w:val="1A861039"/>
    <w:rsid w:val="1A862587"/>
    <w:rsid w:val="1A930A0C"/>
    <w:rsid w:val="1AA9571E"/>
    <w:rsid w:val="1B846E94"/>
    <w:rsid w:val="1CC50A5E"/>
    <w:rsid w:val="1CEC59E0"/>
    <w:rsid w:val="1CFE0317"/>
    <w:rsid w:val="1D266050"/>
    <w:rsid w:val="1D552F66"/>
    <w:rsid w:val="1DD25F6F"/>
    <w:rsid w:val="1E11111C"/>
    <w:rsid w:val="1E2874B1"/>
    <w:rsid w:val="1F394761"/>
    <w:rsid w:val="1F68358B"/>
    <w:rsid w:val="1F79411A"/>
    <w:rsid w:val="1FE54AEC"/>
    <w:rsid w:val="202549D0"/>
    <w:rsid w:val="209E3A48"/>
    <w:rsid w:val="20CF7B1C"/>
    <w:rsid w:val="20EE51DE"/>
    <w:rsid w:val="20FD51BE"/>
    <w:rsid w:val="214F282F"/>
    <w:rsid w:val="21635AC5"/>
    <w:rsid w:val="21877933"/>
    <w:rsid w:val="22597A29"/>
    <w:rsid w:val="23077128"/>
    <w:rsid w:val="230A5A08"/>
    <w:rsid w:val="23194E63"/>
    <w:rsid w:val="231D3126"/>
    <w:rsid w:val="235D02F2"/>
    <w:rsid w:val="23C53C9C"/>
    <w:rsid w:val="23D44FD4"/>
    <w:rsid w:val="24015121"/>
    <w:rsid w:val="2442472A"/>
    <w:rsid w:val="24523BCF"/>
    <w:rsid w:val="25007493"/>
    <w:rsid w:val="25317484"/>
    <w:rsid w:val="259412EF"/>
    <w:rsid w:val="260D7FDE"/>
    <w:rsid w:val="268D7140"/>
    <w:rsid w:val="27DD25DF"/>
    <w:rsid w:val="280D218A"/>
    <w:rsid w:val="281832F2"/>
    <w:rsid w:val="28661061"/>
    <w:rsid w:val="28BE7954"/>
    <w:rsid w:val="292236E0"/>
    <w:rsid w:val="29244DDF"/>
    <w:rsid w:val="292C17DC"/>
    <w:rsid w:val="296D3E6D"/>
    <w:rsid w:val="29C00F7C"/>
    <w:rsid w:val="2A1A3444"/>
    <w:rsid w:val="2AA72265"/>
    <w:rsid w:val="2BA427D1"/>
    <w:rsid w:val="2BC527BC"/>
    <w:rsid w:val="2C063EFF"/>
    <w:rsid w:val="2C2A19CE"/>
    <w:rsid w:val="2C39109C"/>
    <w:rsid w:val="2C626531"/>
    <w:rsid w:val="2C663887"/>
    <w:rsid w:val="2C852F37"/>
    <w:rsid w:val="2C951EE2"/>
    <w:rsid w:val="2CFA5E70"/>
    <w:rsid w:val="2D2A70BC"/>
    <w:rsid w:val="2E0960D0"/>
    <w:rsid w:val="2E6E3273"/>
    <w:rsid w:val="2ED815FE"/>
    <w:rsid w:val="2F0000CD"/>
    <w:rsid w:val="2F035AA5"/>
    <w:rsid w:val="2F5A50A9"/>
    <w:rsid w:val="2FCC692D"/>
    <w:rsid w:val="2FE7783D"/>
    <w:rsid w:val="300C6117"/>
    <w:rsid w:val="301F579B"/>
    <w:rsid w:val="30BC6BF3"/>
    <w:rsid w:val="30F12AB1"/>
    <w:rsid w:val="313E79B5"/>
    <w:rsid w:val="314804B0"/>
    <w:rsid w:val="31597D3A"/>
    <w:rsid w:val="31600BD9"/>
    <w:rsid w:val="317970E9"/>
    <w:rsid w:val="317F0107"/>
    <w:rsid w:val="319F6799"/>
    <w:rsid w:val="31A16195"/>
    <w:rsid w:val="31CF685F"/>
    <w:rsid w:val="31D245A1"/>
    <w:rsid w:val="31D50722"/>
    <w:rsid w:val="323B7C0D"/>
    <w:rsid w:val="330F1310"/>
    <w:rsid w:val="331309CD"/>
    <w:rsid w:val="333F62AD"/>
    <w:rsid w:val="33484CB1"/>
    <w:rsid w:val="33B85E8F"/>
    <w:rsid w:val="33F156E3"/>
    <w:rsid w:val="3491429F"/>
    <w:rsid w:val="34A47B4B"/>
    <w:rsid w:val="34B65AB4"/>
    <w:rsid w:val="35277DDA"/>
    <w:rsid w:val="353D7F83"/>
    <w:rsid w:val="3588358D"/>
    <w:rsid w:val="368C269B"/>
    <w:rsid w:val="36C16187"/>
    <w:rsid w:val="36C632A5"/>
    <w:rsid w:val="371A608E"/>
    <w:rsid w:val="37551850"/>
    <w:rsid w:val="37E25454"/>
    <w:rsid w:val="37EB3193"/>
    <w:rsid w:val="38302F78"/>
    <w:rsid w:val="384E012F"/>
    <w:rsid w:val="39215212"/>
    <w:rsid w:val="392566F4"/>
    <w:rsid w:val="398C52AE"/>
    <w:rsid w:val="39B27192"/>
    <w:rsid w:val="39C35AAB"/>
    <w:rsid w:val="39F170F8"/>
    <w:rsid w:val="3A01572B"/>
    <w:rsid w:val="3A0840B5"/>
    <w:rsid w:val="3A587B73"/>
    <w:rsid w:val="3A8730BD"/>
    <w:rsid w:val="3AF4268E"/>
    <w:rsid w:val="3B2220F5"/>
    <w:rsid w:val="3C1B2D66"/>
    <w:rsid w:val="3CE753A4"/>
    <w:rsid w:val="3D811C1A"/>
    <w:rsid w:val="3D8E6FEE"/>
    <w:rsid w:val="3E080517"/>
    <w:rsid w:val="3EB859D3"/>
    <w:rsid w:val="3F740356"/>
    <w:rsid w:val="3F7F5085"/>
    <w:rsid w:val="3F8E6BED"/>
    <w:rsid w:val="400C1FB8"/>
    <w:rsid w:val="401A0B1B"/>
    <w:rsid w:val="40C75C7F"/>
    <w:rsid w:val="41411E2B"/>
    <w:rsid w:val="41A55C0F"/>
    <w:rsid w:val="41DB31F3"/>
    <w:rsid w:val="41E2488B"/>
    <w:rsid w:val="424764F9"/>
    <w:rsid w:val="435F1BBB"/>
    <w:rsid w:val="43746474"/>
    <w:rsid w:val="437C34BA"/>
    <w:rsid w:val="43AC56AB"/>
    <w:rsid w:val="43D81F81"/>
    <w:rsid w:val="43DD4E35"/>
    <w:rsid w:val="43F92678"/>
    <w:rsid w:val="4413082D"/>
    <w:rsid w:val="446C618F"/>
    <w:rsid w:val="4542375F"/>
    <w:rsid w:val="454B08B8"/>
    <w:rsid w:val="4564587A"/>
    <w:rsid w:val="45CA13BF"/>
    <w:rsid w:val="45DD6E08"/>
    <w:rsid w:val="46B22A95"/>
    <w:rsid w:val="470A32EC"/>
    <w:rsid w:val="475C5D43"/>
    <w:rsid w:val="479320E7"/>
    <w:rsid w:val="47F1224B"/>
    <w:rsid w:val="48256107"/>
    <w:rsid w:val="488A7910"/>
    <w:rsid w:val="488E17C5"/>
    <w:rsid w:val="48B87690"/>
    <w:rsid w:val="48EC495A"/>
    <w:rsid w:val="493E1BFC"/>
    <w:rsid w:val="49635E35"/>
    <w:rsid w:val="498B24B3"/>
    <w:rsid w:val="49D534DF"/>
    <w:rsid w:val="4A084240"/>
    <w:rsid w:val="4AA86EAE"/>
    <w:rsid w:val="4AC07CCF"/>
    <w:rsid w:val="4B3D55BF"/>
    <w:rsid w:val="4B6C1B39"/>
    <w:rsid w:val="4B9C17A8"/>
    <w:rsid w:val="4BC049EA"/>
    <w:rsid w:val="4C2C1295"/>
    <w:rsid w:val="4C9B68A1"/>
    <w:rsid w:val="4CDC1BF1"/>
    <w:rsid w:val="4D146571"/>
    <w:rsid w:val="4D971920"/>
    <w:rsid w:val="4DC1754C"/>
    <w:rsid w:val="4DF83669"/>
    <w:rsid w:val="4E2A1A81"/>
    <w:rsid w:val="4E481A1B"/>
    <w:rsid w:val="4E845F42"/>
    <w:rsid w:val="4F823BD7"/>
    <w:rsid w:val="4FB060F0"/>
    <w:rsid w:val="4FDD1CD3"/>
    <w:rsid w:val="504F27B6"/>
    <w:rsid w:val="50614BBB"/>
    <w:rsid w:val="50BB204A"/>
    <w:rsid w:val="515B4B56"/>
    <w:rsid w:val="51787787"/>
    <w:rsid w:val="51832493"/>
    <w:rsid w:val="51B71348"/>
    <w:rsid w:val="51C44442"/>
    <w:rsid w:val="51C60427"/>
    <w:rsid w:val="51ED71E3"/>
    <w:rsid w:val="51FA74D0"/>
    <w:rsid w:val="520F1397"/>
    <w:rsid w:val="529D432E"/>
    <w:rsid w:val="52A7405F"/>
    <w:rsid w:val="52C75604"/>
    <w:rsid w:val="53161DC8"/>
    <w:rsid w:val="53C7623A"/>
    <w:rsid w:val="5410237E"/>
    <w:rsid w:val="55B81489"/>
    <w:rsid w:val="560152C0"/>
    <w:rsid w:val="56AE0B22"/>
    <w:rsid w:val="56EB388B"/>
    <w:rsid w:val="56F91FCC"/>
    <w:rsid w:val="57027F43"/>
    <w:rsid w:val="571C51C3"/>
    <w:rsid w:val="571C5504"/>
    <w:rsid w:val="576E4220"/>
    <w:rsid w:val="57904046"/>
    <w:rsid w:val="57EF2F07"/>
    <w:rsid w:val="58044358"/>
    <w:rsid w:val="58367A92"/>
    <w:rsid w:val="58590338"/>
    <w:rsid w:val="586A0E03"/>
    <w:rsid w:val="588236C1"/>
    <w:rsid w:val="58945DC7"/>
    <w:rsid w:val="58954884"/>
    <w:rsid w:val="58A07523"/>
    <w:rsid w:val="58BB7D50"/>
    <w:rsid w:val="59227859"/>
    <w:rsid w:val="59283391"/>
    <w:rsid w:val="595E7B74"/>
    <w:rsid w:val="59877748"/>
    <w:rsid w:val="59C917F7"/>
    <w:rsid w:val="5A246656"/>
    <w:rsid w:val="5A670607"/>
    <w:rsid w:val="5A7D0C1A"/>
    <w:rsid w:val="5B127629"/>
    <w:rsid w:val="5B3E083D"/>
    <w:rsid w:val="5BEC7B5F"/>
    <w:rsid w:val="5C4E7021"/>
    <w:rsid w:val="5C9700AC"/>
    <w:rsid w:val="5D0A7F49"/>
    <w:rsid w:val="5D1221BC"/>
    <w:rsid w:val="5D2E23AC"/>
    <w:rsid w:val="5D351229"/>
    <w:rsid w:val="5D526412"/>
    <w:rsid w:val="5E446811"/>
    <w:rsid w:val="5E4C41F5"/>
    <w:rsid w:val="5EA20CCE"/>
    <w:rsid w:val="5EB1523D"/>
    <w:rsid w:val="5EC32AD4"/>
    <w:rsid w:val="5F0E1996"/>
    <w:rsid w:val="5F1A11FB"/>
    <w:rsid w:val="60244A01"/>
    <w:rsid w:val="606E3D17"/>
    <w:rsid w:val="60D46917"/>
    <w:rsid w:val="61416F4F"/>
    <w:rsid w:val="61695F12"/>
    <w:rsid w:val="61990971"/>
    <w:rsid w:val="61C93BD0"/>
    <w:rsid w:val="6238464A"/>
    <w:rsid w:val="624F7856"/>
    <w:rsid w:val="62AD3016"/>
    <w:rsid w:val="62BB05B6"/>
    <w:rsid w:val="62D73E6A"/>
    <w:rsid w:val="62EB7A42"/>
    <w:rsid w:val="63277921"/>
    <w:rsid w:val="63755D1E"/>
    <w:rsid w:val="639E6557"/>
    <w:rsid w:val="63E26741"/>
    <w:rsid w:val="6477644B"/>
    <w:rsid w:val="647E41D3"/>
    <w:rsid w:val="64874BF3"/>
    <w:rsid w:val="649164F5"/>
    <w:rsid w:val="649617DF"/>
    <w:rsid w:val="64BB1693"/>
    <w:rsid w:val="64E445D5"/>
    <w:rsid w:val="65152445"/>
    <w:rsid w:val="65F655FD"/>
    <w:rsid w:val="661D7FB4"/>
    <w:rsid w:val="66D30605"/>
    <w:rsid w:val="66E315E2"/>
    <w:rsid w:val="672A01EB"/>
    <w:rsid w:val="678F4E75"/>
    <w:rsid w:val="67AD41D7"/>
    <w:rsid w:val="67E97973"/>
    <w:rsid w:val="67FF32BE"/>
    <w:rsid w:val="68104F00"/>
    <w:rsid w:val="68DB3760"/>
    <w:rsid w:val="68FD4B99"/>
    <w:rsid w:val="69511DF0"/>
    <w:rsid w:val="698F0275"/>
    <w:rsid w:val="699E622B"/>
    <w:rsid w:val="69B95B21"/>
    <w:rsid w:val="69CA23E3"/>
    <w:rsid w:val="69FD3262"/>
    <w:rsid w:val="6A090A24"/>
    <w:rsid w:val="6A0D3524"/>
    <w:rsid w:val="6A6477AC"/>
    <w:rsid w:val="6A6C3678"/>
    <w:rsid w:val="6A6C5C6D"/>
    <w:rsid w:val="6A7B27B2"/>
    <w:rsid w:val="6B140697"/>
    <w:rsid w:val="6B145CD3"/>
    <w:rsid w:val="6B981494"/>
    <w:rsid w:val="6B9E11D6"/>
    <w:rsid w:val="6CCE66BA"/>
    <w:rsid w:val="6D530043"/>
    <w:rsid w:val="6D7E0B5E"/>
    <w:rsid w:val="6DF90983"/>
    <w:rsid w:val="6E0D3C4D"/>
    <w:rsid w:val="6E2D73E9"/>
    <w:rsid w:val="6EAC73BE"/>
    <w:rsid w:val="6EF15BF2"/>
    <w:rsid w:val="6F454505"/>
    <w:rsid w:val="6F522D98"/>
    <w:rsid w:val="6F927C93"/>
    <w:rsid w:val="6F9D176F"/>
    <w:rsid w:val="6FBA2C5C"/>
    <w:rsid w:val="70184013"/>
    <w:rsid w:val="70A65AEF"/>
    <w:rsid w:val="7139344B"/>
    <w:rsid w:val="720F1942"/>
    <w:rsid w:val="722446CE"/>
    <w:rsid w:val="722C5FD4"/>
    <w:rsid w:val="723426BD"/>
    <w:rsid w:val="72416ED0"/>
    <w:rsid w:val="7245592F"/>
    <w:rsid w:val="72BF283E"/>
    <w:rsid w:val="72C74D55"/>
    <w:rsid w:val="72D77E7E"/>
    <w:rsid w:val="73221843"/>
    <w:rsid w:val="73436EAB"/>
    <w:rsid w:val="73481CC8"/>
    <w:rsid w:val="7388341F"/>
    <w:rsid w:val="73CE496C"/>
    <w:rsid w:val="74324450"/>
    <w:rsid w:val="74B1304D"/>
    <w:rsid w:val="74CA450C"/>
    <w:rsid w:val="7502473F"/>
    <w:rsid w:val="754A68A4"/>
    <w:rsid w:val="754C46CD"/>
    <w:rsid w:val="75906A9D"/>
    <w:rsid w:val="75930241"/>
    <w:rsid w:val="76214DFA"/>
    <w:rsid w:val="76424508"/>
    <w:rsid w:val="76755873"/>
    <w:rsid w:val="76C74784"/>
    <w:rsid w:val="76D9325A"/>
    <w:rsid w:val="77107AF2"/>
    <w:rsid w:val="77756B2D"/>
    <w:rsid w:val="77BF07B7"/>
    <w:rsid w:val="77DE02F8"/>
    <w:rsid w:val="77FA30D2"/>
    <w:rsid w:val="78216CB5"/>
    <w:rsid w:val="78460CB8"/>
    <w:rsid w:val="7929744E"/>
    <w:rsid w:val="79357783"/>
    <w:rsid w:val="793E7C1B"/>
    <w:rsid w:val="79C32FBD"/>
    <w:rsid w:val="79C57385"/>
    <w:rsid w:val="7A02655C"/>
    <w:rsid w:val="7A1528E7"/>
    <w:rsid w:val="7A2913C4"/>
    <w:rsid w:val="7AA23856"/>
    <w:rsid w:val="7AF54A82"/>
    <w:rsid w:val="7B0F2C3A"/>
    <w:rsid w:val="7B3064BE"/>
    <w:rsid w:val="7BCB6339"/>
    <w:rsid w:val="7BD32074"/>
    <w:rsid w:val="7C0342E3"/>
    <w:rsid w:val="7C1E3C37"/>
    <w:rsid w:val="7C7B0C8A"/>
    <w:rsid w:val="7D460D7B"/>
    <w:rsid w:val="7D8227D9"/>
    <w:rsid w:val="7DA1045A"/>
    <w:rsid w:val="7DBC2F70"/>
    <w:rsid w:val="7DE24235"/>
    <w:rsid w:val="7DEB250A"/>
    <w:rsid w:val="7E061524"/>
    <w:rsid w:val="7E136EBD"/>
    <w:rsid w:val="7E2304A8"/>
    <w:rsid w:val="7EF0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39"/>
  </w:style>
  <w:style w:type="paragraph" w:styleId="5">
    <w:name w:val="toc 2"/>
    <w:basedOn w:val="1"/>
    <w:next w:val="1"/>
    <w:qFormat/>
    <w:uiPriority w:val="3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1832</Words>
  <Characters>1937</Characters>
  <Lines>0</Lines>
  <Paragraphs>0</Paragraphs>
  <TotalTime>0</TotalTime>
  <ScaleCrop>false</ScaleCrop>
  <LinksUpToDate>false</LinksUpToDate>
  <CharactersWithSpaces>1982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2021-04-23T14:52:00Z</dcterms:created>
  <dc:creator>Lenovo</dc:creator>
  <cp:lastModifiedBy>WPS_1161219725</cp:lastModifiedBy>
  <dcterms:modified xsi:type="dcterms:W3CDTF">2023-02-22T05:04:28Z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2B94DAF38A194BAD9DB3628383DC84E6</vt:lpwstr>
  </property>
</Properties>
</file>