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AE5" w:rsidRPr="007E6720" w:rsidRDefault="00230AE5" w:rsidP="00762F1C">
      <w:pPr>
        <w:spacing w:line="600" w:lineRule="exact"/>
        <w:jc w:val="left"/>
        <w:rPr>
          <w:rFonts w:eastAsia="黑体"/>
          <w:sz w:val="32"/>
          <w:szCs w:val="32"/>
        </w:rPr>
      </w:pPr>
      <w:r w:rsidRPr="007E6720">
        <w:rPr>
          <w:rFonts w:eastAsia="黑体"/>
          <w:sz w:val="32"/>
          <w:szCs w:val="32"/>
        </w:rPr>
        <w:t>附件</w:t>
      </w:r>
    </w:p>
    <w:p w:rsidR="00230AE5" w:rsidRPr="007E6720" w:rsidRDefault="00230AE5" w:rsidP="00762F1C">
      <w:pPr>
        <w:spacing w:line="600" w:lineRule="exact"/>
        <w:jc w:val="center"/>
        <w:rPr>
          <w:rFonts w:eastAsia="方正小标宋简体"/>
          <w:sz w:val="44"/>
          <w:szCs w:val="44"/>
        </w:rPr>
      </w:pPr>
    </w:p>
    <w:p w:rsidR="00762F1C" w:rsidRPr="007E6720" w:rsidRDefault="00762F1C" w:rsidP="00762F1C">
      <w:pPr>
        <w:snapToGrid w:val="0"/>
        <w:spacing w:line="600" w:lineRule="exact"/>
        <w:jc w:val="center"/>
        <w:rPr>
          <w:rFonts w:eastAsia="方正小标宋_GBK"/>
          <w:sz w:val="44"/>
          <w:szCs w:val="44"/>
        </w:rPr>
      </w:pPr>
      <w:r w:rsidRPr="007E6720">
        <w:rPr>
          <w:rFonts w:eastAsia="方正小标宋简体"/>
          <w:sz w:val="44"/>
          <w:szCs w:val="44"/>
        </w:rPr>
        <w:t>基孔肯雅病毒核酸检测试剂技术审评要点</w:t>
      </w:r>
    </w:p>
    <w:p w:rsidR="00762F1C" w:rsidRPr="007E6720" w:rsidRDefault="00762F1C" w:rsidP="00762F1C">
      <w:pPr>
        <w:snapToGrid w:val="0"/>
        <w:spacing w:line="600" w:lineRule="exact"/>
        <w:jc w:val="center"/>
        <w:rPr>
          <w:rFonts w:eastAsia="方正小标宋简体"/>
          <w:sz w:val="44"/>
          <w:szCs w:val="44"/>
        </w:rPr>
      </w:pPr>
      <w:r w:rsidRPr="007E6720">
        <w:rPr>
          <w:rFonts w:eastAsia="方正小标宋简体"/>
          <w:sz w:val="44"/>
          <w:szCs w:val="44"/>
        </w:rPr>
        <w:t>（试行）</w:t>
      </w:r>
    </w:p>
    <w:p w:rsidR="00762F1C" w:rsidRPr="007E6720" w:rsidRDefault="00762F1C" w:rsidP="00762F1C">
      <w:pPr>
        <w:snapToGrid w:val="0"/>
        <w:spacing w:line="600" w:lineRule="exact"/>
        <w:jc w:val="center"/>
        <w:rPr>
          <w:rFonts w:eastAsia="方正小标宋简体"/>
          <w:sz w:val="44"/>
          <w:szCs w:val="44"/>
        </w:rPr>
      </w:pPr>
    </w:p>
    <w:p w:rsidR="00762F1C" w:rsidRPr="007E6720" w:rsidRDefault="00762F1C" w:rsidP="007E6720">
      <w:pPr>
        <w:snapToGrid w:val="0"/>
        <w:spacing w:line="560" w:lineRule="exact"/>
        <w:ind w:firstLineChars="200" w:firstLine="640"/>
        <w:jc w:val="left"/>
        <w:rPr>
          <w:rFonts w:eastAsia="仿宋_GB2312"/>
          <w:color w:val="000000"/>
          <w:sz w:val="32"/>
          <w:szCs w:val="32"/>
        </w:rPr>
      </w:pPr>
      <w:r w:rsidRPr="007E6720">
        <w:rPr>
          <w:rFonts w:eastAsia="仿宋_GB2312"/>
          <w:color w:val="000000"/>
          <w:sz w:val="32"/>
          <w:szCs w:val="32"/>
        </w:rPr>
        <w:t>本审评要点旨在指导注册申请人</w:t>
      </w:r>
      <w:bookmarkStart w:id="0" w:name="OLE_LINK1"/>
      <w:r w:rsidRPr="007E6720">
        <w:rPr>
          <w:rFonts w:eastAsia="仿宋_GB2312"/>
          <w:color w:val="000000"/>
          <w:sz w:val="32"/>
          <w:szCs w:val="32"/>
        </w:rPr>
        <w:t>开展基孔肯雅</w:t>
      </w:r>
      <w:bookmarkEnd w:id="0"/>
      <w:r w:rsidRPr="007E6720">
        <w:rPr>
          <w:rFonts w:eastAsia="仿宋_GB2312"/>
          <w:color w:val="000000"/>
          <w:sz w:val="32"/>
          <w:szCs w:val="32"/>
        </w:rPr>
        <w:t>病毒核酸检测试剂的设计开发工作，准备产品注册申报资料，同时也为技术审评部门提供参考。</w:t>
      </w:r>
    </w:p>
    <w:p w:rsidR="00762F1C" w:rsidRPr="007E6720" w:rsidRDefault="00762F1C" w:rsidP="007E6720">
      <w:pPr>
        <w:snapToGrid w:val="0"/>
        <w:spacing w:line="560" w:lineRule="exact"/>
        <w:ind w:firstLineChars="200" w:firstLine="640"/>
        <w:jc w:val="left"/>
        <w:rPr>
          <w:rFonts w:eastAsia="仿宋_GB2312"/>
          <w:color w:val="000000"/>
          <w:sz w:val="32"/>
          <w:szCs w:val="32"/>
        </w:rPr>
      </w:pPr>
      <w:r w:rsidRPr="007E6720">
        <w:rPr>
          <w:rFonts w:eastAsia="仿宋_GB2312"/>
          <w:color w:val="000000"/>
          <w:sz w:val="32"/>
          <w:szCs w:val="32"/>
        </w:rPr>
        <w:t>本审评要点是对基孔肯雅病毒核酸检测试剂的一般要求，申请人应依据产品的具体特性确定其中内容是否适用。若不适用，需具体阐述理由及相应的科学依据，并依据产品的具体特性对注册申报资料的内容进行充实和细化。</w:t>
      </w:r>
    </w:p>
    <w:p w:rsidR="00762F1C" w:rsidRPr="007E6720" w:rsidRDefault="00762F1C" w:rsidP="007E6720">
      <w:pPr>
        <w:snapToGrid w:val="0"/>
        <w:spacing w:line="560" w:lineRule="exact"/>
        <w:ind w:firstLineChars="200" w:firstLine="640"/>
        <w:rPr>
          <w:rFonts w:eastAsia="黑体"/>
          <w:bCs/>
          <w:color w:val="000000"/>
          <w:sz w:val="32"/>
          <w:szCs w:val="32"/>
        </w:rPr>
      </w:pPr>
      <w:r w:rsidRPr="007E6720">
        <w:rPr>
          <w:rFonts w:eastAsia="黑体"/>
          <w:bCs/>
          <w:color w:val="000000"/>
          <w:sz w:val="32"/>
          <w:szCs w:val="32"/>
        </w:rPr>
        <w:t>一、适用范围</w:t>
      </w:r>
    </w:p>
    <w:p w:rsidR="00762F1C" w:rsidRPr="007E6720" w:rsidRDefault="00762F1C" w:rsidP="007E6720">
      <w:pPr>
        <w:snapToGrid w:val="0"/>
        <w:spacing w:line="560" w:lineRule="exact"/>
        <w:ind w:firstLineChars="200" w:firstLine="640"/>
        <w:rPr>
          <w:rFonts w:eastAsia="仿宋_GB2312"/>
          <w:color w:val="000000"/>
          <w:sz w:val="32"/>
          <w:szCs w:val="32"/>
        </w:rPr>
      </w:pPr>
      <w:r w:rsidRPr="007E6720">
        <w:rPr>
          <w:rFonts w:eastAsia="仿宋_GB2312"/>
          <w:color w:val="000000"/>
          <w:sz w:val="32"/>
          <w:szCs w:val="32"/>
        </w:rPr>
        <w:t>本</w:t>
      </w:r>
      <w:r w:rsidRPr="007E6720">
        <w:rPr>
          <w:rFonts w:eastAsia="仿宋_GB2312"/>
          <w:sz w:val="32"/>
          <w:szCs w:val="32"/>
        </w:rPr>
        <w:t>审评要点</w:t>
      </w:r>
      <w:r w:rsidRPr="007E6720">
        <w:rPr>
          <w:rFonts w:eastAsia="仿宋_GB2312"/>
          <w:color w:val="000000"/>
          <w:sz w:val="32"/>
          <w:szCs w:val="32"/>
        </w:rPr>
        <w:t>适用于基孔肯雅病毒核酸检测试剂</w:t>
      </w:r>
      <w:r w:rsidRPr="007E6720">
        <w:rPr>
          <w:rFonts w:eastAsia="仿宋_GB2312"/>
          <w:bCs/>
          <w:color w:val="000000"/>
          <w:sz w:val="32"/>
          <w:szCs w:val="32"/>
        </w:rPr>
        <w:t>注册申请和变更注册申请的情形</w:t>
      </w:r>
      <w:r w:rsidRPr="007E6720">
        <w:rPr>
          <w:rFonts w:eastAsia="仿宋_GB2312"/>
          <w:color w:val="000000"/>
          <w:sz w:val="32"/>
          <w:szCs w:val="32"/>
        </w:rPr>
        <w:t>，其他未尽事宜应当符合《关于公布体外诊断试剂注册申报资料要求和批准证明文件格式的公告》（国家药品监督管理局公告</w:t>
      </w:r>
      <w:r w:rsidRPr="007E6720">
        <w:rPr>
          <w:rFonts w:eastAsia="仿宋_GB2312"/>
          <w:color w:val="000000"/>
          <w:sz w:val="32"/>
          <w:szCs w:val="32"/>
        </w:rPr>
        <w:t>2021</w:t>
      </w:r>
      <w:r w:rsidRPr="007E6720">
        <w:rPr>
          <w:rFonts w:eastAsia="仿宋_GB2312"/>
          <w:color w:val="000000"/>
          <w:sz w:val="32"/>
          <w:szCs w:val="32"/>
        </w:rPr>
        <w:t>年第</w:t>
      </w:r>
      <w:r w:rsidRPr="007E6720">
        <w:rPr>
          <w:rFonts w:eastAsia="仿宋_GB2312"/>
          <w:color w:val="000000"/>
          <w:sz w:val="32"/>
          <w:szCs w:val="32"/>
        </w:rPr>
        <w:t>122</w:t>
      </w:r>
      <w:r w:rsidRPr="007E6720">
        <w:rPr>
          <w:rFonts w:eastAsia="仿宋_GB2312"/>
          <w:color w:val="000000"/>
          <w:sz w:val="32"/>
          <w:szCs w:val="32"/>
        </w:rPr>
        <w:t>号）等相关法规的要求，同时建议参考《定性检测体外诊断试剂分析性能评估注册审查指导原则》、《体外诊断试剂主要原材料研究注册审查指导原则》等适用的技术文件要求。</w:t>
      </w:r>
    </w:p>
    <w:p w:rsidR="00762F1C" w:rsidRPr="007E6720" w:rsidRDefault="00762F1C" w:rsidP="007E6720">
      <w:pPr>
        <w:snapToGrid w:val="0"/>
        <w:spacing w:line="560" w:lineRule="exact"/>
        <w:ind w:rightChars="-32" w:right="-67" w:firstLineChars="200" w:firstLine="640"/>
        <w:rPr>
          <w:rFonts w:eastAsia="黑体"/>
          <w:color w:val="000000"/>
          <w:sz w:val="32"/>
          <w:szCs w:val="32"/>
        </w:rPr>
      </w:pPr>
      <w:r w:rsidRPr="007E6720">
        <w:rPr>
          <w:rFonts w:eastAsia="黑体"/>
          <w:color w:val="000000"/>
          <w:sz w:val="32"/>
          <w:szCs w:val="32"/>
        </w:rPr>
        <w:t>二、注册审查要点</w:t>
      </w:r>
    </w:p>
    <w:p w:rsidR="00762F1C" w:rsidRPr="007E6720" w:rsidRDefault="00762F1C" w:rsidP="007E6720">
      <w:pPr>
        <w:snapToGrid w:val="0"/>
        <w:spacing w:line="560" w:lineRule="exact"/>
        <w:ind w:rightChars="-32" w:right="-67" w:firstLineChars="200" w:firstLine="640"/>
        <w:rPr>
          <w:rFonts w:eastAsia="楷体"/>
          <w:color w:val="000000"/>
          <w:sz w:val="32"/>
          <w:szCs w:val="32"/>
        </w:rPr>
      </w:pPr>
      <w:r w:rsidRPr="007E6720">
        <w:rPr>
          <w:rFonts w:eastAsia="楷体"/>
          <w:color w:val="000000"/>
          <w:sz w:val="32"/>
          <w:szCs w:val="32"/>
        </w:rPr>
        <w:t>（一）产品技术要求及检验报告</w:t>
      </w:r>
    </w:p>
    <w:p w:rsidR="00762F1C" w:rsidRPr="007E6720" w:rsidRDefault="00762F1C" w:rsidP="007E6720">
      <w:pPr>
        <w:snapToGrid w:val="0"/>
        <w:spacing w:line="560" w:lineRule="exact"/>
        <w:ind w:firstLineChars="200" w:firstLine="640"/>
        <w:rPr>
          <w:rFonts w:eastAsia="仿宋_GB2312"/>
          <w:color w:val="000000"/>
          <w:sz w:val="32"/>
          <w:szCs w:val="32"/>
        </w:rPr>
      </w:pPr>
      <w:r w:rsidRPr="007E6720">
        <w:rPr>
          <w:rFonts w:eastAsia="仿宋_GB2312"/>
          <w:color w:val="000000"/>
          <w:sz w:val="32"/>
          <w:szCs w:val="32"/>
        </w:rPr>
        <w:t>注册申请人应当在原材料质量和生产工艺稳定的前提下，</w:t>
      </w:r>
      <w:r w:rsidRPr="007E6720">
        <w:rPr>
          <w:rFonts w:eastAsia="仿宋_GB2312"/>
          <w:color w:val="000000"/>
          <w:sz w:val="32"/>
          <w:szCs w:val="32"/>
        </w:rPr>
        <w:lastRenderedPageBreak/>
        <w:t>根据产品研制、前期评价等结果，依据国家标准（如有）、行业标准及有关文献资料，结合产品特性，按照《医疗器械产品技术要求编写指导原则》</w:t>
      </w:r>
      <w:hyperlink r:id="rId8" w:tgtFrame="_self" w:history="1">
        <w:r w:rsidRPr="007E6720">
          <w:rPr>
            <w:rFonts w:eastAsia="仿宋_GB2312"/>
            <w:color w:val="000000"/>
            <w:sz w:val="32"/>
            <w:szCs w:val="32"/>
          </w:rPr>
          <w:t>（</w:t>
        </w:r>
        <w:r w:rsidRPr="007E6720">
          <w:rPr>
            <w:rFonts w:eastAsia="仿宋_GB2312"/>
            <w:color w:val="000000"/>
            <w:sz w:val="32"/>
            <w:szCs w:val="32"/>
          </w:rPr>
          <w:t>2022</w:t>
        </w:r>
        <w:r w:rsidRPr="007E6720">
          <w:rPr>
            <w:rFonts w:eastAsia="仿宋_GB2312"/>
            <w:color w:val="000000"/>
            <w:sz w:val="32"/>
            <w:szCs w:val="32"/>
          </w:rPr>
          <w:t>年第</w:t>
        </w:r>
        <w:r w:rsidRPr="007E6720">
          <w:rPr>
            <w:rFonts w:eastAsia="仿宋_GB2312"/>
            <w:color w:val="000000"/>
            <w:sz w:val="32"/>
            <w:szCs w:val="32"/>
          </w:rPr>
          <w:t>8</w:t>
        </w:r>
        <w:r w:rsidRPr="007E6720">
          <w:rPr>
            <w:rFonts w:eastAsia="仿宋_GB2312"/>
            <w:color w:val="000000"/>
            <w:sz w:val="32"/>
            <w:szCs w:val="32"/>
          </w:rPr>
          <w:t>号）</w:t>
        </w:r>
      </w:hyperlink>
      <w:r w:rsidRPr="007E6720">
        <w:rPr>
          <w:rFonts w:eastAsia="仿宋_GB2312"/>
          <w:color w:val="000000"/>
          <w:sz w:val="32"/>
          <w:szCs w:val="32"/>
        </w:rPr>
        <w:t>的要求编写产品技术要求。该类产品作为第三类体外诊断试剂，应当以附录形式明确主要原材料以及生产工艺要求。</w:t>
      </w:r>
    </w:p>
    <w:p w:rsidR="00762F1C" w:rsidRPr="007E6720" w:rsidRDefault="00762F1C" w:rsidP="007E6720">
      <w:pPr>
        <w:snapToGrid w:val="0"/>
        <w:spacing w:line="560" w:lineRule="exact"/>
        <w:ind w:rightChars="-32" w:right="-67" w:firstLineChars="200" w:firstLine="640"/>
        <w:rPr>
          <w:rFonts w:eastAsia="仿宋_GB2312"/>
          <w:color w:val="000000"/>
          <w:spacing w:val="-1"/>
          <w:sz w:val="32"/>
          <w:szCs w:val="32"/>
        </w:rPr>
      </w:pPr>
      <w:r w:rsidRPr="007E6720">
        <w:rPr>
          <w:rFonts w:eastAsia="仿宋_GB2312"/>
          <w:color w:val="000000"/>
          <w:sz w:val="32"/>
          <w:szCs w:val="32"/>
        </w:rPr>
        <w:t>基孔肯雅核酸检测试剂如有</w:t>
      </w:r>
      <w:r w:rsidRPr="007E6720">
        <w:rPr>
          <w:rFonts w:eastAsia="仿宋_GB2312"/>
          <w:color w:val="000000"/>
          <w:spacing w:val="-1"/>
          <w:sz w:val="32"/>
          <w:szCs w:val="32"/>
        </w:rPr>
        <w:t>国家标准品，技术要求中应体现国家标准品的相关要求，并使用国家标准品对三批产品进行检验。</w:t>
      </w:r>
    </w:p>
    <w:p w:rsidR="00762F1C" w:rsidRPr="007E6720" w:rsidRDefault="00762F1C" w:rsidP="007E6720">
      <w:pPr>
        <w:snapToGrid w:val="0"/>
        <w:spacing w:line="560" w:lineRule="exact"/>
        <w:ind w:rightChars="-32" w:right="-67" w:firstLineChars="200" w:firstLine="640"/>
        <w:rPr>
          <w:rFonts w:eastAsia="仿宋_GB2312"/>
          <w:color w:val="000000"/>
          <w:sz w:val="32"/>
          <w:szCs w:val="32"/>
        </w:rPr>
      </w:pPr>
      <w:bookmarkStart w:id="1" w:name="OLE_LINK5"/>
      <w:r w:rsidRPr="007E6720">
        <w:rPr>
          <w:rFonts w:eastAsia="仿宋_GB2312"/>
          <w:color w:val="000000"/>
          <w:sz w:val="32"/>
          <w:szCs w:val="32"/>
        </w:rPr>
        <w:t>基孔肯雅病毒</w:t>
      </w:r>
      <w:bookmarkEnd w:id="1"/>
      <w:r w:rsidRPr="007E6720">
        <w:rPr>
          <w:rFonts w:eastAsia="仿宋_GB2312"/>
          <w:color w:val="000000"/>
          <w:sz w:val="32"/>
          <w:szCs w:val="32"/>
        </w:rPr>
        <w:t>核酸检测试剂的检出限水平应符合国家相关指南文件规定，申报产品对国家灵敏度标准品（如有）的检测结果应与声称的检出限水平相当。</w:t>
      </w:r>
    </w:p>
    <w:p w:rsidR="00762F1C" w:rsidRPr="007E6720" w:rsidRDefault="00762F1C" w:rsidP="007E6720">
      <w:pPr>
        <w:snapToGrid w:val="0"/>
        <w:spacing w:line="560" w:lineRule="exact"/>
        <w:ind w:firstLineChars="200" w:firstLine="640"/>
        <w:rPr>
          <w:rFonts w:eastAsia="仿宋_GB2312"/>
          <w:color w:val="000000"/>
          <w:spacing w:val="-1"/>
          <w:sz w:val="32"/>
          <w:szCs w:val="32"/>
        </w:rPr>
      </w:pPr>
      <w:r w:rsidRPr="007E6720">
        <w:rPr>
          <w:rFonts w:eastAsia="仿宋_GB2312"/>
          <w:sz w:val="32"/>
          <w:szCs w:val="32"/>
        </w:rPr>
        <w:t>如有适用的国家标准、行业标准，产品技术要求的相关内容应不低于相应的要求。</w:t>
      </w:r>
    </w:p>
    <w:p w:rsidR="00762F1C" w:rsidRPr="007E6720" w:rsidRDefault="00762F1C" w:rsidP="007E6720">
      <w:pPr>
        <w:snapToGrid w:val="0"/>
        <w:spacing w:line="560" w:lineRule="exact"/>
        <w:ind w:firstLineChars="200" w:firstLine="640"/>
        <w:rPr>
          <w:rFonts w:eastAsia="楷体"/>
          <w:color w:val="000000"/>
          <w:sz w:val="32"/>
          <w:szCs w:val="32"/>
        </w:rPr>
      </w:pPr>
      <w:r w:rsidRPr="007E6720">
        <w:rPr>
          <w:rFonts w:eastAsia="楷体"/>
          <w:color w:val="000000"/>
          <w:sz w:val="32"/>
          <w:szCs w:val="32"/>
        </w:rPr>
        <w:t>（二）分析性能研究</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注册申请人应采用在符合质量管理体系的环境下生产的试剂盒进行分析性能研究，提交具体研究方法、试验方案、试验数据、统计分析结果等详细资料。</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如申报产品适用不同的机型，需要提交采用不同机型进行性能评估的资料。如申报产品包含不同的包装规格，需要对各包装规格进行分析或验证。</w:t>
      </w:r>
    </w:p>
    <w:p w:rsidR="00762F1C" w:rsidRPr="007E6720" w:rsidRDefault="00762F1C" w:rsidP="007E6720">
      <w:pPr>
        <w:snapToGrid w:val="0"/>
        <w:spacing w:line="560" w:lineRule="exact"/>
        <w:ind w:firstLineChars="200" w:firstLine="640"/>
        <w:rPr>
          <w:rFonts w:eastAsia="仿宋_GB2312"/>
          <w:bCs/>
          <w:sz w:val="32"/>
          <w:szCs w:val="32"/>
        </w:rPr>
      </w:pPr>
      <w:r w:rsidRPr="007E6720">
        <w:rPr>
          <w:rFonts w:eastAsia="仿宋_GB2312"/>
          <w:bCs/>
          <w:sz w:val="32"/>
          <w:szCs w:val="32"/>
        </w:rPr>
        <w:t>如果试剂同时适用于血清和血浆样本类型，可选择具有统计学意义数量的样本进行不同样本类型一致性的同源比对研究。</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分析性能评估所用样本的基本信息均需明确，例如样本来源、样本类型、采集和处理方式、稀释方式、定值过程及数据等。</w:t>
      </w:r>
    </w:p>
    <w:p w:rsidR="00762F1C" w:rsidRPr="007E6720" w:rsidRDefault="00762F1C" w:rsidP="007E6720">
      <w:pPr>
        <w:widowControl/>
        <w:snapToGrid w:val="0"/>
        <w:spacing w:line="560" w:lineRule="exact"/>
        <w:ind w:firstLineChars="200" w:firstLine="640"/>
        <w:rPr>
          <w:rFonts w:eastAsia="仿宋_GB2312"/>
          <w:sz w:val="32"/>
          <w:szCs w:val="32"/>
          <w:highlight w:val="yellow"/>
        </w:rPr>
      </w:pPr>
      <w:r w:rsidRPr="007E6720">
        <w:rPr>
          <w:rFonts w:eastAsia="仿宋_GB2312"/>
          <w:sz w:val="32"/>
          <w:szCs w:val="32"/>
        </w:rPr>
        <w:lastRenderedPageBreak/>
        <w:t>分析性能评估用样本一般应为真实样本，如需稀释，应采用阴性样本进行稀释。</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建议着重对以下分析性能进行研究。</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1.</w:t>
      </w:r>
      <w:r w:rsidRPr="007E6720">
        <w:rPr>
          <w:rFonts w:eastAsia="仿宋_GB2312"/>
          <w:sz w:val="32"/>
          <w:szCs w:val="32"/>
        </w:rPr>
        <w:t>样本稳定性</w:t>
      </w:r>
    </w:p>
    <w:p w:rsidR="00762F1C" w:rsidRPr="007E6720" w:rsidRDefault="00762F1C" w:rsidP="007E6720">
      <w:pPr>
        <w:pStyle w:val="aa"/>
        <w:widowControl/>
        <w:snapToGrid w:val="0"/>
        <w:spacing w:line="560" w:lineRule="exact"/>
        <w:ind w:firstLine="640"/>
        <w:rPr>
          <w:rFonts w:ascii="Times New Roman" w:eastAsia="仿宋_GB2312" w:hAnsi="Times New Roman" w:cs="Times New Roman"/>
          <w:sz w:val="32"/>
          <w:szCs w:val="32"/>
        </w:rPr>
      </w:pPr>
      <w:r w:rsidRPr="007E6720">
        <w:rPr>
          <w:rFonts w:ascii="Times New Roman" w:eastAsia="仿宋_GB2312" w:hAnsi="Times New Roman" w:cs="Times New Roman"/>
          <w:sz w:val="32"/>
          <w:szCs w:val="32"/>
        </w:rPr>
        <w:t>2.</w:t>
      </w:r>
      <w:r w:rsidRPr="007E6720">
        <w:rPr>
          <w:rFonts w:ascii="Times New Roman" w:eastAsia="仿宋_GB2312" w:hAnsi="Times New Roman" w:cs="Times New Roman"/>
          <w:sz w:val="32"/>
          <w:szCs w:val="32"/>
        </w:rPr>
        <w:t>核酸（</w:t>
      </w:r>
      <w:r w:rsidRPr="007E6720">
        <w:rPr>
          <w:rFonts w:ascii="Times New Roman" w:eastAsia="仿宋_GB2312" w:hAnsi="Times New Roman" w:cs="Times New Roman"/>
          <w:sz w:val="32"/>
          <w:szCs w:val="32"/>
        </w:rPr>
        <w:t>RNA</w:t>
      </w:r>
      <w:r w:rsidRPr="007E6720">
        <w:rPr>
          <w:rFonts w:ascii="Times New Roman" w:eastAsia="仿宋_GB2312" w:hAnsi="Times New Roman" w:cs="Times New Roman"/>
          <w:sz w:val="32"/>
          <w:szCs w:val="32"/>
        </w:rPr>
        <w:t>）提取</w:t>
      </w:r>
      <w:r w:rsidRPr="007E6720">
        <w:rPr>
          <w:rFonts w:ascii="Times New Roman" w:eastAsia="仿宋_GB2312" w:hAnsi="Times New Roman" w:cs="Times New Roman"/>
          <w:sz w:val="32"/>
          <w:szCs w:val="32"/>
        </w:rPr>
        <w:t>/</w:t>
      </w:r>
      <w:r w:rsidRPr="007E6720">
        <w:rPr>
          <w:rFonts w:ascii="Times New Roman" w:eastAsia="仿宋_GB2312" w:hAnsi="Times New Roman" w:cs="Times New Roman"/>
          <w:sz w:val="32"/>
          <w:szCs w:val="32"/>
        </w:rPr>
        <w:t>纯化性能</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在进行核酸检测之前，建议有核酸提取</w:t>
      </w:r>
      <w:r w:rsidRPr="007E6720">
        <w:rPr>
          <w:rFonts w:eastAsia="仿宋_GB2312"/>
          <w:sz w:val="32"/>
          <w:szCs w:val="32"/>
        </w:rPr>
        <w:t>/</w:t>
      </w:r>
      <w:r w:rsidRPr="007E6720">
        <w:rPr>
          <w:rFonts w:eastAsia="仿宋_GB2312"/>
          <w:sz w:val="32"/>
          <w:szCs w:val="32"/>
        </w:rPr>
        <w:t>纯化步骤。该步骤的目的除最大量分离出目的</w:t>
      </w:r>
      <w:r w:rsidRPr="007E6720">
        <w:rPr>
          <w:rFonts w:eastAsia="仿宋_GB2312"/>
          <w:sz w:val="32"/>
          <w:szCs w:val="32"/>
        </w:rPr>
        <w:t>RNA</w:t>
      </w:r>
      <w:r w:rsidRPr="007E6720">
        <w:rPr>
          <w:rFonts w:eastAsia="仿宋_GB2312"/>
          <w:sz w:val="32"/>
          <w:szCs w:val="32"/>
        </w:rPr>
        <w:t>外，还应有相应的纯化作用，尽可能去除</w:t>
      </w:r>
      <w:r w:rsidRPr="007E6720">
        <w:rPr>
          <w:rFonts w:eastAsia="仿宋_GB2312"/>
          <w:sz w:val="32"/>
          <w:szCs w:val="32"/>
        </w:rPr>
        <w:t>PCR</w:t>
      </w:r>
      <w:r w:rsidRPr="007E6720">
        <w:rPr>
          <w:rFonts w:eastAsia="仿宋_GB2312"/>
          <w:sz w:val="32"/>
          <w:szCs w:val="32"/>
        </w:rPr>
        <w:t>抑制物。对配合使用的所有核酸提取试剂进行提取核酸纯度、浓度、提取效率的研究，并与质量较好的核酸提取试剂进行平行比对。若产品适用两种或以上核酸提取试剂，则每一种核酸提取试剂均需配合检测试剂进行抗干扰、精密度和检出限的验证。</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3.</w:t>
      </w:r>
      <w:r w:rsidRPr="007E6720">
        <w:rPr>
          <w:rFonts w:eastAsia="仿宋_GB2312"/>
          <w:sz w:val="32"/>
          <w:szCs w:val="32"/>
        </w:rPr>
        <w:t>精密度</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应对精密度指标，如标准差或变异系数等的评价标准做出合理要求。应考虑运行、时间、操作者、仪器、试剂批次和地点等影响精密度的条件，设计合理的精密度试验方案进行评价。精密度评价试验应包含核酸提取步骤。设定合理的精密度评价周期，例如为期至少</w:t>
      </w:r>
      <w:r w:rsidRPr="007E6720">
        <w:rPr>
          <w:rFonts w:eastAsia="仿宋_GB2312"/>
          <w:sz w:val="32"/>
          <w:szCs w:val="32"/>
        </w:rPr>
        <w:t>20</w:t>
      </w:r>
      <w:r w:rsidRPr="007E6720">
        <w:rPr>
          <w:rFonts w:eastAsia="仿宋_GB2312"/>
          <w:sz w:val="32"/>
          <w:szCs w:val="32"/>
        </w:rPr>
        <w:t>天的检测。对检测数据进行统计分析，获得重复性、实验室内精密度、实验室间精密度、批间精密度等结果。</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应至少包含</w:t>
      </w:r>
      <w:r w:rsidRPr="007E6720">
        <w:rPr>
          <w:rFonts w:eastAsia="仿宋_GB2312"/>
          <w:sz w:val="32"/>
          <w:szCs w:val="32"/>
        </w:rPr>
        <w:t>3</w:t>
      </w:r>
      <w:r w:rsidRPr="007E6720">
        <w:rPr>
          <w:rFonts w:eastAsia="仿宋_GB2312"/>
          <w:sz w:val="32"/>
          <w:szCs w:val="32"/>
        </w:rPr>
        <w:t>个水平：阴性样本、临界阳性样本、中</w:t>
      </w:r>
      <w:r w:rsidRPr="007E6720">
        <w:rPr>
          <w:rFonts w:eastAsia="仿宋_GB2312"/>
          <w:sz w:val="32"/>
          <w:szCs w:val="32"/>
        </w:rPr>
        <w:t>/</w:t>
      </w:r>
      <w:r w:rsidRPr="007E6720">
        <w:rPr>
          <w:rFonts w:eastAsia="仿宋_GB2312"/>
          <w:sz w:val="32"/>
          <w:szCs w:val="32"/>
        </w:rPr>
        <w:t>强阳性样本，并根据产品特性设定适当的精密度要求，例如：</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阴性样本：待测物浓度为零浓度，阴性检出率应为</w:t>
      </w:r>
      <w:r w:rsidRPr="007E6720">
        <w:rPr>
          <w:rFonts w:eastAsia="仿宋_GB2312"/>
          <w:sz w:val="32"/>
          <w:szCs w:val="32"/>
        </w:rPr>
        <w:t>100%</w:t>
      </w:r>
      <w:r w:rsidRPr="007E6720">
        <w:rPr>
          <w:rFonts w:eastAsia="仿宋_GB2312"/>
          <w:sz w:val="32"/>
          <w:szCs w:val="32"/>
        </w:rPr>
        <w:lastRenderedPageBreak/>
        <w:t>（</w:t>
      </w:r>
      <w:r w:rsidRPr="007E6720">
        <w:rPr>
          <w:rFonts w:eastAsia="仿宋_GB2312"/>
          <w:sz w:val="32"/>
          <w:szCs w:val="32"/>
        </w:rPr>
        <w:t>n≥20</w:t>
      </w:r>
      <w:r w:rsidRPr="007E6720">
        <w:rPr>
          <w:rFonts w:eastAsia="仿宋_GB2312"/>
          <w:sz w:val="32"/>
          <w:szCs w:val="32"/>
        </w:rPr>
        <w:t>）。</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临界阳性样本：待测物浓度略高于试剂盒的检出限，阳性检出率应</w:t>
      </w:r>
      <w:r w:rsidRPr="007E6720">
        <w:rPr>
          <w:rFonts w:eastAsia="仿宋_GB2312"/>
          <w:sz w:val="32"/>
          <w:szCs w:val="32"/>
        </w:rPr>
        <w:t>≥95%</w:t>
      </w:r>
      <w:r w:rsidRPr="007E6720">
        <w:rPr>
          <w:rFonts w:eastAsia="仿宋_GB2312"/>
          <w:sz w:val="32"/>
          <w:szCs w:val="32"/>
        </w:rPr>
        <w:t>（</w:t>
      </w:r>
      <w:r w:rsidRPr="007E6720">
        <w:rPr>
          <w:rFonts w:eastAsia="仿宋_GB2312"/>
          <w:sz w:val="32"/>
          <w:szCs w:val="32"/>
        </w:rPr>
        <w:t>n≥20</w:t>
      </w:r>
      <w:r w:rsidRPr="007E6720">
        <w:rPr>
          <w:rFonts w:eastAsia="仿宋_GB2312"/>
          <w:sz w:val="32"/>
          <w:szCs w:val="32"/>
        </w:rPr>
        <w:t>）。</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中</w:t>
      </w:r>
      <w:r w:rsidRPr="007E6720">
        <w:rPr>
          <w:rFonts w:eastAsia="仿宋_GB2312"/>
          <w:sz w:val="32"/>
          <w:szCs w:val="32"/>
        </w:rPr>
        <w:t>/</w:t>
      </w:r>
      <w:r w:rsidRPr="007E6720">
        <w:rPr>
          <w:rFonts w:eastAsia="仿宋_GB2312"/>
          <w:sz w:val="32"/>
          <w:szCs w:val="32"/>
        </w:rPr>
        <w:t>强阳性样本：待测物浓度呈中度到强阳性，阳性检出率为</w:t>
      </w:r>
      <w:r w:rsidRPr="007E6720">
        <w:rPr>
          <w:rFonts w:eastAsia="仿宋_GB2312"/>
          <w:sz w:val="32"/>
          <w:szCs w:val="32"/>
        </w:rPr>
        <w:t>100%</w:t>
      </w:r>
      <w:r w:rsidRPr="007E6720">
        <w:rPr>
          <w:rFonts w:eastAsia="仿宋_GB2312"/>
          <w:sz w:val="32"/>
          <w:szCs w:val="32"/>
        </w:rPr>
        <w:t>且</w:t>
      </w:r>
      <w:r w:rsidRPr="007E6720">
        <w:rPr>
          <w:rFonts w:eastAsia="仿宋_GB2312"/>
          <w:sz w:val="32"/>
          <w:szCs w:val="32"/>
        </w:rPr>
        <w:t>Ct</w:t>
      </w:r>
      <w:r w:rsidRPr="007E6720">
        <w:rPr>
          <w:rFonts w:eastAsia="仿宋_GB2312"/>
          <w:sz w:val="32"/>
          <w:szCs w:val="32"/>
        </w:rPr>
        <w:t>值的</w:t>
      </w:r>
      <w:r w:rsidRPr="007E6720">
        <w:rPr>
          <w:rFonts w:eastAsia="仿宋_GB2312"/>
          <w:sz w:val="32"/>
          <w:szCs w:val="32"/>
        </w:rPr>
        <w:t>CV≤5%</w:t>
      </w:r>
      <w:r w:rsidRPr="007E6720">
        <w:rPr>
          <w:rFonts w:eastAsia="仿宋_GB2312"/>
          <w:sz w:val="32"/>
          <w:szCs w:val="32"/>
        </w:rPr>
        <w:t>（</w:t>
      </w:r>
      <w:r w:rsidRPr="007E6720">
        <w:rPr>
          <w:rFonts w:eastAsia="仿宋_GB2312"/>
          <w:sz w:val="32"/>
          <w:szCs w:val="32"/>
        </w:rPr>
        <w:t>n≥20</w:t>
      </w:r>
      <w:r w:rsidRPr="007E6720">
        <w:rPr>
          <w:rFonts w:eastAsia="仿宋_GB2312"/>
          <w:sz w:val="32"/>
          <w:szCs w:val="32"/>
        </w:rPr>
        <w:t>）。</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4.</w:t>
      </w:r>
      <w:r w:rsidRPr="007E6720">
        <w:rPr>
          <w:rFonts w:eastAsia="仿宋_GB2312"/>
          <w:sz w:val="32"/>
          <w:szCs w:val="32"/>
        </w:rPr>
        <w:t>分析特异性</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4.1</w:t>
      </w:r>
      <w:r w:rsidRPr="007E6720">
        <w:rPr>
          <w:rFonts w:eastAsia="仿宋_GB2312"/>
          <w:sz w:val="32"/>
          <w:szCs w:val="32"/>
        </w:rPr>
        <w:t>交叉反应</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4.1.1</w:t>
      </w:r>
      <w:r w:rsidRPr="007E6720">
        <w:rPr>
          <w:rFonts w:eastAsia="仿宋_GB2312"/>
          <w:sz w:val="32"/>
          <w:szCs w:val="32"/>
        </w:rPr>
        <w:t>生物信息学分析</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分析应当包括人基因组和其他近缘病毒、引起发热、关节疼痛、出疹等相似症状的病原体。</w:t>
      </w:r>
    </w:p>
    <w:p w:rsidR="00762F1C" w:rsidRPr="007E6720" w:rsidRDefault="00762F1C" w:rsidP="007E6720">
      <w:pPr>
        <w:pStyle w:val="Aff2"/>
        <w:widowControl/>
        <w:snapToGrid w:val="0"/>
        <w:spacing w:line="560" w:lineRule="exact"/>
        <w:ind w:firstLine="570"/>
        <w:rPr>
          <w:rFonts w:eastAsia="仿宋_GB2312" w:cs="Times New Roman"/>
          <w:sz w:val="32"/>
          <w:szCs w:val="32"/>
        </w:rPr>
      </w:pPr>
      <w:r w:rsidRPr="007E6720">
        <w:rPr>
          <w:rFonts w:eastAsia="仿宋_GB2312" w:cs="Times New Roman"/>
          <w:sz w:val="32"/>
          <w:szCs w:val="32"/>
        </w:rPr>
        <w:t>4.1.2</w:t>
      </w:r>
      <w:r w:rsidRPr="007E6720">
        <w:rPr>
          <w:rFonts w:eastAsia="仿宋_GB2312" w:cs="Times New Roman"/>
          <w:sz w:val="32"/>
          <w:szCs w:val="32"/>
        </w:rPr>
        <w:t>样本验证</w:t>
      </w:r>
    </w:p>
    <w:p w:rsidR="00762F1C" w:rsidRPr="007E6720" w:rsidRDefault="00762F1C" w:rsidP="007E6720">
      <w:pPr>
        <w:pStyle w:val="Aff2"/>
        <w:widowControl/>
        <w:snapToGrid w:val="0"/>
        <w:spacing w:line="560" w:lineRule="exact"/>
        <w:ind w:firstLine="570"/>
        <w:rPr>
          <w:rStyle w:val="aff1"/>
          <w:rFonts w:eastAsia="仿宋_GB2312" w:cs="Times New Roman"/>
          <w:sz w:val="32"/>
          <w:szCs w:val="32"/>
          <w:lang w:val="zh-TW" w:eastAsia="zh-TW"/>
        </w:rPr>
      </w:pPr>
      <w:r w:rsidRPr="007E6720">
        <w:rPr>
          <w:rStyle w:val="aff1"/>
          <w:rFonts w:eastAsia="仿宋_GB2312" w:cs="Times New Roman"/>
          <w:sz w:val="32"/>
          <w:szCs w:val="32"/>
          <w:lang w:val="zh-TW" w:eastAsia="zh-TW"/>
        </w:rPr>
        <w:t>采用灭活的临床样本或添加了灭活病原体培养物的阴性临床样本</w:t>
      </w:r>
      <w:r w:rsidRPr="007E6720">
        <w:rPr>
          <w:rStyle w:val="aff1"/>
          <w:rFonts w:eastAsia="仿宋_GB2312" w:cs="Times New Roman"/>
          <w:sz w:val="32"/>
          <w:szCs w:val="32"/>
        </w:rPr>
        <w:t>进行验证</w:t>
      </w:r>
      <w:r w:rsidRPr="007E6720">
        <w:rPr>
          <w:rStyle w:val="aff1"/>
          <w:rFonts w:eastAsia="仿宋_GB2312" w:cs="Times New Roman"/>
          <w:sz w:val="32"/>
          <w:szCs w:val="32"/>
          <w:lang w:val="zh-TW" w:eastAsia="zh-TW"/>
        </w:rPr>
        <w:t>，样本基质应与预期检测样本类型一致，</w:t>
      </w:r>
      <w:r w:rsidRPr="007E6720">
        <w:rPr>
          <w:rStyle w:val="aff1"/>
          <w:rFonts w:eastAsia="仿宋_GB2312" w:cs="Times New Roman"/>
          <w:sz w:val="32"/>
          <w:szCs w:val="32"/>
          <w:lang w:val="zh-TW"/>
        </w:rPr>
        <w:t>交叉反应研究用样本</w:t>
      </w:r>
      <w:r w:rsidRPr="007E6720">
        <w:rPr>
          <w:rStyle w:val="aff1"/>
          <w:rFonts w:eastAsia="仿宋_GB2312" w:cs="Times New Roman"/>
          <w:sz w:val="32"/>
          <w:szCs w:val="32"/>
          <w:lang w:val="zh-TW" w:eastAsia="zh-TW"/>
        </w:rPr>
        <w:t>主要考虑以下几方面：</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4.1.2.1</w:t>
      </w:r>
      <w:r w:rsidRPr="007E6720">
        <w:rPr>
          <w:rFonts w:eastAsia="仿宋_GB2312"/>
          <w:sz w:val="32"/>
          <w:szCs w:val="32"/>
        </w:rPr>
        <w:t>发热伴出疹相关病原体</w:t>
      </w:r>
    </w:p>
    <w:p w:rsidR="00762F1C" w:rsidRPr="007E6720" w:rsidRDefault="00762F1C" w:rsidP="007E6720">
      <w:pPr>
        <w:widowControl/>
        <w:snapToGrid w:val="0"/>
        <w:spacing w:line="560" w:lineRule="exact"/>
        <w:ind w:firstLine="570"/>
        <w:rPr>
          <w:rStyle w:val="aff1"/>
          <w:rFonts w:eastAsia="仿宋_GB2312"/>
          <w:color w:val="000000"/>
          <w:sz w:val="32"/>
          <w:szCs w:val="32"/>
          <w:u w:color="000000"/>
          <w:lang w:val="zh-TW"/>
        </w:rPr>
      </w:pPr>
      <w:r w:rsidRPr="007E6720">
        <w:rPr>
          <w:rStyle w:val="aff1"/>
          <w:rFonts w:eastAsia="仿宋_GB2312"/>
          <w:color w:val="000000"/>
          <w:sz w:val="32"/>
          <w:szCs w:val="32"/>
          <w:u w:color="000000"/>
          <w:lang w:val="zh-TW"/>
        </w:rPr>
        <w:t>登革病毒（</w:t>
      </w:r>
      <w:r w:rsidRPr="007E6720">
        <w:rPr>
          <w:rStyle w:val="aff1"/>
          <w:rFonts w:eastAsia="仿宋_GB2312"/>
          <w:color w:val="000000"/>
          <w:sz w:val="32"/>
          <w:szCs w:val="32"/>
          <w:u w:color="000000"/>
          <w:lang w:val="zh-TW"/>
        </w:rPr>
        <w:t>DENV-1</w:t>
      </w:r>
      <w:r w:rsidRPr="007E6720">
        <w:rPr>
          <w:rStyle w:val="aff1"/>
          <w:rFonts w:eastAsia="仿宋_GB2312"/>
          <w:color w:val="000000"/>
          <w:sz w:val="32"/>
          <w:szCs w:val="32"/>
          <w:u w:color="000000"/>
          <w:lang w:val="zh-TW"/>
        </w:rPr>
        <w:t>～</w:t>
      </w:r>
      <w:r w:rsidRPr="007E6720">
        <w:rPr>
          <w:rStyle w:val="aff1"/>
          <w:rFonts w:eastAsia="仿宋_GB2312"/>
          <w:color w:val="000000"/>
          <w:sz w:val="32"/>
          <w:szCs w:val="32"/>
          <w:u w:color="000000"/>
          <w:lang w:val="zh-TW"/>
        </w:rPr>
        <w:t>DENV-4</w:t>
      </w:r>
      <w:r w:rsidRPr="007E6720">
        <w:rPr>
          <w:rStyle w:val="aff1"/>
          <w:rFonts w:eastAsia="仿宋_GB2312"/>
          <w:color w:val="000000"/>
          <w:sz w:val="32"/>
          <w:szCs w:val="32"/>
          <w:u w:color="000000"/>
          <w:lang w:val="zh-TW"/>
        </w:rPr>
        <w:t>）、辛德毕斯病毒、盖塔病毒、黄热病毒、寨卡病毒、麻疹病毒、风疹病毒、乙型脑炎病毒</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、水痘</w:t>
      </w:r>
      <w:r w:rsidRPr="007E6720">
        <w:rPr>
          <w:rStyle w:val="aff1"/>
          <w:rFonts w:eastAsia="仿宋_GB2312"/>
          <w:color w:val="000000"/>
          <w:sz w:val="32"/>
          <w:szCs w:val="32"/>
          <w:u w:color="000000"/>
          <w:lang w:val="zh-TW"/>
        </w:rPr>
        <w:t>-</w:t>
      </w:r>
      <w:r w:rsidRPr="007E6720">
        <w:rPr>
          <w:rStyle w:val="aff1"/>
          <w:rFonts w:eastAsia="仿宋_GB2312"/>
          <w:color w:val="000000"/>
          <w:sz w:val="32"/>
          <w:szCs w:val="32"/>
          <w:u w:color="000000"/>
          <w:lang w:val="zh-TW"/>
        </w:rPr>
        <w:t>带状疱疹病毒</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、单纯疱疹病毒</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、细小病毒</w:t>
      </w:r>
      <w:r w:rsidRPr="007E6720">
        <w:rPr>
          <w:rStyle w:val="aff1"/>
          <w:rFonts w:eastAsia="仿宋_GB2312"/>
          <w:color w:val="000000"/>
          <w:sz w:val="32"/>
          <w:szCs w:val="32"/>
          <w:u w:color="000000"/>
          <w:lang w:val="zh-TW"/>
        </w:rPr>
        <w:t>B19</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、人类疱疹病毒</w:t>
      </w:r>
      <w:r w:rsidRPr="007E6720">
        <w:rPr>
          <w:rStyle w:val="aff1"/>
          <w:rFonts w:eastAsia="仿宋_GB2312"/>
          <w:color w:val="000000"/>
          <w:sz w:val="32"/>
          <w:szCs w:val="32"/>
          <w:u w:color="000000"/>
          <w:lang w:val="zh-TW"/>
        </w:rPr>
        <w:t xml:space="preserve"> 6</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、人类疱疹病毒</w:t>
      </w:r>
      <w:r w:rsidRPr="007E6720">
        <w:rPr>
          <w:rStyle w:val="aff1"/>
          <w:rFonts w:eastAsia="仿宋_GB2312"/>
          <w:color w:val="000000"/>
          <w:sz w:val="32"/>
          <w:szCs w:val="32"/>
          <w:u w:color="000000"/>
          <w:lang w:val="zh-TW"/>
        </w:rPr>
        <w:t xml:space="preserve"> 7</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、肺炎衣原体</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、志贺氏菌</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、淋球菌</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、溶血性链球菌</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、立克次体</w:t>
      </w:r>
      <w:r w:rsidRPr="007E6720">
        <w:rPr>
          <w:rStyle w:val="aff1"/>
          <w:rFonts w:eastAsia="仿宋_GB2312"/>
          <w:color w:val="000000"/>
          <w:sz w:val="32"/>
          <w:szCs w:val="32"/>
          <w:u w:color="000000"/>
          <w:vertAlign w:val="superscript"/>
          <w:lang w:val="zh-TW"/>
        </w:rPr>
        <w:t>*</w:t>
      </w:r>
      <w:r w:rsidRPr="007E6720">
        <w:rPr>
          <w:rStyle w:val="aff1"/>
          <w:rFonts w:eastAsia="仿宋_GB2312"/>
          <w:color w:val="000000"/>
          <w:sz w:val="32"/>
          <w:szCs w:val="32"/>
          <w:u w:color="000000"/>
          <w:lang w:val="zh-TW"/>
        </w:rPr>
        <w:t>。</w:t>
      </w:r>
    </w:p>
    <w:p w:rsidR="00762F1C" w:rsidRPr="007E6720" w:rsidRDefault="00762F1C" w:rsidP="007E6720">
      <w:pPr>
        <w:widowControl/>
        <w:snapToGrid w:val="0"/>
        <w:spacing w:line="560" w:lineRule="exact"/>
        <w:ind w:firstLine="570"/>
        <w:rPr>
          <w:rStyle w:val="aff1"/>
          <w:rFonts w:eastAsia="仿宋_GB2312"/>
          <w:color w:val="000000"/>
          <w:sz w:val="32"/>
          <w:szCs w:val="32"/>
          <w:u w:color="000000"/>
          <w:lang w:val="zh-TW"/>
        </w:rPr>
      </w:pPr>
      <w:r w:rsidRPr="007E6720">
        <w:rPr>
          <w:rStyle w:val="aff1"/>
          <w:rFonts w:eastAsia="仿宋_GB2312"/>
          <w:color w:val="000000"/>
          <w:sz w:val="32"/>
          <w:szCs w:val="32"/>
          <w:u w:color="000000"/>
          <w:lang w:val="zh-TW"/>
        </w:rPr>
        <w:t>注：</w:t>
      </w:r>
      <w:r w:rsidRPr="007E6720">
        <w:rPr>
          <w:rStyle w:val="aff1"/>
          <w:rFonts w:eastAsia="仿宋_GB2312"/>
          <w:color w:val="000000"/>
          <w:sz w:val="32"/>
          <w:szCs w:val="32"/>
          <w:u w:color="000000"/>
          <w:lang w:val="zh-TW"/>
        </w:rPr>
        <w:t>“*”</w:t>
      </w:r>
      <w:r w:rsidRPr="007E6720">
        <w:rPr>
          <w:rStyle w:val="aff1"/>
          <w:rFonts w:eastAsia="仿宋_GB2312"/>
          <w:color w:val="000000"/>
          <w:sz w:val="32"/>
          <w:szCs w:val="32"/>
          <w:u w:color="000000"/>
          <w:lang w:val="zh-TW"/>
        </w:rPr>
        <w:t>项为</w:t>
      </w:r>
      <w:r w:rsidRPr="007E6720">
        <w:rPr>
          <w:rStyle w:val="aff1"/>
          <w:rFonts w:eastAsia="仿宋_GB2312"/>
          <w:color w:val="000000"/>
          <w:sz w:val="32"/>
          <w:szCs w:val="32"/>
          <w:u w:color="000000"/>
        </w:rPr>
        <w:t>选择性</w:t>
      </w:r>
      <w:r w:rsidRPr="007E6720">
        <w:rPr>
          <w:rStyle w:val="aff1"/>
          <w:rFonts w:eastAsia="仿宋_GB2312"/>
          <w:color w:val="000000"/>
          <w:sz w:val="32"/>
          <w:szCs w:val="32"/>
          <w:u w:color="000000"/>
          <w:lang w:val="zh-TW"/>
        </w:rPr>
        <w:t>验证的病原体，可在其中选择不少于</w:t>
      </w:r>
      <w:r w:rsidRPr="007E6720">
        <w:rPr>
          <w:rStyle w:val="aff1"/>
          <w:rFonts w:eastAsia="仿宋_GB2312"/>
          <w:color w:val="000000"/>
          <w:sz w:val="32"/>
          <w:szCs w:val="32"/>
          <w:u w:color="000000"/>
          <w:lang w:val="zh-TW"/>
        </w:rPr>
        <w:t>9</w:t>
      </w:r>
      <w:r w:rsidRPr="007E6720">
        <w:rPr>
          <w:rStyle w:val="aff1"/>
          <w:rFonts w:eastAsia="仿宋_GB2312"/>
          <w:color w:val="000000"/>
          <w:sz w:val="32"/>
          <w:szCs w:val="32"/>
          <w:u w:color="000000"/>
          <w:lang w:val="zh-TW"/>
        </w:rPr>
        <w:t>个进行验证。</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4.1.2.2</w:t>
      </w:r>
      <w:r w:rsidRPr="007E6720">
        <w:rPr>
          <w:rFonts w:eastAsia="仿宋_GB2312"/>
          <w:sz w:val="32"/>
          <w:szCs w:val="32"/>
        </w:rPr>
        <w:t>可能在血液样本中存在的其他常见病原体</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lastRenderedPageBreak/>
        <w:t>乙型肝炎病毒、丙型肝炎病毒、</w:t>
      </w:r>
      <w:r w:rsidRPr="007E6720">
        <w:rPr>
          <w:rFonts w:eastAsia="仿宋_GB2312"/>
          <w:sz w:val="32"/>
          <w:szCs w:val="32"/>
        </w:rPr>
        <w:t>EB</w:t>
      </w:r>
      <w:r w:rsidRPr="007E6720">
        <w:rPr>
          <w:rFonts w:eastAsia="仿宋_GB2312"/>
          <w:sz w:val="32"/>
          <w:szCs w:val="32"/>
        </w:rPr>
        <w:t>病毒、人巨细胞病毒。</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4.1.2.3</w:t>
      </w:r>
      <w:r w:rsidRPr="007E6720">
        <w:rPr>
          <w:rFonts w:eastAsia="仿宋_GB2312"/>
          <w:sz w:val="32"/>
          <w:szCs w:val="32"/>
        </w:rPr>
        <w:t>高浓度人类基因组</w:t>
      </w:r>
      <w:r w:rsidRPr="007E6720">
        <w:rPr>
          <w:rFonts w:eastAsia="仿宋_GB2312"/>
          <w:sz w:val="32"/>
          <w:szCs w:val="32"/>
        </w:rPr>
        <w:t>DNA</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病毒培养液的浓度单位可采用</w:t>
      </w:r>
      <w:r w:rsidRPr="007E6720">
        <w:rPr>
          <w:rFonts w:eastAsia="仿宋_GB2312"/>
          <w:sz w:val="32"/>
          <w:szCs w:val="32"/>
        </w:rPr>
        <w:t>TCID</w:t>
      </w:r>
      <w:r w:rsidRPr="007E6720">
        <w:rPr>
          <w:rFonts w:eastAsia="仿宋_GB2312"/>
          <w:sz w:val="32"/>
          <w:szCs w:val="32"/>
          <w:vertAlign w:val="subscript"/>
        </w:rPr>
        <w:t>50</w:t>
      </w:r>
      <w:r w:rsidRPr="007E6720">
        <w:rPr>
          <w:rFonts w:eastAsia="仿宋_GB2312"/>
          <w:sz w:val="32"/>
          <w:szCs w:val="32"/>
        </w:rPr>
        <w:t>或</w:t>
      </w:r>
      <w:r w:rsidRPr="007E6720">
        <w:rPr>
          <w:rFonts w:eastAsia="仿宋_GB2312"/>
          <w:sz w:val="32"/>
          <w:szCs w:val="32"/>
        </w:rPr>
        <w:t>PFU/mL</w:t>
      </w:r>
      <w:r w:rsidRPr="007E6720">
        <w:rPr>
          <w:rFonts w:eastAsia="仿宋_GB2312"/>
          <w:sz w:val="32"/>
          <w:szCs w:val="32"/>
        </w:rPr>
        <w:t>，细菌培养物浓度单位可采用</w:t>
      </w:r>
      <w:r w:rsidRPr="007E6720">
        <w:rPr>
          <w:rFonts w:eastAsia="仿宋_GB2312"/>
          <w:sz w:val="32"/>
          <w:szCs w:val="32"/>
        </w:rPr>
        <w:t>CFU/mL</w:t>
      </w:r>
      <w:r w:rsidRPr="007E6720">
        <w:rPr>
          <w:rFonts w:eastAsia="仿宋_GB2312"/>
          <w:sz w:val="32"/>
          <w:szCs w:val="32"/>
        </w:rPr>
        <w:t>。建议在病毒和细菌感染的医学相关水平进行交叉反应的验证。通常，细菌感染的水平为</w:t>
      </w:r>
      <w:r w:rsidRPr="007E6720">
        <w:rPr>
          <w:rFonts w:eastAsia="仿宋_GB2312"/>
          <w:sz w:val="32"/>
          <w:szCs w:val="32"/>
        </w:rPr>
        <w:t>10</w:t>
      </w:r>
      <w:r w:rsidRPr="007E6720">
        <w:rPr>
          <w:rFonts w:eastAsia="仿宋_GB2312"/>
          <w:sz w:val="32"/>
          <w:szCs w:val="32"/>
          <w:vertAlign w:val="superscript"/>
        </w:rPr>
        <w:t>6</w:t>
      </w:r>
      <w:r w:rsidRPr="007E6720">
        <w:rPr>
          <w:rFonts w:eastAsia="仿宋_GB2312"/>
          <w:sz w:val="32"/>
          <w:szCs w:val="32"/>
        </w:rPr>
        <w:t xml:space="preserve"> CFU/mL</w:t>
      </w:r>
      <w:r w:rsidRPr="007E6720">
        <w:rPr>
          <w:rFonts w:eastAsia="仿宋_GB2312"/>
          <w:sz w:val="32"/>
          <w:szCs w:val="32"/>
        </w:rPr>
        <w:t>或更高，病毒为</w:t>
      </w:r>
      <w:r w:rsidRPr="007E6720">
        <w:rPr>
          <w:rFonts w:eastAsia="仿宋_GB2312"/>
          <w:sz w:val="32"/>
          <w:szCs w:val="32"/>
        </w:rPr>
        <w:t>10</w:t>
      </w:r>
      <w:r w:rsidRPr="007E6720">
        <w:rPr>
          <w:rFonts w:eastAsia="仿宋_GB2312"/>
          <w:sz w:val="32"/>
          <w:szCs w:val="32"/>
          <w:vertAlign w:val="superscript"/>
        </w:rPr>
        <w:t>5</w:t>
      </w:r>
      <w:r w:rsidRPr="007E6720">
        <w:rPr>
          <w:rFonts w:eastAsia="仿宋_GB2312"/>
          <w:sz w:val="32"/>
          <w:szCs w:val="32"/>
        </w:rPr>
        <w:t xml:space="preserve"> PFU/mL</w:t>
      </w:r>
      <w:r w:rsidRPr="007E6720">
        <w:rPr>
          <w:rFonts w:eastAsia="仿宋_GB2312"/>
          <w:sz w:val="32"/>
          <w:szCs w:val="32"/>
        </w:rPr>
        <w:t>或更高，也可采用其他合理的方法对病原体浓度进行定值，提交相关依据。</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申请人应提供所有用于交叉反应验证的病毒和细菌的来源、种属</w:t>
      </w:r>
      <w:r w:rsidRPr="007E6720">
        <w:rPr>
          <w:rFonts w:eastAsia="仿宋_GB2312"/>
          <w:sz w:val="32"/>
          <w:szCs w:val="32"/>
        </w:rPr>
        <w:t>/</w:t>
      </w:r>
      <w:r w:rsidRPr="007E6720">
        <w:rPr>
          <w:rFonts w:eastAsia="仿宋_GB2312"/>
          <w:sz w:val="32"/>
          <w:szCs w:val="32"/>
        </w:rPr>
        <w:t>型别信息和浓度确认等试验资料。</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4.2</w:t>
      </w:r>
      <w:r w:rsidRPr="007E6720">
        <w:rPr>
          <w:rFonts w:eastAsia="仿宋_GB2312"/>
          <w:sz w:val="32"/>
          <w:szCs w:val="32"/>
        </w:rPr>
        <w:t>干扰</w:t>
      </w:r>
    </w:p>
    <w:p w:rsidR="00762F1C" w:rsidRPr="007E6720" w:rsidRDefault="00762F1C" w:rsidP="007E6720">
      <w:pPr>
        <w:widowControl/>
        <w:snapToGrid w:val="0"/>
        <w:spacing w:line="560" w:lineRule="exact"/>
        <w:ind w:firstLine="570"/>
        <w:rPr>
          <w:rFonts w:eastAsia="仿宋_GB2312"/>
          <w:sz w:val="32"/>
          <w:szCs w:val="32"/>
        </w:rPr>
      </w:pPr>
      <w:r w:rsidRPr="007E6720">
        <w:rPr>
          <w:rFonts w:eastAsia="仿宋_GB2312"/>
          <w:sz w:val="32"/>
          <w:szCs w:val="32"/>
        </w:rPr>
        <w:t>4.2.1</w:t>
      </w:r>
      <w:r w:rsidRPr="007E6720">
        <w:rPr>
          <w:rFonts w:eastAsia="仿宋_GB2312"/>
          <w:sz w:val="32"/>
          <w:szCs w:val="32"/>
        </w:rPr>
        <w:t>干扰物质研究</w:t>
      </w:r>
      <w:r w:rsidRPr="007E6720">
        <w:rPr>
          <w:rFonts w:eastAsia="仿宋_GB2312"/>
          <w:sz w:val="32"/>
          <w:szCs w:val="32"/>
        </w:rPr>
        <w:t xml:space="preserve"> </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应根据所采集样本类型，针对可能存在的内源</w:t>
      </w:r>
      <w:r w:rsidRPr="007E6720">
        <w:rPr>
          <w:rFonts w:eastAsia="仿宋_GB2312"/>
          <w:sz w:val="32"/>
          <w:szCs w:val="32"/>
        </w:rPr>
        <w:t>/</w:t>
      </w:r>
      <w:r w:rsidRPr="007E6720">
        <w:rPr>
          <w:rFonts w:eastAsia="仿宋_GB2312"/>
          <w:sz w:val="32"/>
          <w:szCs w:val="32"/>
        </w:rPr>
        <w:t>外源物质干扰情况进行验证，验证推荐物质见表</w:t>
      </w:r>
      <w:r w:rsidRPr="007E6720">
        <w:rPr>
          <w:rFonts w:eastAsia="仿宋_GB2312"/>
          <w:sz w:val="32"/>
          <w:szCs w:val="32"/>
        </w:rPr>
        <w:t>1</w:t>
      </w:r>
      <w:r w:rsidRPr="007E6720">
        <w:rPr>
          <w:rFonts w:eastAsia="仿宋_GB2312"/>
          <w:sz w:val="32"/>
          <w:szCs w:val="32"/>
        </w:rPr>
        <w:t>。建议申请人在每种干扰物质的潜在最大浓度（</w:t>
      </w:r>
      <w:r w:rsidRPr="007E6720">
        <w:rPr>
          <w:rFonts w:eastAsia="仿宋_GB2312"/>
          <w:sz w:val="32"/>
          <w:szCs w:val="32"/>
        </w:rPr>
        <w:t>“</w:t>
      </w:r>
      <w:r w:rsidRPr="007E6720">
        <w:rPr>
          <w:rFonts w:eastAsia="仿宋_GB2312"/>
          <w:sz w:val="32"/>
          <w:szCs w:val="32"/>
        </w:rPr>
        <w:t>最差条件</w:t>
      </w:r>
      <w:r w:rsidRPr="007E6720">
        <w:rPr>
          <w:rFonts w:eastAsia="仿宋_GB2312"/>
          <w:sz w:val="32"/>
          <w:szCs w:val="32"/>
        </w:rPr>
        <w:t>”</w:t>
      </w:r>
      <w:r w:rsidRPr="007E6720">
        <w:rPr>
          <w:rFonts w:eastAsia="仿宋_GB2312"/>
          <w:sz w:val="32"/>
          <w:szCs w:val="32"/>
        </w:rPr>
        <w:t>）条件下进行试验，检测包含临界阳性水平在内的基孔肯雅病毒样本。对结果进行合理的统计分析，对比添加干扰物质前后的</w:t>
      </w:r>
      <w:r w:rsidRPr="007E6720">
        <w:rPr>
          <w:rFonts w:eastAsia="仿宋_GB2312"/>
          <w:iCs/>
          <w:sz w:val="32"/>
          <w:szCs w:val="32"/>
        </w:rPr>
        <w:t>Ct</w:t>
      </w:r>
      <w:r w:rsidRPr="007E6720">
        <w:rPr>
          <w:rFonts w:eastAsia="仿宋_GB2312"/>
          <w:sz w:val="32"/>
          <w:szCs w:val="32"/>
        </w:rPr>
        <w:t>值差异。检测的潜在干扰物包括样本中的原有物质及在样本采集和处理期间引入的物质。</w:t>
      </w:r>
    </w:p>
    <w:p w:rsidR="00762F1C" w:rsidRPr="007E6720" w:rsidRDefault="00762F1C" w:rsidP="00762F1C">
      <w:pPr>
        <w:snapToGrid w:val="0"/>
        <w:spacing w:line="560" w:lineRule="exact"/>
        <w:ind w:firstLineChars="200" w:firstLine="640"/>
        <w:rPr>
          <w:rFonts w:eastAsia="仿宋_GB2312"/>
          <w:sz w:val="32"/>
          <w:szCs w:val="32"/>
        </w:rPr>
      </w:pPr>
    </w:p>
    <w:p w:rsidR="00762F1C" w:rsidRPr="007E6720" w:rsidRDefault="00762F1C" w:rsidP="00762F1C">
      <w:pPr>
        <w:snapToGrid w:val="0"/>
        <w:spacing w:line="560" w:lineRule="exact"/>
        <w:jc w:val="center"/>
        <w:rPr>
          <w:rFonts w:eastAsia="方正小标宋简体"/>
          <w:sz w:val="28"/>
          <w:szCs w:val="28"/>
        </w:rPr>
      </w:pPr>
      <w:r w:rsidRPr="007E6720">
        <w:rPr>
          <w:rFonts w:eastAsia="方正小标宋简体"/>
          <w:sz w:val="28"/>
          <w:szCs w:val="28"/>
        </w:rPr>
        <w:t>表</w:t>
      </w:r>
      <w:r w:rsidRPr="007E6720">
        <w:rPr>
          <w:rFonts w:eastAsia="方正小标宋简体"/>
          <w:sz w:val="28"/>
          <w:szCs w:val="28"/>
        </w:rPr>
        <w:t xml:space="preserve">1 </w:t>
      </w:r>
      <w:r w:rsidRPr="007E6720">
        <w:rPr>
          <w:rFonts w:eastAsia="方正小标宋简体"/>
          <w:sz w:val="28"/>
          <w:szCs w:val="28"/>
        </w:rPr>
        <w:t>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3"/>
      </w:tblGrid>
      <w:tr w:rsidR="00762F1C" w:rsidRPr="007E6720" w:rsidTr="00507CB6">
        <w:trPr>
          <w:trHeight w:val="545"/>
          <w:jc w:val="center"/>
        </w:trPr>
        <w:tc>
          <w:tcPr>
            <w:tcW w:w="4773" w:type="dxa"/>
            <w:vAlign w:val="center"/>
          </w:tcPr>
          <w:p w:rsidR="00762F1C" w:rsidRPr="007E6720" w:rsidRDefault="00762F1C" w:rsidP="00507CB6">
            <w:pPr>
              <w:snapToGrid w:val="0"/>
              <w:spacing w:line="320" w:lineRule="exact"/>
              <w:rPr>
                <w:rFonts w:eastAsia="仿宋_GB2312"/>
                <w:bCs/>
                <w:color w:val="000000"/>
                <w:sz w:val="28"/>
                <w:szCs w:val="28"/>
              </w:rPr>
            </w:pPr>
            <w:r w:rsidRPr="007E6720">
              <w:rPr>
                <w:rFonts w:eastAsia="仿宋_GB2312"/>
                <w:bCs/>
                <w:color w:val="000000"/>
                <w:sz w:val="28"/>
                <w:szCs w:val="28"/>
              </w:rPr>
              <w:t>抗病毒药：如利巴韦林</w:t>
            </w:r>
          </w:p>
        </w:tc>
      </w:tr>
      <w:tr w:rsidR="00762F1C" w:rsidRPr="007E6720" w:rsidTr="00507CB6">
        <w:trPr>
          <w:trHeight w:val="549"/>
          <w:jc w:val="center"/>
        </w:trPr>
        <w:tc>
          <w:tcPr>
            <w:tcW w:w="4773" w:type="dxa"/>
            <w:vAlign w:val="center"/>
          </w:tcPr>
          <w:p w:rsidR="00762F1C" w:rsidRPr="007E6720" w:rsidRDefault="00762F1C" w:rsidP="00507CB6">
            <w:pPr>
              <w:snapToGrid w:val="0"/>
              <w:spacing w:line="320" w:lineRule="exact"/>
              <w:rPr>
                <w:rFonts w:eastAsia="仿宋_GB2312"/>
                <w:bCs/>
                <w:color w:val="000000"/>
                <w:sz w:val="28"/>
                <w:szCs w:val="28"/>
              </w:rPr>
            </w:pPr>
            <w:r w:rsidRPr="007E6720">
              <w:rPr>
                <w:rFonts w:eastAsia="仿宋_GB2312"/>
                <w:bCs/>
                <w:color w:val="000000"/>
                <w:sz w:val="28"/>
                <w:szCs w:val="28"/>
              </w:rPr>
              <w:t>解热镇痛药：如对乙酰氨基酚</w:t>
            </w:r>
          </w:p>
        </w:tc>
      </w:tr>
      <w:tr w:rsidR="00762F1C" w:rsidRPr="007E6720" w:rsidTr="00507CB6">
        <w:trPr>
          <w:jc w:val="center"/>
        </w:trPr>
        <w:tc>
          <w:tcPr>
            <w:tcW w:w="4773" w:type="dxa"/>
            <w:vAlign w:val="center"/>
          </w:tcPr>
          <w:p w:rsidR="00762F1C" w:rsidRPr="007E6720" w:rsidRDefault="00762F1C" w:rsidP="00507CB6">
            <w:pPr>
              <w:snapToGrid w:val="0"/>
              <w:spacing w:line="320" w:lineRule="exact"/>
              <w:rPr>
                <w:rFonts w:eastAsia="仿宋_GB2312"/>
                <w:bCs/>
                <w:color w:val="000000"/>
                <w:sz w:val="28"/>
                <w:szCs w:val="28"/>
              </w:rPr>
            </w:pPr>
            <w:r w:rsidRPr="007E6720">
              <w:rPr>
                <w:rFonts w:eastAsia="仿宋_GB2312"/>
                <w:bCs/>
                <w:color w:val="000000"/>
                <w:sz w:val="28"/>
                <w:szCs w:val="28"/>
              </w:rPr>
              <w:t>抗生素：如阿莫西林</w:t>
            </w:r>
          </w:p>
        </w:tc>
      </w:tr>
      <w:tr w:rsidR="00762F1C" w:rsidRPr="007E6720" w:rsidTr="00507CB6">
        <w:trPr>
          <w:jc w:val="center"/>
        </w:trPr>
        <w:tc>
          <w:tcPr>
            <w:tcW w:w="4773" w:type="dxa"/>
            <w:vAlign w:val="center"/>
          </w:tcPr>
          <w:p w:rsidR="00762F1C" w:rsidRPr="007E6720" w:rsidRDefault="00762F1C" w:rsidP="00507CB6">
            <w:pPr>
              <w:snapToGrid w:val="0"/>
              <w:spacing w:line="320" w:lineRule="exact"/>
              <w:rPr>
                <w:rFonts w:eastAsia="仿宋_GB2312"/>
                <w:bCs/>
                <w:color w:val="000000"/>
                <w:sz w:val="28"/>
                <w:szCs w:val="28"/>
              </w:rPr>
            </w:pPr>
            <w:r w:rsidRPr="007E6720">
              <w:rPr>
                <w:rFonts w:eastAsia="仿宋_GB2312"/>
                <w:bCs/>
                <w:color w:val="000000"/>
                <w:sz w:val="28"/>
                <w:szCs w:val="28"/>
              </w:rPr>
              <w:t>激素类药物：如地塞米松</w:t>
            </w:r>
          </w:p>
        </w:tc>
      </w:tr>
      <w:tr w:rsidR="00762F1C" w:rsidRPr="007E6720" w:rsidTr="00507CB6">
        <w:trPr>
          <w:jc w:val="center"/>
        </w:trPr>
        <w:tc>
          <w:tcPr>
            <w:tcW w:w="4773" w:type="dxa"/>
            <w:vAlign w:val="center"/>
          </w:tcPr>
          <w:p w:rsidR="00762F1C" w:rsidRPr="007E6720" w:rsidRDefault="00762F1C" w:rsidP="00507CB6">
            <w:pPr>
              <w:snapToGrid w:val="0"/>
              <w:spacing w:line="320" w:lineRule="exact"/>
              <w:rPr>
                <w:rFonts w:eastAsia="仿宋_GB2312"/>
                <w:bCs/>
                <w:color w:val="000000"/>
                <w:sz w:val="28"/>
                <w:szCs w:val="28"/>
              </w:rPr>
            </w:pPr>
            <w:r w:rsidRPr="007E6720">
              <w:rPr>
                <w:rFonts w:eastAsia="仿宋_GB2312"/>
                <w:bCs/>
                <w:color w:val="000000"/>
                <w:sz w:val="28"/>
                <w:szCs w:val="28"/>
              </w:rPr>
              <w:t>抗凝剂：如肝素</w:t>
            </w:r>
          </w:p>
        </w:tc>
      </w:tr>
      <w:tr w:rsidR="00762F1C" w:rsidRPr="007E6720" w:rsidTr="00507CB6">
        <w:trPr>
          <w:jc w:val="center"/>
        </w:trPr>
        <w:tc>
          <w:tcPr>
            <w:tcW w:w="4773" w:type="dxa"/>
            <w:vAlign w:val="center"/>
          </w:tcPr>
          <w:p w:rsidR="00762F1C" w:rsidRPr="007E6720" w:rsidRDefault="00762F1C" w:rsidP="00507CB6">
            <w:pPr>
              <w:snapToGrid w:val="0"/>
              <w:spacing w:line="320" w:lineRule="exact"/>
              <w:rPr>
                <w:rFonts w:eastAsia="仿宋_GB2312"/>
                <w:bCs/>
                <w:color w:val="000000"/>
                <w:sz w:val="28"/>
                <w:szCs w:val="28"/>
              </w:rPr>
            </w:pPr>
            <w:r w:rsidRPr="007E6720">
              <w:rPr>
                <w:rFonts w:eastAsia="仿宋_GB2312"/>
                <w:sz w:val="28"/>
                <w:szCs w:val="28"/>
              </w:rPr>
              <w:t>内源性干扰物质：血红蛋白、甘油三酯、白蛋白、胆红素等</w:t>
            </w:r>
          </w:p>
        </w:tc>
      </w:tr>
    </w:tbl>
    <w:p w:rsidR="00762F1C" w:rsidRPr="007E6720" w:rsidRDefault="00762F1C" w:rsidP="007E6720">
      <w:pPr>
        <w:snapToGrid w:val="0"/>
        <w:spacing w:line="560" w:lineRule="exact"/>
        <w:ind w:firstLineChars="200" w:firstLine="640"/>
        <w:rPr>
          <w:rFonts w:eastAsia="仿宋_GB2312"/>
          <w:color w:val="000000"/>
          <w:sz w:val="32"/>
          <w:szCs w:val="32"/>
        </w:rPr>
      </w:pPr>
      <w:r w:rsidRPr="007E6720">
        <w:rPr>
          <w:rFonts w:eastAsia="仿宋_GB2312"/>
          <w:sz w:val="32"/>
          <w:szCs w:val="32"/>
        </w:rPr>
        <w:lastRenderedPageBreak/>
        <w:t>4.2.2</w:t>
      </w:r>
      <w:r w:rsidRPr="007E6720">
        <w:rPr>
          <w:rFonts w:eastAsia="仿宋_GB2312"/>
          <w:bCs/>
          <w:color w:val="000000"/>
          <w:sz w:val="32"/>
          <w:szCs w:val="32"/>
        </w:rPr>
        <w:t>病原体干扰研究</w:t>
      </w:r>
    </w:p>
    <w:p w:rsidR="00762F1C" w:rsidRPr="007E6720" w:rsidRDefault="00762F1C" w:rsidP="007E6720">
      <w:pPr>
        <w:snapToGrid w:val="0"/>
        <w:spacing w:line="560" w:lineRule="exact"/>
        <w:ind w:firstLineChars="200" w:firstLine="640"/>
        <w:rPr>
          <w:rFonts w:eastAsia="仿宋_GB2312"/>
          <w:color w:val="000000"/>
          <w:sz w:val="32"/>
          <w:szCs w:val="32"/>
        </w:rPr>
      </w:pPr>
      <w:r w:rsidRPr="007E6720">
        <w:rPr>
          <w:rFonts w:eastAsia="仿宋_GB2312"/>
          <w:sz w:val="32"/>
          <w:szCs w:val="32"/>
        </w:rPr>
        <w:t>应充分考虑临床上容易与基孔肯雅病毒合并感染的病原体（如登革病毒等）及</w:t>
      </w:r>
      <w:r w:rsidRPr="007E6720">
        <w:rPr>
          <w:rFonts w:eastAsia="仿宋_GB2312"/>
          <w:sz w:val="32"/>
          <w:szCs w:val="32"/>
        </w:rPr>
        <w:t>“4.1.1”</w:t>
      </w:r>
      <w:r w:rsidRPr="007E6720">
        <w:rPr>
          <w:rFonts w:eastAsia="仿宋_GB2312"/>
          <w:sz w:val="32"/>
          <w:szCs w:val="32"/>
        </w:rPr>
        <w:t>中经生物信息学分析显示存在较高同源性的病原体，在高浓度的情况下对低浓度（例如检出限浓度）基孔肯雅病毒核酸检测的影响，进行干扰研究。</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5.</w:t>
      </w:r>
      <w:r w:rsidRPr="007E6720">
        <w:rPr>
          <w:rFonts w:eastAsia="仿宋_GB2312"/>
          <w:sz w:val="32"/>
          <w:szCs w:val="32"/>
        </w:rPr>
        <w:t>检出限</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5.1</w:t>
      </w:r>
      <w:r w:rsidRPr="007E6720">
        <w:rPr>
          <w:rFonts w:eastAsia="仿宋_GB2312"/>
          <w:sz w:val="32"/>
          <w:szCs w:val="32"/>
        </w:rPr>
        <w:t>检出限的确定</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建议采用至少</w:t>
      </w:r>
      <w:r w:rsidRPr="007E6720">
        <w:rPr>
          <w:rFonts w:eastAsia="仿宋_GB2312"/>
          <w:sz w:val="32"/>
          <w:szCs w:val="32"/>
        </w:rPr>
        <w:t>3</w:t>
      </w:r>
      <w:r w:rsidRPr="007E6720">
        <w:rPr>
          <w:rFonts w:eastAsia="仿宋_GB2312"/>
          <w:sz w:val="32"/>
          <w:szCs w:val="32"/>
        </w:rPr>
        <w:t>个样本系列稀释于与适用样本一致的基质中，进行检出限的确定。每个浓度梯度重复检测，记录不同浓度检出的结果，采用适当的模型（如</w:t>
      </w:r>
      <w:r w:rsidRPr="007E6720">
        <w:rPr>
          <w:rFonts w:eastAsia="仿宋_GB2312"/>
          <w:sz w:val="32"/>
          <w:szCs w:val="32"/>
        </w:rPr>
        <w:t>Probit</w:t>
      </w:r>
      <w:r w:rsidRPr="007E6720">
        <w:rPr>
          <w:rFonts w:eastAsia="仿宋_GB2312"/>
          <w:sz w:val="32"/>
          <w:szCs w:val="32"/>
        </w:rPr>
        <w:t>分析）和分析方法，将具有</w:t>
      </w:r>
      <w:r w:rsidRPr="007E6720">
        <w:rPr>
          <w:rFonts w:eastAsia="仿宋_GB2312"/>
          <w:sz w:val="32"/>
          <w:szCs w:val="32"/>
        </w:rPr>
        <w:t>95%</w:t>
      </w:r>
      <w:r w:rsidRPr="007E6720">
        <w:rPr>
          <w:rFonts w:eastAsia="仿宋_GB2312"/>
          <w:sz w:val="32"/>
          <w:szCs w:val="32"/>
        </w:rPr>
        <w:t>阳性检出率的最低浓度水平作为确定的检出限。</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5.2</w:t>
      </w:r>
      <w:r w:rsidRPr="007E6720">
        <w:rPr>
          <w:rFonts w:eastAsia="仿宋_GB2312"/>
          <w:sz w:val="32"/>
          <w:szCs w:val="32"/>
        </w:rPr>
        <w:t>检出限的验证</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选择另外</w:t>
      </w:r>
      <w:r w:rsidRPr="007E6720">
        <w:rPr>
          <w:rFonts w:eastAsia="仿宋_GB2312"/>
          <w:sz w:val="32"/>
          <w:szCs w:val="32"/>
        </w:rPr>
        <w:t>3</w:t>
      </w:r>
      <w:r w:rsidRPr="007E6720">
        <w:rPr>
          <w:rFonts w:eastAsia="仿宋_GB2312"/>
          <w:sz w:val="32"/>
          <w:szCs w:val="32"/>
        </w:rPr>
        <w:t>个不同来源的样本在检出限浓度水平进行验证，应达到</w:t>
      </w:r>
      <w:r w:rsidRPr="007E6720">
        <w:rPr>
          <w:rFonts w:eastAsia="仿宋_GB2312"/>
          <w:sz w:val="32"/>
          <w:szCs w:val="32"/>
        </w:rPr>
        <w:t>95%</w:t>
      </w:r>
      <w:r w:rsidRPr="007E6720">
        <w:rPr>
          <w:rFonts w:eastAsia="仿宋_GB2312"/>
          <w:sz w:val="32"/>
          <w:szCs w:val="32"/>
        </w:rPr>
        <w:t>阳性检出率。</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如检测试剂包括多个可单独报告的检测靶标，应分别进行检出限研究。</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6.</w:t>
      </w:r>
      <w:r w:rsidRPr="007E6720">
        <w:rPr>
          <w:rFonts w:eastAsia="仿宋_GB2312"/>
          <w:sz w:val="32"/>
          <w:szCs w:val="32"/>
        </w:rPr>
        <w:t>包容性</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6.1</w:t>
      </w:r>
      <w:r w:rsidRPr="007E6720">
        <w:rPr>
          <w:rFonts w:eastAsia="仿宋_GB2312"/>
          <w:sz w:val="32"/>
          <w:szCs w:val="32"/>
        </w:rPr>
        <w:t>应当采用生物信息学分析方法对产品检测的包容性进行研究，对所有已公布的基孔肯雅病毒核酸序列进行序列比对分析，并对靶标范围内的序列差异是否影响申报产品检出能力进行分析验证。</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6.2</w:t>
      </w:r>
      <w:r w:rsidRPr="007E6720">
        <w:rPr>
          <w:rFonts w:eastAsia="仿宋_GB2312"/>
          <w:sz w:val="32"/>
          <w:szCs w:val="32"/>
        </w:rPr>
        <w:t>验证至少</w:t>
      </w:r>
      <w:r w:rsidRPr="007E6720">
        <w:rPr>
          <w:rFonts w:eastAsia="仿宋_GB2312"/>
          <w:sz w:val="32"/>
          <w:szCs w:val="32"/>
        </w:rPr>
        <w:t>10</w:t>
      </w:r>
      <w:r w:rsidRPr="007E6720">
        <w:rPr>
          <w:rFonts w:eastAsia="仿宋_GB2312"/>
          <w:sz w:val="32"/>
          <w:szCs w:val="32"/>
        </w:rPr>
        <w:t>个不同来源的临床阳性样本。研究应包括检出限和重复性的验证。</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lastRenderedPageBreak/>
        <w:t>6.3</w:t>
      </w:r>
      <w:r w:rsidRPr="007E6720">
        <w:rPr>
          <w:rFonts w:eastAsia="仿宋_GB2312"/>
          <w:sz w:val="32"/>
          <w:szCs w:val="32"/>
        </w:rPr>
        <w:t>基因型覆盖</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应对基孔肯雅病毒主要基因型，包括西非型、东中南非型（包含印度洋分支）、亚洲型及其他流行变异株进行包容性研究。研究可采用毒株或临床样本，如果样本难以获得，亦可采用假病毒。</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7.</w:t>
      </w:r>
      <w:r w:rsidRPr="007E6720">
        <w:rPr>
          <w:rFonts w:eastAsia="仿宋_GB2312"/>
          <w:sz w:val="32"/>
          <w:szCs w:val="32"/>
        </w:rPr>
        <w:t>企业参考品验证</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根据主要原材料研究资料中的企业参考品设置情况，采用三批产品对企业参考品进行检验并提供详细的试验数据。</w:t>
      </w:r>
    </w:p>
    <w:p w:rsidR="00762F1C" w:rsidRPr="007E6720" w:rsidRDefault="00762F1C" w:rsidP="007E6720">
      <w:pPr>
        <w:snapToGrid w:val="0"/>
        <w:spacing w:line="560" w:lineRule="exact"/>
        <w:ind w:firstLineChars="200" w:firstLine="640"/>
        <w:rPr>
          <w:rFonts w:eastAsia="楷体"/>
          <w:color w:val="000000"/>
          <w:sz w:val="32"/>
          <w:szCs w:val="32"/>
        </w:rPr>
      </w:pPr>
      <w:r w:rsidRPr="007E6720">
        <w:rPr>
          <w:rFonts w:eastAsia="楷体"/>
          <w:color w:val="000000"/>
          <w:sz w:val="32"/>
          <w:szCs w:val="32"/>
        </w:rPr>
        <w:t>（三）主要原材料研究</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1.</w:t>
      </w:r>
      <w:r w:rsidRPr="007E6720">
        <w:rPr>
          <w:rFonts w:eastAsia="仿宋_GB2312"/>
          <w:sz w:val="32"/>
          <w:szCs w:val="32"/>
        </w:rPr>
        <w:t>应详述引物和探针的设计原则，提供引物、探针核酸序列、模板核酸序列及两者的对应情况。提供检测靶标的详细确定依据。</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2.</w:t>
      </w:r>
      <w:r w:rsidRPr="007E6720">
        <w:rPr>
          <w:rFonts w:eastAsia="仿宋_GB2312"/>
          <w:sz w:val="32"/>
          <w:szCs w:val="32"/>
        </w:rPr>
        <w:t>企业参考品制备</w:t>
      </w:r>
    </w:p>
    <w:p w:rsidR="00762F1C" w:rsidRPr="007E6720" w:rsidRDefault="00762F1C" w:rsidP="007E6720">
      <w:pPr>
        <w:widowControl/>
        <w:snapToGrid w:val="0"/>
        <w:spacing w:line="560" w:lineRule="exact"/>
        <w:ind w:firstLineChars="200" w:firstLine="640"/>
        <w:rPr>
          <w:rFonts w:eastAsia="仿宋_GB2312"/>
          <w:sz w:val="32"/>
          <w:szCs w:val="32"/>
        </w:rPr>
      </w:pPr>
      <w:r w:rsidRPr="007E6720">
        <w:rPr>
          <w:rFonts w:eastAsia="仿宋_GB2312"/>
          <w:sz w:val="32"/>
          <w:szCs w:val="32"/>
        </w:rPr>
        <w:t>申请人应根据产品性能验证的实际情况自行设定企业参考品，包括阳性参考品、阴性参考品、检出限参考品、精密度参考品。企业参考品应采用临床样本或者使用病毒培养物加入阴性样本制备，</w:t>
      </w:r>
      <w:r w:rsidRPr="007E6720">
        <w:rPr>
          <w:rFonts w:eastAsia="仿宋_GB2312"/>
          <w:bCs/>
          <w:color w:val="000000"/>
          <w:sz w:val="32"/>
          <w:szCs w:val="32"/>
        </w:rPr>
        <w:t>不宜采用质粒、假病毒、基因组提取</w:t>
      </w:r>
      <w:r w:rsidRPr="007E6720">
        <w:rPr>
          <w:rFonts w:eastAsia="仿宋_GB2312"/>
          <w:bCs/>
          <w:color w:val="000000"/>
          <w:sz w:val="32"/>
          <w:szCs w:val="32"/>
        </w:rPr>
        <w:t>/</w:t>
      </w:r>
      <w:r w:rsidRPr="007E6720">
        <w:rPr>
          <w:rFonts w:eastAsia="仿宋_GB2312"/>
          <w:bCs/>
          <w:color w:val="000000"/>
          <w:sz w:val="32"/>
          <w:szCs w:val="32"/>
        </w:rPr>
        <w:t>纯化物等核酸制备</w:t>
      </w:r>
      <w:r w:rsidRPr="007E6720">
        <w:rPr>
          <w:rFonts w:eastAsia="仿宋_GB2312"/>
          <w:sz w:val="32"/>
          <w:szCs w:val="32"/>
        </w:rPr>
        <w:t>。企业参考品的设置建议如下：</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bCs/>
          <w:color w:val="000000"/>
          <w:sz w:val="32"/>
          <w:szCs w:val="32"/>
        </w:rPr>
        <w:t>阳性参考品应包含</w:t>
      </w:r>
      <w:r w:rsidRPr="007E6720">
        <w:rPr>
          <w:rFonts w:eastAsia="仿宋_GB2312"/>
          <w:sz w:val="32"/>
          <w:szCs w:val="32"/>
        </w:rPr>
        <w:t>不同浓度水平基孔肯雅病毒阳性灭活</w:t>
      </w:r>
      <w:r w:rsidRPr="007E6720">
        <w:rPr>
          <w:rFonts w:eastAsia="仿宋_GB2312"/>
          <w:bCs/>
          <w:color w:val="000000"/>
          <w:sz w:val="32"/>
          <w:szCs w:val="32"/>
        </w:rPr>
        <w:t>毒株或临床样本</w:t>
      </w:r>
      <w:r w:rsidRPr="007E6720">
        <w:rPr>
          <w:rFonts w:eastAsia="仿宋_GB2312"/>
          <w:sz w:val="32"/>
          <w:szCs w:val="32"/>
        </w:rPr>
        <w:t>。</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阴性参考品则主要涉及对特异性的验证情况，建议至少包括登革病毒、麻疹病毒等相似症状病原体，生信分析显示同源性较高的病原体和干扰样本。</w:t>
      </w:r>
    </w:p>
    <w:p w:rsidR="00762F1C" w:rsidRPr="007E6720" w:rsidRDefault="00762F1C" w:rsidP="007E6720">
      <w:pPr>
        <w:widowControl/>
        <w:snapToGrid w:val="0"/>
        <w:spacing w:line="560" w:lineRule="exact"/>
        <w:ind w:firstLine="640"/>
        <w:rPr>
          <w:rFonts w:eastAsia="仿宋_GB2312"/>
          <w:sz w:val="32"/>
          <w:szCs w:val="32"/>
        </w:rPr>
      </w:pPr>
      <w:r w:rsidRPr="007E6720">
        <w:rPr>
          <w:rFonts w:eastAsia="仿宋_GB2312"/>
          <w:sz w:val="32"/>
          <w:szCs w:val="32"/>
        </w:rPr>
        <w:lastRenderedPageBreak/>
        <w:t>检出限参考品应包含</w:t>
      </w:r>
      <w:r w:rsidRPr="007E6720">
        <w:rPr>
          <w:rFonts w:eastAsia="仿宋_GB2312"/>
          <w:sz w:val="32"/>
          <w:szCs w:val="32"/>
        </w:rPr>
        <w:t>95%</w:t>
      </w:r>
      <w:r w:rsidRPr="007E6720">
        <w:rPr>
          <w:rFonts w:eastAsia="仿宋_GB2312"/>
          <w:sz w:val="32"/>
          <w:szCs w:val="32"/>
        </w:rPr>
        <w:t>阳性检出水平或略高于检出限水平的阳性灭活</w:t>
      </w:r>
      <w:r w:rsidRPr="007E6720">
        <w:rPr>
          <w:rFonts w:eastAsia="仿宋_GB2312"/>
          <w:bCs/>
          <w:color w:val="000000"/>
          <w:sz w:val="32"/>
          <w:szCs w:val="32"/>
        </w:rPr>
        <w:t>毒株或临床样本</w:t>
      </w:r>
      <w:r w:rsidRPr="007E6720">
        <w:rPr>
          <w:rFonts w:eastAsia="仿宋_GB2312"/>
          <w:sz w:val="32"/>
          <w:szCs w:val="32"/>
        </w:rPr>
        <w:t>，如</w:t>
      </w:r>
      <w:r w:rsidRPr="007E6720">
        <w:rPr>
          <w:rFonts w:eastAsia="仿宋_GB2312"/>
          <w:sz w:val="32"/>
          <w:szCs w:val="32"/>
        </w:rPr>
        <w:t>100%</w:t>
      </w:r>
      <w:r w:rsidRPr="007E6720">
        <w:rPr>
          <w:rFonts w:eastAsia="仿宋_GB2312"/>
          <w:sz w:val="32"/>
          <w:szCs w:val="32"/>
        </w:rPr>
        <w:t>阳性检出水平。</w:t>
      </w:r>
    </w:p>
    <w:p w:rsidR="00762F1C" w:rsidRPr="007E6720" w:rsidRDefault="00762F1C" w:rsidP="007E6720">
      <w:pPr>
        <w:widowControl/>
        <w:snapToGrid w:val="0"/>
        <w:spacing w:line="560" w:lineRule="exact"/>
        <w:ind w:firstLine="640"/>
        <w:rPr>
          <w:rFonts w:eastAsia="仿宋_GB2312"/>
          <w:sz w:val="32"/>
          <w:szCs w:val="32"/>
        </w:rPr>
      </w:pPr>
      <w:r w:rsidRPr="007E6720">
        <w:rPr>
          <w:rFonts w:eastAsia="仿宋_GB2312"/>
          <w:bCs/>
          <w:color w:val="000000"/>
          <w:sz w:val="32"/>
          <w:szCs w:val="32"/>
        </w:rPr>
        <w:t>精密度参考品应至少包含两个浓度水平，其中包含弱阳性水平。</w:t>
      </w:r>
    </w:p>
    <w:p w:rsidR="00762F1C" w:rsidRPr="007E6720" w:rsidRDefault="00762F1C" w:rsidP="007E6720">
      <w:pPr>
        <w:snapToGrid w:val="0"/>
        <w:spacing w:line="560" w:lineRule="exact"/>
        <w:ind w:firstLineChars="200" w:firstLine="640"/>
        <w:rPr>
          <w:rFonts w:eastAsia="楷体"/>
          <w:color w:val="000000"/>
          <w:sz w:val="32"/>
          <w:szCs w:val="32"/>
        </w:rPr>
      </w:pPr>
      <w:r w:rsidRPr="007E6720">
        <w:rPr>
          <w:rFonts w:eastAsia="楷体"/>
          <w:color w:val="000000"/>
          <w:sz w:val="32"/>
          <w:szCs w:val="32"/>
        </w:rPr>
        <w:t>（四）其他</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主要原材料研究的其他内容、生产工艺、反应体系、稳定性、阳性判断值等研究资料，可参考其他病原体核酸检测试剂指导原则进行研究。</w:t>
      </w:r>
    </w:p>
    <w:p w:rsidR="00762F1C" w:rsidRPr="007E6720" w:rsidRDefault="00762F1C" w:rsidP="007E6720">
      <w:pPr>
        <w:snapToGrid w:val="0"/>
        <w:spacing w:line="560" w:lineRule="exact"/>
        <w:ind w:firstLineChars="200" w:firstLine="640"/>
        <w:rPr>
          <w:rFonts w:eastAsia="楷体"/>
          <w:color w:val="000000"/>
          <w:sz w:val="32"/>
          <w:szCs w:val="32"/>
        </w:rPr>
      </w:pPr>
      <w:r w:rsidRPr="007E6720">
        <w:rPr>
          <w:rFonts w:eastAsia="楷体"/>
          <w:color w:val="000000"/>
          <w:sz w:val="32"/>
          <w:szCs w:val="32"/>
        </w:rPr>
        <w:t>（五）临床评价</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1.</w:t>
      </w:r>
      <w:r w:rsidRPr="007E6720">
        <w:rPr>
          <w:rFonts w:eastAsia="仿宋_GB2312"/>
          <w:sz w:val="32"/>
          <w:szCs w:val="32"/>
        </w:rPr>
        <w:t>临床试验机构</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建议申请人在相关流行病学多发区域选择临床试验机构，应是经备案的医疗器械临床试验机构（包括各级疾病预防控制中心）。临床试验机构数量应不少于</w:t>
      </w:r>
      <w:r w:rsidRPr="007E6720">
        <w:rPr>
          <w:rFonts w:eastAsia="仿宋_GB2312"/>
          <w:sz w:val="32"/>
          <w:szCs w:val="32"/>
        </w:rPr>
        <w:t>3</w:t>
      </w:r>
      <w:r w:rsidRPr="007E6720">
        <w:rPr>
          <w:rFonts w:eastAsia="仿宋_GB2312"/>
          <w:sz w:val="32"/>
          <w:szCs w:val="32"/>
        </w:rPr>
        <w:t>家，且具有分子生物学方法检测的优势，实验操作人员应有足够的时间熟悉检测系统的各环节（仪器、试剂、质控及操作程序等），熟悉评价方案。在整个试验中，试验体外诊断试剂和对比方法</w:t>
      </w:r>
      <w:r w:rsidRPr="007E6720">
        <w:rPr>
          <w:rFonts w:eastAsia="仿宋_GB2312"/>
          <w:sz w:val="32"/>
          <w:szCs w:val="32"/>
        </w:rPr>
        <w:t>/</w:t>
      </w:r>
      <w:r w:rsidRPr="007E6720">
        <w:rPr>
          <w:rFonts w:eastAsia="仿宋_GB2312"/>
          <w:sz w:val="32"/>
          <w:szCs w:val="32"/>
        </w:rPr>
        <w:t>试剂均应处于有效的质量控制下，最大限度保证试验数据的准确性及可重复性。</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2.</w:t>
      </w:r>
      <w:r w:rsidRPr="007E6720">
        <w:rPr>
          <w:rFonts w:eastAsia="仿宋_GB2312"/>
          <w:sz w:val="32"/>
          <w:szCs w:val="32"/>
        </w:rPr>
        <w:t>临床试验设计</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 xml:space="preserve">2.1 </w:t>
      </w:r>
      <w:r w:rsidRPr="007E6720">
        <w:rPr>
          <w:rFonts w:eastAsia="仿宋_GB2312"/>
          <w:sz w:val="32"/>
          <w:szCs w:val="32"/>
        </w:rPr>
        <w:t>对于新的基孔肯雅病毒核酸检测试剂</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 xml:space="preserve">2.1.1 </w:t>
      </w:r>
      <w:r w:rsidRPr="007E6720">
        <w:rPr>
          <w:rFonts w:eastAsia="仿宋_GB2312"/>
          <w:sz w:val="32"/>
          <w:szCs w:val="32"/>
        </w:rPr>
        <w:t>与临床参考方法的比较</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申请人可采用核酸序列测定方法（临床参考方法）作为对比方法，验证试验体外诊断试剂检测结果与核酸序列测定（如：一代测序）结果之间的一致性。</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lastRenderedPageBreak/>
        <w:t>临床试验资料中应对测序方法进行详细的介绍，并提交性能验证数据，证明测序方法与试验体外诊断试剂的可比性。同时，还应提交测序引物和测序所扩增区段的生信分析资料，以确定测序区段对于基孔肯雅病毒核酸序列的特异性。</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如测序试验委托其他机构完成，还应提交由临床试验机构委托第三方机构</w:t>
      </w:r>
      <w:r w:rsidRPr="007E6720">
        <w:rPr>
          <w:rFonts w:eastAsia="仿宋_GB2312"/>
          <w:sz w:val="32"/>
          <w:szCs w:val="32"/>
        </w:rPr>
        <w:t>/</w:t>
      </w:r>
      <w:r w:rsidRPr="007E6720">
        <w:rPr>
          <w:rFonts w:eastAsia="仿宋_GB2312"/>
          <w:sz w:val="32"/>
          <w:szCs w:val="32"/>
        </w:rPr>
        <w:t>实验室开展相关试验的测序服务合同</w:t>
      </w:r>
      <w:r w:rsidRPr="007E6720">
        <w:rPr>
          <w:rFonts w:eastAsia="仿宋_GB2312"/>
          <w:sz w:val="32"/>
          <w:szCs w:val="32"/>
        </w:rPr>
        <w:t>/</w:t>
      </w:r>
      <w:r w:rsidRPr="007E6720">
        <w:rPr>
          <w:rFonts w:eastAsia="仿宋_GB2312"/>
          <w:sz w:val="32"/>
          <w:szCs w:val="32"/>
        </w:rPr>
        <w:t>协议。受托机构</w:t>
      </w:r>
      <w:r w:rsidRPr="007E6720">
        <w:rPr>
          <w:rFonts w:eastAsia="仿宋_GB2312"/>
          <w:sz w:val="32"/>
          <w:szCs w:val="32"/>
        </w:rPr>
        <w:t>/</w:t>
      </w:r>
      <w:r w:rsidRPr="007E6720">
        <w:rPr>
          <w:rFonts w:eastAsia="仿宋_GB2312"/>
          <w:sz w:val="32"/>
          <w:szCs w:val="32"/>
        </w:rPr>
        <w:t>实验室应具有相应检测能力和资质。</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 xml:space="preserve">2.1.2 </w:t>
      </w:r>
      <w:r w:rsidRPr="007E6720">
        <w:rPr>
          <w:rFonts w:eastAsia="仿宋_GB2312"/>
          <w:sz w:val="32"/>
          <w:szCs w:val="32"/>
        </w:rPr>
        <w:t>与临床参考标准的比较</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除上述比对试验外，还应考虑试验体外诊断试剂与临床参考标准进行对比。临床参考标准即按照相关管理部门发布的《</w:t>
      </w:r>
      <w:bookmarkStart w:id="2" w:name="OLE_LINK16"/>
      <w:r w:rsidRPr="007E6720">
        <w:rPr>
          <w:rFonts w:eastAsia="仿宋_GB2312"/>
          <w:sz w:val="32"/>
          <w:szCs w:val="32"/>
        </w:rPr>
        <w:t>基孔肯雅热防控技术指南</w:t>
      </w:r>
      <w:bookmarkEnd w:id="2"/>
      <w:r w:rsidRPr="007E6720">
        <w:rPr>
          <w:rFonts w:eastAsia="仿宋_GB2312"/>
          <w:sz w:val="32"/>
          <w:szCs w:val="32"/>
        </w:rPr>
        <w:t>（</w:t>
      </w:r>
      <w:r w:rsidRPr="007E6720">
        <w:rPr>
          <w:rFonts w:eastAsia="仿宋_GB2312"/>
          <w:sz w:val="32"/>
          <w:szCs w:val="32"/>
        </w:rPr>
        <w:t>2025</w:t>
      </w:r>
      <w:r w:rsidRPr="007E6720">
        <w:rPr>
          <w:rFonts w:eastAsia="仿宋_GB2312"/>
          <w:sz w:val="32"/>
          <w:szCs w:val="32"/>
        </w:rPr>
        <w:t>年版）》和《基孔肯雅热诊断卫生行业标准（</w:t>
      </w:r>
      <w:r w:rsidRPr="007E6720">
        <w:rPr>
          <w:rFonts w:eastAsia="仿宋_GB2312"/>
          <w:sz w:val="32"/>
          <w:szCs w:val="32"/>
        </w:rPr>
        <w:t>WS/T 590-2018</w:t>
      </w:r>
      <w:r w:rsidRPr="007E6720">
        <w:rPr>
          <w:rFonts w:eastAsia="仿宋_GB2312"/>
          <w:sz w:val="32"/>
          <w:szCs w:val="32"/>
        </w:rPr>
        <w:t>）》文件进行病例诊断的方法。</w:t>
      </w:r>
      <w:r w:rsidRPr="007E6720">
        <w:rPr>
          <w:rFonts w:eastAsia="仿宋_GB2312"/>
          <w:sz w:val="32"/>
          <w:szCs w:val="32"/>
        </w:rPr>
        <w:t xml:space="preserve">   </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 xml:space="preserve">2.2 </w:t>
      </w:r>
      <w:r w:rsidRPr="007E6720">
        <w:rPr>
          <w:rFonts w:eastAsia="仿宋_GB2312"/>
          <w:sz w:val="32"/>
          <w:szCs w:val="32"/>
        </w:rPr>
        <w:t>对于已有同类产品上市的情形</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如有已上市同类产品，临床试验可选择已上市的同类产品作为对比试剂，对比试剂的选择应考虑样本类型、产品性能等方面与试验体外诊断试剂具有良好的可比性。</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申请人亦可以参照上述</w:t>
      </w:r>
      <w:r w:rsidRPr="007E6720">
        <w:rPr>
          <w:rFonts w:eastAsia="仿宋_GB2312"/>
          <w:sz w:val="32"/>
          <w:szCs w:val="32"/>
        </w:rPr>
        <w:t>2.1</w:t>
      </w:r>
      <w:r w:rsidRPr="007E6720">
        <w:rPr>
          <w:rFonts w:eastAsia="仿宋_GB2312"/>
          <w:sz w:val="32"/>
          <w:szCs w:val="32"/>
        </w:rPr>
        <w:t>部分进行临床试验设计。</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3.</w:t>
      </w:r>
      <w:r w:rsidRPr="007E6720">
        <w:rPr>
          <w:rFonts w:eastAsia="仿宋_GB2312"/>
          <w:sz w:val="32"/>
          <w:szCs w:val="32"/>
        </w:rPr>
        <w:t>临床试验入组人群</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临床试验的入组人群应为产品的预期适用人群，该产品的适用人群为基孔肯雅热的疑似病例，申请人在进行临床试验时应依据相关管理部门发布的《基孔肯雅热防控技术指南（</w:t>
      </w:r>
      <w:r w:rsidRPr="007E6720">
        <w:rPr>
          <w:rFonts w:eastAsia="仿宋_GB2312"/>
          <w:sz w:val="32"/>
          <w:szCs w:val="32"/>
        </w:rPr>
        <w:t>2025</w:t>
      </w:r>
      <w:r w:rsidRPr="007E6720">
        <w:rPr>
          <w:rFonts w:eastAsia="仿宋_GB2312"/>
          <w:sz w:val="32"/>
          <w:szCs w:val="32"/>
        </w:rPr>
        <w:t>年版）》和《基孔肯雅热诊断卫生行业标准（</w:t>
      </w:r>
      <w:r w:rsidRPr="007E6720">
        <w:rPr>
          <w:rFonts w:eastAsia="仿宋_GB2312"/>
          <w:sz w:val="32"/>
          <w:szCs w:val="32"/>
        </w:rPr>
        <w:t>WS/T 590-2018</w:t>
      </w:r>
      <w:r w:rsidRPr="007E6720">
        <w:rPr>
          <w:rFonts w:eastAsia="仿宋_GB2312"/>
          <w:sz w:val="32"/>
          <w:szCs w:val="32"/>
        </w:rPr>
        <w:t>）》文件中对</w:t>
      </w:r>
      <w:r w:rsidRPr="007E6720">
        <w:rPr>
          <w:rFonts w:eastAsia="仿宋_GB2312"/>
          <w:sz w:val="32"/>
          <w:szCs w:val="32"/>
        </w:rPr>
        <w:t>“</w:t>
      </w:r>
      <w:r w:rsidRPr="007E6720">
        <w:rPr>
          <w:rFonts w:eastAsia="仿宋_GB2312"/>
          <w:sz w:val="32"/>
          <w:szCs w:val="32"/>
        </w:rPr>
        <w:t>疑似病例</w:t>
      </w:r>
      <w:r w:rsidRPr="007E6720">
        <w:rPr>
          <w:rFonts w:eastAsia="仿宋_GB2312"/>
          <w:sz w:val="32"/>
          <w:szCs w:val="32"/>
        </w:rPr>
        <w:t>”</w:t>
      </w:r>
      <w:r w:rsidRPr="007E6720">
        <w:rPr>
          <w:rFonts w:eastAsia="仿宋_GB2312"/>
          <w:sz w:val="32"/>
          <w:szCs w:val="32"/>
        </w:rPr>
        <w:t>的定义入组病例。</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lastRenderedPageBreak/>
        <w:t>另外，临床试验建议纳入一定数量的弱阳性样本。弱阳性样本应采用合理方法确定，一般将</w:t>
      </w:r>
      <w:r w:rsidRPr="007E6720">
        <w:rPr>
          <w:rFonts w:eastAsia="仿宋_GB2312"/>
          <w:sz w:val="32"/>
          <w:szCs w:val="32"/>
        </w:rPr>
        <w:t>Ct</w:t>
      </w:r>
      <w:r w:rsidRPr="007E6720">
        <w:rPr>
          <w:rFonts w:eastAsia="仿宋_GB2312"/>
          <w:sz w:val="32"/>
          <w:szCs w:val="32"/>
        </w:rPr>
        <w:t>值小于</w:t>
      </w:r>
      <w:r w:rsidRPr="007E6720">
        <w:rPr>
          <w:rFonts w:eastAsia="仿宋_GB2312"/>
          <w:sz w:val="32"/>
          <w:szCs w:val="32"/>
        </w:rPr>
        <w:t>cutoff</w:t>
      </w:r>
      <w:r w:rsidRPr="007E6720">
        <w:rPr>
          <w:rFonts w:eastAsia="仿宋_GB2312"/>
          <w:sz w:val="32"/>
          <w:szCs w:val="32"/>
        </w:rPr>
        <w:t>值</w:t>
      </w:r>
      <w:r w:rsidRPr="007E6720">
        <w:rPr>
          <w:rFonts w:eastAsia="仿宋_GB2312"/>
          <w:sz w:val="32"/>
          <w:szCs w:val="32"/>
        </w:rPr>
        <w:t>3</w:t>
      </w:r>
      <w:r w:rsidRPr="007E6720">
        <w:rPr>
          <w:rFonts w:eastAsia="仿宋_GB2312"/>
          <w:sz w:val="32"/>
          <w:szCs w:val="32"/>
        </w:rPr>
        <w:t>～</w:t>
      </w:r>
      <w:r w:rsidRPr="007E6720">
        <w:rPr>
          <w:rFonts w:eastAsia="仿宋_GB2312"/>
          <w:sz w:val="32"/>
          <w:szCs w:val="32"/>
        </w:rPr>
        <w:t>5</w:t>
      </w:r>
      <w:r w:rsidRPr="007E6720">
        <w:rPr>
          <w:rFonts w:eastAsia="仿宋_GB2312"/>
          <w:sz w:val="32"/>
          <w:szCs w:val="32"/>
        </w:rPr>
        <w:t>个</w:t>
      </w:r>
      <w:r w:rsidRPr="007E6720">
        <w:rPr>
          <w:rFonts w:eastAsia="仿宋_GB2312"/>
          <w:sz w:val="32"/>
          <w:szCs w:val="32"/>
        </w:rPr>
        <w:t>Ct</w:t>
      </w:r>
      <w:r w:rsidRPr="007E6720">
        <w:rPr>
          <w:rFonts w:eastAsia="仿宋_GB2312"/>
          <w:sz w:val="32"/>
          <w:szCs w:val="32"/>
        </w:rPr>
        <w:t>值的样本定义为弱阳性样本，应采用对比试剂或临床诊疗过程中所用的适当的方法确定弱阳性。</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4.</w:t>
      </w:r>
      <w:r w:rsidRPr="007E6720">
        <w:rPr>
          <w:rFonts w:eastAsia="仿宋_GB2312"/>
          <w:sz w:val="32"/>
          <w:szCs w:val="32"/>
        </w:rPr>
        <w:t>临床试验样本类型</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临床样本的采集建议按照《基孔肯雅热防控技术指南（</w:t>
      </w:r>
      <w:r w:rsidRPr="007E6720">
        <w:rPr>
          <w:rFonts w:eastAsia="仿宋_GB2312"/>
          <w:sz w:val="32"/>
          <w:szCs w:val="32"/>
        </w:rPr>
        <w:t>2025</w:t>
      </w:r>
      <w:r w:rsidRPr="007E6720">
        <w:rPr>
          <w:rFonts w:eastAsia="仿宋_GB2312"/>
          <w:sz w:val="32"/>
          <w:szCs w:val="32"/>
        </w:rPr>
        <w:t>年版）》等文件进行。</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该类试剂可能涉及的样本类型包括血清和血浆。针对血清和血浆样本，</w:t>
      </w:r>
      <w:bookmarkStart w:id="3" w:name="OLE_LINK19"/>
      <w:bookmarkStart w:id="4" w:name="OLE_LINK20"/>
      <w:r w:rsidRPr="007E6720">
        <w:rPr>
          <w:rFonts w:eastAsia="仿宋_GB2312"/>
          <w:sz w:val="32"/>
          <w:szCs w:val="32"/>
        </w:rPr>
        <w:t>如非临床研究数据证明两种样本类型之间几乎不存在差异，则临床试验中可将两种样本类型进行汇总统计。</w:t>
      </w:r>
      <w:bookmarkEnd w:id="3"/>
      <w:bookmarkEnd w:id="4"/>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5.</w:t>
      </w:r>
      <w:r w:rsidRPr="007E6720">
        <w:rPr>
          <w:rFonts w:eastAsia="仿宋_GB2312"/>
          <w:sz w:val="32"/>
          <w:szCs w:val="32"/>
        </w:rPr>
        <w:t>临床试验样本量</w:t>
      </w:r>
    </w:p>
    <w:p w:rsidR="00762F1C" w:rsidRPr="007E6720" w:rsidRDefault="00762F1C" w:rsidP="007E6720">
      <w:pPr>
        <w:spacing w:line="560" w:lineRule="exact"/>
        <w:ind w:firstLineChars="200" w:firstLine="640"/>
        <w:contextualSpacing/>
        <w:rPr>
          <w:rFonts w:eastAsia="仿宋_GB2312"/>
          <w:color w:val="000000"/>
          <w:kern w:val="0"/>
          <w:sz w:val="32"/>
          <w:szCs w:val="32"/>
        </w:rPr>
      </w:pPr>
      <w:r w:rsidRPr="007E6720">
        <w:rPr>
          <w:rFonts w:eastAsia="仿宋_GB2312"/>
          <w:sz w:val="32"/>
          <w:szCs w:val="32"/>
        </w:rPr>
        <w:t>与对比方法</w:t>
      </w:r>
      <w:r w:rsidRPr="007E6720">
        <w:rPr>
          <w:rFonts w:eastAsia="仿宋_GB2312"/>
          <w:sz w:val="32"/>
          <w:szCs w:val="32"/>
        </w:rPr>
        <w:t>/</w:t>
      </w:r>
      <w:r w:rsidRPr="007E6720">
        <w:rPr>
          <w:rFonts w:eastAsia="仿宋_GB2312"/>
          <w:sz w:val="32"/>
          <w:szCs w:val="32"/>
        </w:rPr>
        <w:t>试剂比较研究的</w:t>
      </w:r>
      <w:r w:rsidRPr="007E6720">
        <w:rPr>
          <w:rFonts w:eastAsia="仿宋_GB2312"/>
          <w:color w:val="000000"/>
          <w:kern w:val="0"/>
          <w:sz w:val="32"/>
          <w:szCs w:val="32"/>
        </w:rPr>
        <w:t>临床试验样本量应满足统计学要求，可采用适当的统计学方法进行估算。临床试验可依据试验体外诊断试剂相对于对比方法</w:t>
      </w:r>
      <w:r w:rsidRPr="007E6720">
        <w:rPr>
          <w:rFonts w:eastAsia="仿宋_GB2312"/>
          <w:color w:val="000000"/>
          <w:kern w:val="0"/>
          <w:sz w:val="32"/>
          <w:szCs w:val="32"/>
        </w:rPr>
        <w:t>/</w:t>
      </w:r>
      <w:r w:rsidRPr="007E6720">
        <w:rPr>
          <w:rFonts w:eastAsia="仿宋_GB2312"/>
          <w:color w:val="000000"/>
          <w:kern w:val="0"/>
          <w:sz w:val="32"/>
          <w:szCs w:val="32"/>
        </w:rPr>
        <w:t>试剂的阴阳性符合率分别估算最低阴阳性样本例数。</w:t>
      </w:r>
    </w:p>
    <w:p w:rsidR="00762F1C" w:rsidRPr="007E6720" w:rsidRDefault="00762F1C" w:rsidP="007E6720">
      <w:pPr>
        <w:spacing w:line="560" w:lineRule="exact"/>
        <w:ind w:firstLineChars="200" w:firstLine="640"/>
        <w:contextualSpacing/>
        <w:rPr>
          <w:rFonts w:eastAsia="仿宋_GB2312"/>
          <w:color w:val="000000"/>
          <w:kern w:val="0"/>
          <w:szCs w:val="32"/>
        </w:rPr>
      </w:pPr>
      <w:r w:rsidRPr="007E6720">
        <w:rPr>
          <w:rFonts w:eastAsia="仿宋_GB2312"/>
          <w:color w:val="000000"/>
          <w:kern w:val="0"/>
          <w:sz w:val="32"/>
          <w:szCs w:val="32"/>
        </w:rPr>
        <w:t>临床样本量的估算建议采用如下样本量公式计算，</w:t>
      </w:r>
      <w:r w:rsidRPr="007E6720">
        <w:rPr>
          <w:noProof/>
        </w:rPr>
        <w:drawing>
          <wp:anchor distT="0" distB="0" distL="114300" distR="114300" simplePos="0" relativeHeight="251665408" behindDoc="0" locked="0" layoutInCell="1" allowOverlap="1">
            <wp:simplePos x="0" y="0"/>
            <wp:positionH relativeFrom="column">
              <wp:posOffset>584200</wp:posOffset>
            </wp:positionH>
            <wp:positionV relativeFrom="paragraph">
              <wp:posOffset>287655</wp:posOffset>
            </wp:positionV>
            <wp:extent cx="3475990" cy="78994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5990" cy="789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2F1C" w:rsidRPr="007E6720" w:rsidRDefault="00762F1C" w:rsidP="007E6720">
      <w:pPr>
        <w:spacing w:line="560" w:lineRule="exact"/>
        <w:ind w:firstLineChars="200" w:firstLine="420"/>
        <w:contextualSpacing/>
        <w:rPr>
          <w:rFonts w:eastAsia="仿宋_GB2312"/>
          <w:color w:val="000000"/>
          <w:kern w:val="0"/>
          <w:szCs w:val="32"/>
        </w:rPr>
      </w:pPr>
      <w:r w:rsidRPr="007E6720">
        <w:rPr>
          <w:rFonts w:eastAsia="仿宋_GB2312"/>
          <w:color w:val="000000"/>
          <w:kern w:val="0"/>
          <w:szCs w:val="32"/>
        </w:rPr>
        <w:t xml:space="preserve"> </w:t>
      </w:r>
    </w:p>
    <w:p w:rsidR="00762F1C" w:rsidRPr="007E6720" w:rsidRDefault="00762F1C" w:rsidP="007E6720">
      <w:pPr>
        <w:spacing w:line="560" w:lineRule="exact"/>
        <w:ind w:firstLineChars="200" w:firstLine="420"/>
        <w:contextualSpacing/>
        <w:rPr>
          <w:rFonts w:eastAsia="仿宋_GB2312"/>
          <w:color w:val="000000"/>
          <w:kern w:val="0"/>
          <w:szCs w:val="32"/>
        </w:rPr>
      </w:pPr>
      <w:r w:rsidRPr="007E6720">
        <w:rPr>
          <w:rFonts w:eastAsia="仿宋_GB2312"/>
          <w:color w:val="000000"/>
          <w:kern w:val="0"/>
          <w:szCs w:val="32"/>
        </w:rPr>
        <w:t xml:space="preserve"> </w:t>
      </w:r>
    </w:p>
    <w:p w:rsidR="00762F1C" w:rsidRPr="007E6720" w:rsidRDefault="00762F1C" w:rsidP="007E6720">
      <w:pPr>
        <w:spacing w:line="560" w:lineRule="exact"/>
        <w:ind w:firstLineChars="200" w:firstLine="640"/>
        <w:contextualSpacing/>
        <w:rPr>
          <w:rFonts w:eastAsia="仿宋_GB2312"/>
          <w:color w:val="000000"/>
          <w:kern w:val="0"/>
          <w:sz w:val="32"/>
          <w:szCs w:val="32"/>
        </w:rPr>
      </w:pPr>
      <w:r w:rsidRPr="007E6720">
        <w:rPr>
          <w:rFonts w:eastAsia="仿宋_GB2312"/>
          <w:color w:val="000000"/>
          <w:kern w:val="0"/>
          <w:sz w:val="32"/>
          <w:szCs w:val="32"/>
        </w:rPr>
        <w:t>公式中，</w:t>
      </w:r>
      <w:r w:rsidRPr="007E6720">
        <w:rPr>
          <w:rFonts w:eastAsia="仿宋_GB2312"/>
          <w:color w:val="000000"/>
          <w:kern w:val="0"/>
          <w:sz w:val="32"/>
          <w:szCs w:val="32"/>
        </w:rPr>
        <w:t>n</w:t>
      </w:r>
      <w:r w:rsidRPr="007E6720">
        <w:rPr>
          <w:rFonts w:eastAsia="仿宋_GB2312"/>
          <w:color w:val="000000"/>
          <w:kern w:val="0"/>
          <w:sz w:val="32"/>
          <w:szCs w:val="32"/>
        </w:rPr>
        <w:t>为样本量；</w:t>
      </w:r>
      <w:r w:rsidRPr="007E6720">
        <w:rPr>
          <w:rFonts w:eastAsia="仿宋_GB2312"/>
          <w:color w:val="000000"/>
          <w:kern w:val="0"/>
          <w:sz w:val="32"/>
          <w:szCs w:val="32"/>
        </w:rPr>
        <w:t>Z</w:t>
      </w:r>
      <w:r w:rsidRPr="007E6720">
        <w:rPr>
          <w:rFonts w:eastAsia="仿宋_GB2312"/>
          <w:color w:val="000000"/>
          <w:kern w:val="0"/>
          <w:sz w:val="32"/>
          <w:szCs w:val="32"/>
          <w:vertAlign w:val="subscript"/>
        </w:rPr>
        <w:t>1-α/2</w:t>
      </w:r>
      <w:r w:rsidRPr="007E6720">
        <w:rPr>
          <w:rFonts w:eastAsia="仿宋_GB2312"/>
          <w:color w:val="000000"/>
          <w:kern w:val="0"/>
          <w:sz w:val="32"/>
          <w:szCs w:val="32"/>
        </w:rPr>
        <w:t>、</w:t>
      </w:r>
      <w:r w:rsidRPr="007E6720">
        <w:rPr>
          <w:rFonts w:eastAsia="仿宋_GB2312"/>
          <w:color w:val="000000"/>
          <w:kern w:val="0"/>
          <w:sz w:val="32"/>
          <w:szCs w:val="32"/>
        </w:rPr>
        <w:t>Z</w:t>
      </w:r>
      <w:r w:rsidRPr="007E6720">
        <w:rPr>
          <w:rFonts w:eastAsia="仿宋_GB2312"/>
          <w:color w:val="000000"/>
          <w:kern w:val="0"/>
          <w:sz w:val="32"/>
          <w:szCs w:val="32"/>
          <w:vertAlign w:val="subscript"/>
        </w:rPr>
        <w:t>1-β</w:t>
      </w:r>
      <w:r w:rsidRPr="007E6720">
        <w:rPr>
          <w:rFonts w:eastAsia="仿宋_GB2312"/>
          <w:color w:val="000000"/>
          <w:kern w:val="0"/>
          <w:sz w:val="32"/>
          <w:szCs w:val="32"/>
        </w:rPr>
        <w:t>为显著性水平和把握度的标准正态分布的分数位，</w:t>
      </w:r>
      <w:r w:rsidRPr="007E6720">
        <w:rPr>
          <w:rFonts w:eastAsia="仿宋_GB2312"/>
          <w:color w:val="000000"/>
          <w:kern w:val="0"/>
          <w:sz w:val="32"/>
          <w:szCs w:val="32"/>
        </w:rPr>
        <w:t>P</w:t>
      </w:r>
      <w:r w:rsidRPr="007E6720">
        <w:rPr>
          <w:rFonts w:eastAsia="仿宋_GB2312"/>
          <w:color w:val="000000"/>
          <w:kern w:val="0"/>
          <w:sz w:val="32"/>
          <w:szCs w:val="32"/>
          <w:vertAlign w:val="subscript"/>
        </w:rPr>
        <w:t>0</w:t>
      </w:r>
      <w:r w:rsidRPr="007E6720">
        <w:rPr>
          <w:rFonts w:eastAsia="仿宋_GB2312"/>
          <w:color w:val="000000"/>
          <w:kern w:val="0"/>
          <w:sz w:val="32"/>
          <w:szCs w:val="32"/>
        </w:rPr>
        <w:t>为评价指标的临床可接受标准，</w:t>
      </w:r>
      <w:r w:rsidRPr="007E6720">
        <w:rPr>
          <w:rFonts w:eastAsia="仿宋_GB2312"/>
          <w:color w:val="000000"/>
          <w:kern w:val="0"/>
          <w:sz w:val="32"/>
          <w:szCs w:val="32"/>
        </w:rPr>
        <w:t>P</w:t>
      </w:r>
      <w:r w:rsidRPr="007E6720">
        <w:rPr>
          <w:rFonts w:eastAsia="仿宋_GB2312"/>
          <w:color w:val="000000"/>
          <w:kern w:val="0"/>
          <w:sz w:val="32"/>
          <w:szCs w:val="32"/>
          <w:vertAlign w:val="subscript"/>
        </w:rPr>
        <w:t>T</w:t>
      </w:r>
      <w:r w:rsidRPr="007E6720">
        <w:rPr>
          <w:rFonts w:eastAsia="仿宋_GB2312"/>
          <w:color w:val="000000"/>
          <w:kern w:val="0"/>
          <w:sz w:val="32"/>
          <w:szCs w:val="32"/>
        </w:rPr>
        <w:t>为试验体外诊断试剂评价指标预期值。</w:t>
      </w:r>
    </w:p>
    <w:p w:rsidR="00762F1C" w:rsidRPr="007E6720" w:rsidRDefault="00762F1C" w:rsidP="007E6720">
      <w:pPr>
        <w:spacing w:line="560" w:lineRule="exact"/>
        <w:ind w:firstLineChars="200" w:firstLine="640"/>
        <w:contextualSpacing/>
        <w:rPr>
          <w:rFonts w:eastAsia="仿宋_GB2312"/>
          <w:color w:val="000000"/>
          <w:kern w:val="0"/>
          <w:sz w:val="32"/>
          <w:szCs w:val="32"/>
        </w:rPr>
      </w:pPr>
      <w:r w:rsidRPr="007E6720">
        <w:rPr>
          <w:rFonts w:eastAsia="仿宋_GB2312"/>
          <w:color w:val="000000"/>
          <w:kern w:val="0"/>
          <w:sz w:val="32"/>
          <w:szCs w:val="32"/>
        </w:rPr>
        <w:t>其中，阴阳性符合率的临床可接受标准（</w:t>
      </w:r>
      <w:r w:rsidRPr="007E6720">
        <w:rPr>
          <w:rFonts w:eastAsia="仿宋_GB2312"/>
          <w:color w:val="000000"/>
          <w:kern w:val="0"/>
          <w:sz w:val="32"/>
          <w:szCs w:val="32"/>
        </w:rPr>
        <w:t>P</w:t>
      </w:r>
      <w:r w:rsidRPr="007E6720">
        <w:rPr>
          <w:rFonts w:eastAsia="仿宋_GB2312"/>
          <w:color w:val="000000"/>
          <w:kern w:val="0"/>
          <w:sz w:val="32"/>
          <w:szCs w:val="32"/>
          <w:vertAlign w:val="subscript"/>
        </w:rPr>
        <w:t>0</w:t>
      </w:r>
      <w:r w:rsidRPr="007E6720">
        <w:rPr>
          <w:rFonts w:eastAsia="仿宋_GB2312"/>
          <w:color w:val="000000"/>
          <w:kern w:val="0"/>
          <w:sz w:val="32"/>
          <w:szCs w:val="32"/>
        </w:rPr>
        <w:t>）建议不低于</w:t>
      </w:r>
      <w:r w:rsidRPr="007E6720">
        <w:rPr>
          <w:rFonts w:eastAsia="仿宋_GB2312"/>
          <w:color w:val="000000"/>
          <w:kern w:val="0"/>
          <w:sz w:val="32"/>
          <w:szCs w:val="32"/>
        </w:rPr>
        <w:t>90%</w:t>
      </w:r>
      <w:r w:rsidRPr="007E6720">
        <w:rPr>
          <w:rFonts w:eastAsia="仿宋_GB2312"/>
          <w:color w:val="000000"/>
          <w:kern w:val="0"/>
          <w:sz w:val="32"/>
          <w:szCs w:val="32"/>
        </w:rPr>
        <w:t>。获得临床试验数据后，证明产品相对于对比方法的阴阳性</w:t>
      </w:r>
      <w:r w:rsidRPr="007E6720">
        <w:rPr>
          <w:rFonts w:eastAsia="仿宋_GB2312"/>
          <w:color w:val="000000"/>
          <w:kern w:val="0"/>
          <w:sz w:val="32"/>
          <w:szCs w:val="32"/>
        </w:rPr>
        <w:lastRenderedPageBreak/>
        <w:t>符合率（置信区间下限）不低于预设的临床可接受标准（</w:t>
      </w:r>
      <w:r w:rsidRPr="007E6720">
        <w:rPr>
          <w:rFonts w:eastAsia="仿宋_GB2312"/>
          <w:color w:val="000000"/>
          <w:kern w:val="0"/>
          <w:sz w:val="32"/>
          <w:szCs w:val="32"/>
        </w:rPr>
        <w:t>P</w:t>
      </w:r>
      <w:r w:rsidRPr="007E6720">
        <w:rPr>
          <w:rFonts w:eastAsia="仿宋_GB2312"/>
          <w:color w:val="000000"/>
          <w:kern w:val="0"/>
          <w:sz w:val="32"/>
          <w:szCs w:val="32"/>
          <w:vertAlign w:val="subscript"/>
        </w:rPr>
        <w:t>0</w:t>
      </w:r>
      <w:r w:rsidRPr="007E6720">
        <w:rPr>
          <w:rFonts w:eastAsia="仿宋_GB2312"/>
          <w:color w:val="000000"/>
          <w:kern w:val="0"/>
          <w:sz w:val="32"/>
          <w:szCs w:val="32"/>
        </w:rPr>
        <w:t>）。当评价指标</w:t>
      </w:r>
      <w:r w:rsidRPr="007E6720">
        <w:rPr>
          <w:rFonts w:eastAsia="仿宋_GB2312"/>
          <w:color w:val="000000"/>
          <w:kern w:val="0"/>
          <w:sz w:val="32"/>
          <w:szCs w:val="32"/>
        </w:rPr>
        <w:t>P</w:t>
      </w:r>
      <w:r w:rsidRPr="007E6720">
        <w:rPr>
          <w:rFonts w:eastAsia="仿宋_GB2312"/>
          <w:color w:val="000000"/>
          <w:kern w:val="0"/>
          <w:sz w:val="32"/>
          <w:szCs w:val="32"/>
        </w:rPr>
        <w:t>接近</w:t>
      </w:r>
      <w:r w:rsidRPr="007E6720">
        <w:rPr>
          <w:rFonts w:eastAsia="仿宋_GB2312"/>
          <w:color w:val="000000"/>
          <w:kern w:val="0"/>
          <w:sz w:val="32"/>
          <w:szCs w:val="32"/>
        </w:rPr>
        <w:t>100%</w:t>
      </w:r>
      <w:r w:rsidRPr="007E6720">
        <w:rPr>
          <w:rFonts w:eastAsia="仿宋_GB2312"/>
          <w:color w:val="000000"/>
          <w:kern w:val="0"/>
          <w:sz w:val="32"/>
          <w:szCs w:val="32"/>
        </w:rPr>
        <w:t>时，上述样本量估算方法可能不适用，应考虑选择更加适宜的方法进行样本量估算和统计学分析，如精确概率法等。</w:t>
      </w:r>
    </w:p>
    <w:p w:rsidR="00762F1C" w:rsidRPr="007E6720" w:rsidRDefault="00762F1C" w:rsidP="007E6720">
      <w:pPr>
        <w:spacing w:line="560" w:lineRule="exact"/>
        <w:ind w:firstLineChars="200" w:firstLine="640"/>
        <w:rPr>
          <w:rFonts w:eastAsia="仿宋_GB2312"/>
          <w:color w:val="000000"/>
          <w:kern w:val="0"/>
          <w:sz w:val="32"/>
          <w:szCs w:val="32"/>
        </w:rPr>
      </w:pPr>
      <w:r w:rsidRPr="007E6720">
        <w:rPr>
          <w:rFonts w:eastAsia="仿宋_GB2312"/>
          <w:color w:val="000000"/>
          <w:kern w:val="0"/>
          <w:sz w:val="32"/>
          <w:szCs w:val="32"/>
        </w:rPr>
        <w:t>与临床参考标准的比较研究，建议参考与对比方法</w:t>
      </w:r>
      <w:r w:rsidRPr="007E6720">
        <w:rPr>
          <w:rFonts w:eastAsia="仿宋_GB2312"/>
          <w:color w:val="000000"/>
          <w:kern w:val="0"/>
          <w:sz w:val="32"/>
          <w:szCs w:val="32"/>
        </w:rPr>
        <w:t>/</w:t>
      </w:r>
      <w:r w:rsidRPr="007E6720">
        <w:rPr>
          <w:rFonts w:eastAsia="仿宋_GB2312"/>
          <w:color w:val="000000"/>
          <w:kern w:val="0"/>
          <w:sz w:val="32"/>
          <w:szCs w:val="32"/>
        </w:rPr>
        <w:t>试剂比较研究部分的样本量估算方法，并设定合理的临床可接受标准。</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6.</w:t>
      </w:r>
      <w:r w:rsidRPr="007E6720">
        <w:rPr>
          <w:rFonts w:eastAsia="仿宋_GB2312"/>
          <w:sz w:val="32"/>
          <w:szCs w:val="32"/>
        </w:rPr>
        <w:t>临床试验结果的统计分析</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临床试验结果一般以四格表的形式进行总结，并据此计算试验体外诊断试剂与临床参考标准比较时的灵敏度和特异度及其</w:t>
      </w:r>
      <w:r w:rsidRPr="007E6720">
        <w:rPr>
          <w:rFonts w:eastAsia="仿宋_GB2312"/>
          <w:sz w:val="32"/>
          <w:szCs w:val="32"/>
        </w:rPr>
        <w:t>95%</w:t>
      </w:r>
      <w:r w:rsidRPr="007E6720">
        <w:rPr>
          <w:rFonts w:eastAsia="仿宋_GB2312"/>
          <w:sz w:val="32"/>
          <w:szCs w:val="32"/>
        </w:rPr>
        <w:t>置信区间，或与对比方法</w:t>
      </w:r>
      <w:r w:rsidRPr="007E6720">
        <w:rPr>
          <w:rFonts w:eastAsia="仿宋_GB2312"/>
          <w:sz w:val="32"/>
          <w:szCs w:val="32"/>
        </w:rPr>
        <w:t>/</w:t>
      </w:r>
      <w:r w:rsidRPr="007E6720">
        <w:rPr>
          <w:rFonts w:eastAsia="仿宋_GB2312"/>
          <w:sz w:val="32"/>
          <w:szCs w:val="32"/>
        </w:rPr>
        <w:t>试剂比较时的阳性</w:t>
      </w:r>
      <w:r w:rsidRPr="007E6720">
        <w:rPr>
          <w:rFonts w:eastAsia="仿宋_GB2312"/>
          <w:sz w:val="32"/>
          <w:szCs w:val="32"/>
        </w:rPr>
        <w:t>/</w:t>
      </w:r>
      <w:r w:rsidRPr="007E6720">
        <w:rPr>
          <w:rFonts w:eastAsia="仿宋_GB2312"/>
          <w:sz w:val="32"/>
          <w:szCs w:val="32"/>
        </w:rPr>
        <w:t>阴性符合率及其</w:t>
      </w:r>
      <w:r w:rsidRPr="007E6720">
        <w:rPr>
          <w:rFonts w:eastAsia="仿宋_GB2312"/>
          <w:sz w:val="32"/>
          <w:szCs w:val="32"/>
        </w:rPr>
        <w:t>95%</w:t>
      </w:r>
      <w:r w:rsidRPr="007E6720">
        <w:rPr>
          <w:rFonts w:eastAsia="仿宋_GB2312"/>
          <w:sz w:val="32"/>
          <w:szCs w:val="32"/>
        </w:rPr>
        <w:t>置信区间。应将试验体外诊断试剂检测结果与临床参考标准的一致性、试验体外诊断试剂与对比方法</w:t>
      </w:r>
      <w:r w:rsidRPr="007E6720">
        <w:rPr>
          <w:rFonts w:eastAsia="仿宋_GB2312"/>
          <w:sz w:val="32"/>
          <w:szCs w:val="32"/>
        </w:rPr>
        <w:t>/</w:t>
      </w:r>
      <w:r w:rsidRPr="007E6720">
        <w:rPr>
          <w:rFonts w:eastAsia="仿宋_GB2312"/>
          <w:sz w:val="32"/>
          <w:szCs w:val="32"/>
        </w:rPr>
        <w:t>试剂检测结果一致性分别进行统计分析。</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临床试验报告中应对入组受试者的基本情况进行分析，包括受试者年龄、性别的分布情况，以及临床诊断背景等，确认入组样本具有较好的代表性。</w:t>
      </w:r>
      <w:bookmarkStart w:id="5" w:name="OLE_LINK26"/>
      <w:bookmarkStart w:id="6" w:name="OLE_LINK25"/>
    </w:p>
    <w:bookmarkEnd w:id="5"/>
    <w:bookmarkEnd w:id="6"/>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临床试验中所有不一致结果均应结合患者的流行病学背景、临床症状、临床诊断以及疾病治疗、转归等信息进行充分的分析。临床试验结果应能够证明产品临床性能满足临床要求。</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 xml:space="preserve">7. </w:t>
      </w:r>
      <w:r w:rsidRPr="007E6720">
        <w:rPr>
          <w:rFonts w:eastAsia="仿宋_GB2312"/>
          <w:sz w:val="32"/>
          <w:szCs w:val="32"/>
        </w:rPr>
        <w:t>境外临床试验数据的认可</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境外临床试验数据应符合《接受医疗器械境外临床试验数据技术指导原则》和《使用体外诊断试剂境外临床试验数据的注册审查指导原则》的相关要求。提交完整的临床试验方案、报</w:t>
      </w:r>
      <w:r w:rsidRPr="007E6720">
        <w:rPr>
          <w:rFonts w:eastAsia="仿宋_GB2312"/>
          <w:sz w:val="32"/>
          <w:szCs w:val="32"/>
        </w:rPr>
        <w:lastRenderedPageBreak/>
        <w:t>告和伦理审查意见，以及该数据适用于中国患者人群的论证资料、境内外临床试验质量管理差异的对比资料和临床试验质量管理差异对于临床试验结果影响的论证资料。</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注册申请人应根据上述临床试验技术审评要求，论证境外临床试验数据的充分性。</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 xml:space="preserve">8. </w:t>
      </w:r>
      <w:r w:rsidRPr="007E6720">
        <w:rPr>
          <w:rFonts w:eastAsia="仿宋_GB2312"/>
          <w:sz w:val="32"/>
          <w:szCs w:val="32"/>
        </w:rPr>
        <w:t>临床证据的形式要求</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申请人应按照《体外诊断试剂注册与备案管理办法》《关于公布体外诊断试剂注册申报资料要求和批准证明文件格式的公告》等法规文件要求提交各机构伦理审查意见、临床试验方案、临床试验小结、临床试验报告以及临床试验数据库。</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临床试验数据汇总表作为临床试验小结的附件提交。数据表中应包括检测病例的编号、年龄、性别、样本类型、临床诊断背景信息、试验体外诊断试剂检测结果（含各基因的</w:t>
      </w:r>
      <w:r w:rsidRPr="007E6720">
        <w:rPr>
          <w:rFonts w:eastAsia="仿宋_GB2312"/>
          <w:sz w:val="32"/>
          <w:szCs w:val="32"/>
        </w:rPr>
        <w:t>Ct</w:t>
      </w:r>
      <w:r w:rsidRPr="007E6720">
        <w:rPr>
          <w:rFonts w:eastAsia="仿宋_GB2312"/>
          <w:sz w:val="32"/>
          <w:szCs w:val="32"/>
        </w:rPr>
        <w:t>值）、对比方法</w:t>
      </w:r>
      <w:r w:rsidRPr="007E6720">
        <w:rPr>
          <w:rFonts w:eastAsia="仿宋_GB2312"/>
          <w:sz w:val="32"/>
          <w:szCs w:val="32"/>
        </w:rPr>
        <w:t>/</w:t>
      </w:r>
      <w:r w:rsidRPr="007E6720">
        <w:rPr>
          <w:rFonts w:eastAsia="仿宋_GB2312"/>
          <w:sz w:val="32"/>
          <w:szCs w:val="32"/>
        </w:rPr>
        <w:t>试剂的检测结果（各基因的</w:t>
      </w:r>
      <w:r w:rsidRPr="007E6720">
        <w:rPr>
          <w:rFonts w:eastAsia="仿宋_GB2312"/>
          <w:sz w:val="32"/>
          <w:szCs w:val="32"/>
        </w:rPr>
        <w:t>Ct</w:t>
      </w:r>
      <w:r w:rsidRPr="007E6720">
        <w:rPr>
          <w:rFonts w:eastAsia="仿宋_GB2312"/>
          <w:sz w:val="32"/>
          <w:szCs w:val="32"/>
        </w:rPr>
        <w:t>值）和临床诊断结果等。临床应用的数据集中每一病例编号应能够溯源。</w:t>
      </w:r>
    </w:p>
    <w:p w:rsidR="00762F1C" w:rsidRPr="007E6720" w:rsidRDefault="00762F1C" w:rsidP="007E6720">
      <w:pPr>
        <w:spacing w:line="560" w:lineRule="exact"/>
        <w:ind w:firstLineChars="200" w:firstLine="640"/>
        <w:rPr>
          <w:rFonts w:eastAsia="楷体"/>
          <w:color w:val="000000"/>
          <w:sz w:val="32"/>
          <w:szCs w:val="32"/>
        </w:rPr>
      </w:pPr>
      <w:r w:rsidRPr="007E6720">
        <w:rPr>
          <w:rFonts w:eastAsia="楷体"/>
          <w:color w:val="000000"/>
          <w:sz w:val="32"/>
          <w:szCs w:val="32"/>
        </w:rPr>
        <w:t>（六）产品说明书</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产品说明书格式应满足《体外诊断试剂说明书编写指导原则》的要求。产品说明书中技术内容应与注册申报资料中的相关研究结果保持一致，如某些内容引用自参考文献，应以规范格式进行标注，并单独列明文献的相关信息。其中，有关说明书的【预期用途】建议如下：</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本试剂盒用于体外定性检测基孔肯雅热病疑似病例、其他需要进行基孔肯雅热感染诊断或鉴别诊断者的</w:t>
      </w:r>
      <w:r w:rsidRPr="007E6720">
        <w:rPr>
          <w:rFonts w:eastAsia="仿宋_GB2312"/>
          <w:sz w:val="32"/>
          <w:szCs w:val="32"/>
        </w:rPr>
        <w:t>xx</w:t>
      </w:r>
      <w:r w:rsidRPr="007E6720">
        <w:rPr>
          <w:rFonts w:eastAsia="仿宋_GB2312"/>
          <w:sz w:val="32"/>
          <w:szCs w:val="32"/>
        </w:rPr>
        <w:t>样本中基孔肯</w:t>
      </w:r>
      <w:r w:rsidRPr="007E6720">
        <w:rPr>
          <w:rFonts w:eastAsia="仿宋_GB2312"/>
          <w:sz w:val="32"/>
          <w:szCs w:val="32"/>
        </w:rPr>
        <w:lastRenderedPageBreak/>
        <w:t>雅病毒核酸。</w:t>
      </w:r>
    </w:p>
    <w:p w:rsidR="00762F1C" w:rsidRPr="007E6720" w:rsidRDefault="00762F1C" w:rsidP="007E6720">
      <w:pPr>
        <w:spacing w:line="560" w:lineRule="exact"/>
        <w:rPr>
          <w:rFonts w:eastAsia="仿宋_GB2312"/>
          <w:sz w:val="32"/>
          <w:szCs w:val="32"/>
        </w:rPr>
      </w:pPr>
      <w:r w:rsidRPr="007E6720">
        <w:rPr>
          <w:rFonts w:eastAsia="仿宋_GB2312"/>
          <w:sz w:val="32"/>
          <w:szCs w:val="32"/>
        </w:rPr>
        <w:t xml:space="preserve">　　有关</w:t>
      </w:r>
      <w:r w:rsidRPr="007E6720">
        <w:rPr>
          <w:rFonts w:eastAsia="仿宋_GB2312"/>
          <w:sz w:val="32"/>
          <w:szCs w:val="32"/>
        </w:rPr>
        <w:t>“</w:t>
      </w:r>
      <w:r w:rsidRPr="007E6720">
        <w:rPr>
          <w:rFonts w:eastAsia="仿宋_GB2312"/>
          <w:sz w:val="32"/>
          <w:szCs w:val="32"/>
        </w:rPr>
        <w:t>疑似病例</w:t>
      </w:r>
      <w:r w:rsidRPr="007E6720">
        <w:rPr>
          <w:rFonts w:eastAsia="仿宋_GB2312"/>
          <w:sz w:val="32"/>
          <w:szCs w:val="32"/>
        </w:rPr>
        <w:t>”</w:t>
      </w:r>
      <w:r w:rsidRPr="007E6720">
        <w:rPr>
          <w:rFonts w:eastAsia="仿宋_GB2312"/>
          <w:sz w:val="32"/>
          <w:szCs w:val="32"/>
        </w:rPr>
        <w:t>等人群的定义参照《基孔肯雅热防控技术指南》等文件执行。</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该产品在使用上应当遵守《基孔肯雅热防控技术指南》等文件的相关要求。</w:t>
      </w:r>
    </w:p>
    <w:p w:rsidR="00762F1C" w:rsidRPr="007E6720" w:rsidRDefault="00762F1C" w:rsidP="007E6720">
      <w:pPr>
        <w:spacing w:line="560" w:lineRule="exact"/>
        <w:ind w:firstLineChars="200" w:firstLine="640"/>
        <w:rPr>
          <w:rFonts w:eastAsia="仿宋_GB2312"/>
          <w:sz w:val="32"/>
          <w:szCs w:val="32"/>
        </w:rPr>
      </w:pPr>
      <w:r w:rsidRPr="007E6720">
        <w:rPr>
          <w:rFonts w:eastAsia="仿宋_GB2312"/>
          <w:sz w:val="32"/>
          <w:szCs w:val="32"/>
        </w:rPr>
        <w:t>开展基孔肯雅病毒核酸检测，应符合《基孔肯雅热防控技术指南》等的要求，做好生物安全工作。</w:t>
      </w:r>
    </w:p>
    <w:p w:rsidR="00762F1C" w:rsidRPr="007E6720" w:rsidRDefault="00762F1C" w:rsidP="007E6720">
      <w:pPr>
        <w:snapToGrid w:val="0"/>
        <w:spacing w:line="560" w:lineRule="exact"/>
        <w:ind w:firstLineChars="200" w:firstLine="640"/>
        <w:rPr>
          <w:rFonts w:eastAsia="仿宋_GB2312"/>
          <w:sz w:val="32"/>
          <w:szCs w:val="32"/>
        </w:rPr>
      </w:pPr>
      <w:r w:rsidRPr="007E6720">
        <w:rPr>
          <w:rFonts w:eastAsia="仿宋_GB2312"/>
          <w:sz w:val="32"/>
          <w:szCs w:val="32"/>
        </w:rPr>
        <w:t>本试剂盒检测结果仅供临床参考，不得作为临床诊断的唯一标准。建议结合患者临床表现和其他实验室检测对病情进行综合分析。</w:t>
      </w:r>
    </w:p>
    <w:p w:rsidR="007E6720" w:rsidRDefault="007E6720" w:rsidP="004871DF">
      <w:pPr>
        <w:overflowPunct w:val="0"/>
        <w:spacing w:line="500" w:lineRule="exact"/>
        <w:rPr>
          <w:rFonts w:eastAsia="仿宋_GB2312"/>
          <w:color w:val="000000"/>
          <w:sz w:val="32"/>
          <w:szCs w:val="32"/>
        </w:rPr>
      </w:pPr>
      <w:bookmarkStart w:id="7" w:name="_GoBack"/>
      <w:bookmarkEnd w:id="7"/>
    </w:p>
    <w:sectPr w:rsidR="007E6720" w:rsidSect="0060713A">
      <w:headerReference w:type="even" r:id="rId10"/>
      <w:headerReference w:type="default" r:id="rId11"/>
      <w:footerReference w:type="even" r:id="rId12"/>
      <w:footerReference w:type="default" r:id="rId13"/>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59F" w:rsidRDefault="0085559F" w:rsidP="003079E8">
      <w:r>
        <w:separator/>
      </w:r>
    </w:p>
  </w:endnote>
  <w:endnote w:type="continuationSeparator" w:id="0">
    <w:p w:rsidR="0085559F" w:rsidRDefault="0085559F"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Arial Unicode MS">
    <w:panose1 w:val="020B0604020202020204"/>
    <w:charset w:val="00"/>
    <w:family w:val="roman"/>
    <w:pitch w:val="variable"/>
    <w:sig w:usb0="00000003" w:usb1="00000000" w:usb2="00000000" w:usb3="00000000" w:csb0="00000001" w:csb1="00000000"/>
  </w:font>
  <w:font w:name="方正小标宋_GBK">
    <w:altName w:val="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85559F"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00636A29" w:rsidRPr="00636A29">
          <w:rPr>
            <w:rFonts w:ascii="Times New Roman" w:hAnsi="Times New Roman" w:cs="Times New Roman"/>
            <w:noProof/>
            <w:sz w:val="28"/>
            <w:szCs w:val="28"/>
            <w:lang w:val="zh-CN"/>
          </w:rPr>
          <w:t>12</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636A29" w:rsidRPr="00636A29">
          <w:rPr>
            <w:rFonts w:ascii="Times New Roman" w:hAnsi="Times New Roman" w:cs="Times New Roman"/>
            <w:noProof/>
            <w:sz w:val="28"/>
            <w:szCs w:val="28"/>
            <w:lang w:val="zh-CN"/>
          </w:rPr>
          <w:t>13</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59F" w:rsidRDefault="0085559F" w:rsidP="003079E8">
      <w:r>
        <w:separator/>
      </w:r>
    </w:p>
  </w:footnote>
  <w:footnote w:type="continuationSeparator" w:id="0">
    <w:p w:rsidR="0085559F" w:rsidRDefault="0085559F" w:rsidP="0030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6" w15:restartNumberingAfterBreak="0">
    <w:nsid w:val="7F662D84"/>
    <w:multiLevelType w:val="singleLevel"/>
    <w:tmpl w:val="7F662D84"/>
    <w:lvl w:ilvl="0">
      <w:start w:val="10"/>
      <w:numFmt w:val="decimal"/>
      <w:lvlText w:val="%1."/>
      <w:lvlJc w:val="left"/>
      <w:pPr>
        <w:tabs>
          <w:tab w:val="left" w:pos="312"/>
        </w:tabs>
      </w:pPr>
    </w:lvl>
  </w:abstractNum>
  <w:abstractNum w:abstractNumId="17"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7"/>
  </w:num>
  <w:num w:numId="2">
    <w:abstractNumId w:val="15"/>
  </w:num>
  <w:num w:numId="3">
    <w:abstractNumId w:val="3"/>
  </w:num>
  <w:num w:numId="4">
    <w:abstractNumId w:val="16"/>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D32E0"/>
    <w:rsid w:val="000D4E34"/>
    <w:rsid w:val="00106A9D"/>
    <w:rsid w:val="00114E64"/>
    <w:rsid w:val="00122FBD"/>
    <w:rsid w:val="00134ED0"/>
    <w:rsid w:val="00137012"/>
    <w:rsid w:val="00141273"/>
    <w:rsid w:val="00150E66"/>
    <w:rsid w:val="00151932"/>
    <w:rsid w:val="00184973"/>
    <w:rsid w:val="00191F7A"/>
    <w:rsid w:val="001A4F78"/>
    <w:rsid w:val="001A70F6"/>
    <w:rsid w:val="001B78C4"/>
    <w:rsid w:val="001C4F2E"/>
    <w:rsid w:val="001D11D9"/>
    <w:rsid w:val="001D1A12"/>
    <w:rsid w:val="001F0DF0"/>
    <w:rsid w:val="001F1046"/>
    <w:rsid w:val="001F6B8E"/>
    <w:rsid w:val="00201F93"/>
    <w:rsid w:val="002062EA"/>
    <w:rsid w:val="00217E23"/>
    <w:rsid w:val="00217F03"/>
    <w:rsid w:val="00222BB7"/>
    <w:rsid w:val="00230AE5"/>
    <w:rsid w:val="00244D02"/>
    <w:rsid w:val="00252B40"/>
    <w:rsid w:val="002548F3"/>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067A3"/>
    <w:rsid w:val="00412EF1"/>
    <w:rsid w:val="004150EE"/>
    <w:rsid w:val="0041585F"/>
    <w:rsid w:val="00417976"/>
    <w:rsid w:val="004214A4"/>
    <w:rsid w:val="004246F2"/>
    <w:rsid w:val="00436D1B"/>
    <w:rsid w:val="004627AE"/>
    <w:rsid w:val="00480C25"/>
    <w:rsid w:val="00482972"/>
    <w:rsid w:val="00483ECD"/>
    <w:rsid w:val="004871DF"/>
    <w:rsid w:val="00494D22"/>
    <w:rsid w:val="004A31E1"/>
    <w:rsid w:val="004A429D"/>
    <w:rsid w:val="004B1017"/>
    <w:rsid w:val="004F2884"/>
    <w:rsid w:val="004F486F"/>
    <w:rsid w:val="005040E6"/>
    <w:rsid w:val="00507CB6"/>
    <w:rsid w:val="00510DB3"/>
    <w:rsid w:val="00580051"/>
    <w:rsid w:val="005C6177"/>
    <w:rsid w:val="005D5360"/>
    <w:rsid w:val="005D5874"/>
    <w:rsid w:val="005D71E7"/>
    <w:rsid w:val="0060513F"/>
    <w:rsid w:val="0060713A"/>
    <w:rsid w:val="00615B40"/>
    <w:rsid w:val="0061625D"/>
    <w:rsid w:val="00616661"/>
    <w:rsid w:val="00617194"/>
    <w:rsid w:val="0063084F"/>
    <w:rsid w:val="00631AA9"/>
    <w:rsid w:val="00635BFE"/>
    <w:rsid w:val="00636A29"/>
    <w:rsid w:val="006376F5"/>
    <w:rsid w:val="00640B84"/>
    <w:rsid w:val="00641D70"/>
    <w:rsid w:val="006515C5"/>
    <w:rsid w:val="00651DCB"/>
    <w:rsid w:val="00664817"/>
    <w:rsid w:val="0066775D"/>
    <w:rsid w:val="00690E61"/>
    <w:rsid w:val="006C0F4B"/>
    <w:rsid w:val="006E697B"/>
    <w:rsid w:val="00710650"/>
    <w:rsid w:val="007459D2"/>
    <w:rsid w:val="00745B62"/>
    <w:rsid w:val="00762F1C"/>
    <w:rsid w:val="0078788F"/>
    <w:rsid w:val="0079267F"/>
    <w:rsid w:val="007A5573"/>
    <w:rsid w:val="007A7B0C"/>
    <w:rsid w:val="007B226A"/>
    <w:rsid w:val="007E6720"/>
    <w:rsid w:val="00803E88"/>
    <w:rsid w:val="00807022"/>
    <w:rsid w:val="00814D41"/>
    <w:rsid w:val="00821123"/>
    <w:rsid w:val="00822C26"/>
    <w:rsid w:val="00822C68"/>
    <w:rsid w:val="00827ED2"/>
    <w:rsid w:val="00831214"/>
    <w:rsid w:val="00844620"/>
    <w:rsid w:val="0085559F"/>
    <w:rsid w:val="00857E8D"/>
    <w:rsid w:val="00860D78"/>
    <w:rsid w:val="00866BF0"/>
    <w:rsid w:val="00875AE8"/>
    <w:rsid w:val="00894CA1"/>
    <w:rsid w:val="008A50D5"/>
    <w:rsid w:val="008A7314"/>
    <w:rsid w:val="008C7889"/>
    <w:rsid w:val="008D589E"/>
    <w:rsid w:val="008E64B6"/>
    <w:rsid w:val="009061D8"/>
    <w:rsid w:val="00962F71"/>
    <w:rsid w:val="00985E9C"/>
    <w:rsid w:val="0099578F"/>
    <w:rsid w:val="009C0679"/>
    <w:rsid w:val="009C7F29"/>
    <w:rsid w:val="009D2C2D"/>
    <w:rsid w:val="009D751B"/>
    <w:rsid w:val="009E0C86"/>
    <w:rsid w:val="009F46C1"/>
    <w:rsid w:val="00A16C43"/>
    <w:rsid w:val="00A21DA8"/>
    <w:rsid w:val="00A346B7"/>
    <w:rsid w:val="00A650B1"/>
    <w:rsid w:val="00A81F0C"/>
    <w:rsid w:val="00AA7E86"/>
    <w:rsid w:val="00AF37DC"/>
    <w:rsid w:val="00B2671F"/>
    <w:rsid w:val="00B2724F"/>
    <w:rsid w:val="00B27B9C"/>
    <w:rsid w:val="00B35B77"/>
    <w:rsid w:val="00B52670"/>
    <w:rsid w:val="00B539BD"/>
    <w:rsid w:val="00B61E5F"/>
    <w:rsid w:val="00B7255B"/>
    <w:rsid w:val="00BB26D7"/>
    <w:rsid w:val="00BD3433"/>
    <w:rsid w:val="00BD5BB8"/>
    <w:rsid w:val="00BE6AAA"/>
    <w:rsid w:val="00BF33A6"/>
    <w:rsid w:val="00C10FD2"/>
    <w:rsid w:val="00C25443"/>
    <w:rsid w:val="00C421D8"/>
    <w:rsid w:val="00C77C14"/>
    <w:rsid w:val="00CA15D0"/>
    <w:rsid w:val="00CB40F3"/>
    <w:rsid w:val="00CC15CF"/>
    <w:rsid w:val="00CC7810"/>
    <w:rsid w:val="00CD7359"/>
    <w:rsid w:val="00CE7716"/>
    <w:rsid w:val="00CF3E07"/>
    <w:rsid w:val="00D0654B"/>
    <w:rsid w:val="00D2114A"/>
    <w:rsid w:val="00D22218"/>
    <w:rsid w:val="00D31360"/>
    <w:rsid w:val="00D364F7"/>
    <w:rsid w:val="00D57B53"/>
    <w:rsid w:val="00D9244F"/>
    <w:rsid w:val="00D941BF"/>
    <w:rsid w:val="00D96564"/>
    <w:rsid w:val="00DA3197"/>
    <w:rsid w:val="00DB285C"/>
    <w:rsid w:val="00DB63E0"/>
    <w:rsid w:val="00DC2A13"/>
    <w:rsid w:val="00DE4529"/>
    <w:rsid w:val="00DF1104"/>
    <w:rsid w:val="00DF487B"/>
    <w:rsid w:val="00DF6A15"/>
    <w:rsid w:val="00E1589F"/>
    <w:rsid w:val="00E2148D"/>
    <w:rsid w:val="00E42413"/>
    <w:rsid w:val="00E84CB3"/>
    <w:rsid w:val="00E917E5"/>
    <w:rsid w:val="00EC5105"/>
    <w:rsid w:val="00F017EC"/>
    <w:rsid w:val="00F1084F"/>
    <w:rsid w:val="00F30FB1"/>
    <w:rsid w:val="00F31C51"/>
    <w:rsid w:val="00F32980"/>
    <w:rsid w:val="00F44E8C"/>
    <w:rsid w:val="00F82827"/>
    <w:rsid w:val="00F83687"/>
    <w:rsid w:val="00F83D79"/>
    <w:rsid w:val="00F91F4F"/>
    <w:rsid w:val="00FA53B8"/>
    <w:rsid w:val="00FA576D"/>
    <w:rsid w:val="00FE498C"/>
    <w:rsid w:val="00FE4E41"/>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E7189"/>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iPriority w:val="99"/>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99"/>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nhideWhenUsed/>
    <w:qFormat/>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unhideWhenUsed/>
    <w:qFormat/>
    <w:rsid w:val="002D5575"/>
    <w:rPr>
      <w:vertAlign w:val="superscript"/>
    </w:rPr>
  </w:style>
  <w:style w:type="character" w:styleId="aff0">
    <w:name w:val="Hyperlink"/>
    <w:basedOn w:val="a0"/>
    <w:qFormat/>
    <w:rsid w:val="004067A3"/>
    <w:rPr>
      <w:color w:val="0000FF"/>
      <w:u w:val="single"/>
    </w:rPr>
  </w:style>
  <w:style w:type="character" w:customStyle="1" w:styleId="aff1">
    <w:name w:val="无"/>
    <w:rsid w:val="00762F1C"/>
  </w:style>
  <w:style w:type="paragraph" w:customStyle="1" w:styleId="Aff2">
    <w:name w:val="正文 A"/>
    <w:rsid w:val="00762F1C"/>
    <w:pPr>
      <w:widowControl w:val="0"/>
      <w:jc w:val="both"/>
    </w:pPr>
    <w:rPr>
      <w:rFonts w:ascii="Times New Roman" w:eastAsia="Arial Unicode MS" w:hAnsi="Times New Roman" w:cs="Arial Unicode MS"/>
      <w:color w:val="000000"/>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de.org.cn/directory/web/WS01/images/0r3Bxsb30LWy+sa3vLzK9dKqxOx4NC01ri1vNSt1PKjqDIwMjLE6rXaOLrFo6kuZG9j.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59B03-AEEC-4E68-BBA1-C3156CD31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947</Words>
  <Characters>5402</Characters>
  <Application>Microsoft Office Word</Application>
  <DocSecurity>0</DocSecurity>
  <Lines>45</Lines>
  <Paragraphs>12</Paragraphs>
  <ScaleCrop>false</ScaleCrop>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2025-08-28T00:48:00Z</cp:lastPrinted>
  <dcterms:created xsi:type="dcterms:W3CDTF">2025-08-28T00:40:00Z</dcterms:created>
  <dcterms:modified xsi:type="dcterms:W3CDTF">2025-08-28T05:52:00Z</dcterms:modified>
</cp:coreProperties>
</file>