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28B6F">
      <w:pPr>
        <w:pStyle w:val="3"/>
        <w:rPr>
          <w:rFonts w:hint="default"/>
          <w:color w:val="auto"/>
          <w:u w:val="none" w:color="auto"/>
          <w:lang w:val="en-US" w:eastAsia="zh-CN"/>
        </w:rPr>
      </w:pPr>
    </w:p>
    <w:p w14:paraId="3A3D9FB6">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i w:val="0"/>
          <w:caps w:val="0"/>
          <w:color w:val="auto"/>
          <w:spacing w:val="0"/>
          <w:kern w:val="0"/>
          <w:sz w:val="44"/>
          <w:szCs w:val="44"/>
          <w:u w:val="none" w:color="auto"/>
          <w:shd w:val="clear" w:fill="FFFFFF"/>
          <w:lang w:val="en-US" w:eastAsia="zh-CN" w:bidi="ar"/>
        </w:rPr>
      </w:pPr>
    </w:p>
    <w:p w14:paraId="7A137EC0">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i w:val="0"/>
          <w:caps w:val="0"/>
          <w:color w:val="auto"/>
          <w:spacing w:val="0"/>
          <w:kern w:val="0"/>
          <w:sz w:val="44"/>
          <w:szCs w:val="44"/>
          <w:u w:val="none" w:color="auto"/>
          <w:shd w:val="clear" w:fill="FFFFFF"/>
          <w:lang w:val="en-US" w:eastAsia="zh-CN" w:bidi="ar"/>
        </w:rPr>
      </w:pPr>
    </w:p>
    <w:p w14:paraId="04B5F651">
      <w:pPr>
        <w:pStyle w:val="3"/>
        <w:jc w:val="center"/>
        <w:rPr>
          <w:rFonts w:hint="default" w:ascii="Times New Roman" w:hAnsi="Times New Roman" w:eastAsia="方正小标宋简体" w:cs="Times New Roman"/>
          <w:color w:val="auto"/>
          <w:sz w:val="44"/>
          <w:szCs w:val="44"/>
          <w:lang w:eastAsia="zh-CN"/>
        </w:rPr>
      </w:pPr>
      <w:r>
        <w:rPr>
          <w:rFonts w:hint="eastAsia" w:ascii="方正小标宋简体" w:hAnsi="方正小标宋简体" w:eastAsia="方正小标宋简体" w:cs="方正小标宋简体"/>
          <w:i w:val="0"/>
          <w:caps w:val="0"/>
          <w:color w:val="auto"/>
          <w:spacing w:val="0"/>
          <w:kern w:val="0"/>
          <w:sz w:val="44"/>
          <w:szCs w:val="44"/>
          <w:u w:val="none" w:color="auto"/>
          <w:shd w:val="clear" w:fill="FFFFFF"/>
          <w:lang w:val="en-US" w:eastAsia="zh-CN" w:bidi="ar"/>
        </w:rPr>
        <w:t>河北省长期护理保险失能等级评估机构定点管理实施细则（试行）</w:t>
      </w:r>
    </w:p>
    <w:p w14:paraId="1EC9BCC9">
      <w:pPr>
        <w:pStyle w:val="3"/>
        <w:jc w:val="center"/>
        <w:rPr>
          <w:rFonts w:hint="eastAsia"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w:t>
      </w:r>
      <w:r>
        <w:rPr>
          <w:rFonts w:hint="default" w:ascii="Times New Roman" w:hAnsi="Times New Roman" w:eastAsia="方正小标宋简体" w:cs="Times New Roman"/>
          <w:color w:val="auto"/>
          <w:sz w:val="44"/>
          <w:szCs w:val="44"/>
        </w:rPr>
        <w:t>征求意见稿</w:t>
      </w:r>
      <w:r>
        <w:rPr>
          <w:rFonts w:hint="default" w:ascii="Times New Roman" w:hAnsi="Times New Roman" w:eastAsia="方正小标宋简体" w:cs="Times New Roman"/>
          <w:color w:val="auto"/>
          <w:sz w:val="44"/>
          <w:szCs w:val="44"/>
          <w:lang w:eastAsia="zh-CN"/>
        </w:rPr>
        <w:t>）</w:t>
      </w:r>
    </w:p>
    <w:p w14:paraId="605E620C">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eastAsia" w:ascii="仿宋_GB2312" w:hAnsi="仿宋_GB2312" w:eastAsia="仿宋_GB2312" w:cs="仿宋_GB2312"/>
          <w:i w:val="0"/>
          <w:caps w:val="0"/>
          <w:color w:val="auto"/>
          <w:spacing w:val="0"/>
          <w:kern w:val="0"/>
          <w:sz w:val="32"/>
          <w:szCs w:val="32"/>
          <w:u w:val="none" w:color="auto"/>
          <w:shd w:val="clear" w:fill="FFFFFF"/>
          <w:lang w:val="en-US" w:eastAsia="zh-CN" w:bidi="ar"/>
        </w:rPr>
      </w:pPr>
    </w:p>
    <w:p w14:paraId="376330EC">
      <w:pPr>
        <w:pStyle w:val="3"/>
        <w:jc w:val="center"/>
        <w:rPr>
          <w:rFonts w:hint="eastAsia" w:ascii="黑体" w:hAnsi="黑体" w:eastAsia="黑体" w:cs="黑体"/>
          <w:color w:val="auto"/>
          <w:kern w:val="0"/>
          <w:sz w:val="32"/>
          <w:szCs w:val="32"/>
          <w:u w:val="none" w:color="auto"/>
          <w:shd w:val="clear" w:fill="FFFFFF"/>
          <w:lang w:bidi="ar"/>
        </w:rPr>
      </w:pPr>
      <w:r>
        <w:rPr>
          <w:rFonts w:hint="eastAsia" w:ascii="黑体" w:hAnsi="黑体" w:eastAsia="黑体" w:cs="黑体"/>
          <w:color w:val="auto"/>
          <w:kern w:val="0"/>
          <w:sz w:val="32"/>
          <w:szCs w:val="32"/>
          <w:u w:val="none" w:color="auto"/>
          <w:shd w:val="clear" w:fill="FFFFFF"/>
          <w:lang w:val="en-US" w:eastAsia="zh-CN" w:bidi="ar"/>
        </w:rPr>
        <w:t>第一章  总则</w:t>
      </w:r>
    </w:p>
    <w:p w14:paraId="26D506FA">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u w:val="none" w:color="auto"/>
          <w:shd w:val="clear" w:fill="FFFFFF"/>
          <w:lang w:val="en-US" w:eastAsia="zh-CN" w:bidi="ar"/>
        </w:rPr>
      </w:pPr>
    </w:p>
    <w:p w14:paraId="77CE631B">
      <w:pPr>
        <w:pStyle w:val="3"/>
        <w:ind w:firstLine="640" w:firstLineChars="200"/>
        <w:rPr>
          <w:rFonts w:hint="eastAsia" w:ascii="仿宋_GB2312" w:hAnsi="仿宋_GB2312" w:eastAsia="仿宋_GB2312" w:cs="仿宋_GB2312"/>
          <w:i w:val="0"/>
          <w:caps w:val="0"/>
          <w:color w:val="auto"/>
          <w:spacing w:val="0"/>
          <w:kern w:val="0"/>
          <w:sz w:val="32"/>
          <w:szCs w:val="32"/>
          <w:u w:val="none" w:color="auto"/>
          <w:shd w:val="clear" w:fill="FFFFFF"/>
        </w:rPr>
      </w:pPr>
      <w:r>
        <w:rPr>
          <w:rFonts w:hint="eastAsia" w:ascii="黑体" w:hAnsi="黑体" w:eastAsia="黑体" w:cs="黑体"/>
          <w:i w:val="0"/>
          <w:caps w:val="0"/>
          <w:color w:val="auto"/>
          <w:spacing w:val="0"/>
          <w:kern w:val="0"/>
          <w:sz w:val="32"/>
          <w:szCs w:val="32"/>
          <w:u w:val="none" w:color="auto"/>
          <w:shd w:val="clear" w:fill="FFFFFF"/>
          <w:lang w:val="en-US" w:eastAsia="zh-CN" w:bidi="ar"/>
        </w:rPr>
        <w:t>第一条</w:t>
      </w:r>
      <w:r>
        <w:rPr>
          <w:rFonts w:hint="eastAsia" w:ascii="仿宋_GB2312" w:hAnsi="仿宋_GB2312" w:eastAsia="仿宋_GB2312" w:cs="仿宋_GB2312"/>
          <w:i w:val="0"/>
          <w:caps w:val="0"/>
          <w:color w:val="auto"/>
          <w:spacing w:val="0"/>
          <w:kern w:val="0"/>
          <w:sz w:val="32"/>
          <w:szCs w:val="32"/>
          <w:u w:val="none" w:color="auto"/>
          <w:shd w:val="clear" w:fill="FFFFFF"/>
          <w:lang w:val="en-US" w:eastAsia="zh-CN" w:bidi="ar"/>
        </w:rPr>
        <w:t xml:space="preserve"> 为规范长期护理保险（以下简称“长护险”）失能等级评估管理，更好保障广大参保人员权益，根据《国家医保局 财政部关于扩大长期护理保险制度试点的指导意见》（医保发〔2020〕37号）、《国家医保局 财政部关于印发〈长期护理保险失能等级评估管理办法〉（试行）的通知》（医保发〔2023〕29号）、《国家医疗保障局关于印发〈长期护理保险失能等级评估机构定点管理办法〉（试行）的通知》（医保发〔2024〕13号）等文件规定，结合我省实际，制定本实施细则。</w:t>
      </w:r>
    </w:p>
    <w:p w14:paraId="398A4C13">
      <w:pPr>
        <w:pStyle w:val="3"/>
        <w:ind w:firstLine="640" w:firstLineChars="200"/>
        <w:rPr>
          <w:rFonts w:hint="eastAsia" w:ascii="仿宋_GB2312" w:hAnsi="仿宋_GB2312" w:eastAsia="仿宋_GB2312" w:cs="仿宋_GB2312"/>
          <w:i w:val="0"/>
          <w:caps w:val="0"/>
          <w:color w:val="auto"/>
          <w:spacing w:val="0"/>
          <w:kern w:val="0"/>
          <w:sz w:val="32"/>
          <w:szCs w:val="32"/>
          <w:u w:val="none" w:color="auto"/>
          <w:shd w:val="clear" w:fill="FFFFFF"/>
          <w:lang w:val="en-US" w:eastAsia="zh-CN" w:bidi="ar"/>
        </w:rPr>
      </w:pPr>
      <w:r>
        <w:rPr>
          <w:rFonts w:hint="eastAsia" w:ascii="黑体" w:hAnsi="黑体" w:eastAsia="黑体" w:cs="黑体"/>
          <w:i w:val="0"/>
          <w:caps w:val="0"/>
          <w:color w:val="auto"/>
          <w:spacing w:val="0"/>
          <w:kern w:val="0"/>
          <w:sz w:val="32"/>
          <w:szCs w:val="32"/>
          <w:u w:val="none" w:color="auto"/>
          <w:shd w:val="clear" w:fill="FFFFFF"/>
          <w:lang w:val="en-US" w:eastAsia="zh-CN" w:bidi="ar"/>
        </w:rPr>
        <w:t>第二条</w:t>
      </w:r>
      <w:r>
        <w:rPr>
          <w:rFonts w:hint="eastAsia" w:ascii="仿宋_GB2312" w:hAnsi="仿宋_GB2312" w:eastAsia="仿宋_GB2312" w:cs="仿宋_GB2312"/>
          <w:i w:val="0"/>
          <w:caps w:val="0"/>
          <w:color w:val="auto"/>
          <w:spacing w:val="0"/>
          <w:kern w:val="0"/>
          <w:sz w:val="32"/>
          <w:szCs w:val="32"/>
          <w:u w:val="none" w:color="auto"/>
          <w:shd w:val="clear" w:fill="FFFFFF"/>
          <w:lang w:val="en-US" w:eastAsia="zh-CN" w:bidi="ar"/>
        </w:rPr>
        <w:t xml:space="preserve"> 本实施细则所称长护险定点评估机构是指纳入统筹区长期护理保险失能等级评估机构定点管理，依照相关规定对长护险参保人员开展等级评估的机构。</w:t>
      </w:r>
    </w:p>
    <w:p w14:paraId="625E9B6A">
      <w:pPr>
        <w:pStyle w:val="3"/>
        <w:ind w:firstLine="640" w:firstLineChars="200"/>
        <w:rPr>
          <w:rFonts w:hint="eastAsia" w:ascii="仿宋_GB2312" w:hAnsi="仿宋_GB2312" w:eastAsia="仿宋_GB2312" w:cs="仿宋_GB2312"/>
          <w:i w:val="0"/>
          <w:caps w:val="0"/>
          <w:color w:val="auto"/>
          <w:spacing w:val="0"/>
          <w:kern w:val="0"/>
          <w:sz w:val="32"/>
          <w:szCs w:val="32"/>
          <w:u w:val="none" w:color="auto"/>
          <w:shd w:val="clear" w:fill="FFFFFF"/>
          <w:lang w:val="en-US" w:eastAsia="zh-CN" w:bidi="ar"/>
        </w:rPr>
      </w:pPr>
      <w:r>
        <w:rPr>
          <w:rFonts w:hint="eastAsia" w:ascii="黑体" w:hAnsi="黑体" w:eastAsia="黑体" w:cs="黑体"/>
          <w:i w:val="0"/>
          <w:caps w:val="0"/>
          <w:color w:val="auto"/>
          <w:spacing w:val="0"/>
          <w:kern w:val="0"/>
          <w:sz w:val="32"/>
          <w:szCs w:val="32"/>
          <w:u w:val="none" w:color="auto"/>
          <w:shd w:val="clear" w:fill="FFFFFF"/>
          <w:lang w:val="en-US" w:eastAsia="zh-CN" w:bidi="ar"/>
        </w:rPr>
        <w:t>第三条</w:t>
      </w:r>
      <w:r>
        <w:rPr>
          <w:rFonts w:hint="eastAsia" w:ascii="仿宋_GB2312" w:hAnsi="仿宋_GB2312" w:eastAsia="仿宋_GB2312" w:cs="仿宋_GB2312"/>
          <w:i w:val="0"/>
          <w:caps w:val="0"/>
          <w:color w:val="auto"/>
          <w:spacing w:val="0"/>
          <w:kern w:val="0"/>
          <w:sz w:val="32"/>
          <w:szCs w:val="32"/>
          <w:u w:val="none" w:color="auto"/>
          <w:shd w:val="clear" w:fill="FFFFFF"/>
          <w:lang w:val="en-US" w:eastAsia="zh-CN" w:bidi="ar"/>
        </w:rPr>
        <w:t xml:space="preserve"> 长护险定点评估机构管理应当遵循公平公正、科学规范、权责明晰、动态调整、高效便民的原则，促进管理规范化、精细化，保障参保人员权益。</w:t>
      </w:r>
    </w:p>
    <w:p w14:paraId="4642E2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黑体" w:hAnsi="黑体" w:eastAsia="黑体" w:cs="黑体"/>
          <w:i w:val="0"/>
          <w:caps w:val="0"/>
          <w:color w:val="auto"/>
          <w:spacing w:val="0"/>
          <w:kern w:val="0"/>
          <w:sz w:val="32"/>
          <w:szCs w:val="32"/>
          <w:u w:val="none" w:color="auto"/>
          <w:shd w:val="clear" w:fill="FFFFFF"/>
          <w:lang w:val="en-US" w:eastAsia="zh-CN" w:bidi="ar"/>
        </w:rPr>
      </w:pPr>
      <w:r>
        <w:rPr>
          <w:rFonts w:hint="eastAsia" w:ascii="黑体" w:hAnsi="黑体" w:eastAsia="黑体" w:cs="黑体"/>
          <w:i w:val="0"/>
          <w:caps w:val="0"/>
          <w:color w:val="auto"/>
          <w:spacing w:val="0"/>
          <w:kern w:val="0"/>
          <w:sz w:val="32"/>
          <w:szCs w:val="32"/>
          <w:u w:val="none" w:color="auto"/>
          <w:shd w:val="clear" w:fill="FFFFFF"/>
          <w:lang w:val="en-US" w:eastAsia="zh-CN" w:bidi="ar"/>
        </w:rPr>
        <w:t>第四条</w:t>
      </w:r>
      <w:r>
        <w:rPr>
          <w:rFonts w:hint="eastAsia" w:ascii="仿宋_GB2312" w:hAnsi="仿宋_GB2312" w:eastAsia="仿宋_GB2312" w:cs="仿宋_GB2312"/>
          <w:i w:val="0"/>
          <w:caps w:val="0"/>
          <w:color w:val="auto"/>
          <w:spacing w:val="0"/>
          <w:kern w:val="0"/>
          <w:sz w:val="32"/>
          <w:szCs w:val="32"/>
          <w:u w:val="none" w:color="auto"/>
          <w:shd w:val="clear" w:fill="FFFFFF"/>
          <w:lang w:val="en-US" w:eastAsia="zh-CN" w:bidi="ar"/>
        </w:rPr>
        <w:t xml:space="preserve"> </w:t>
      </w:r>
      <w:r>
        <w:rPr>
          <w:rFonts w:hint="eastAsia" w:ascii="仿宋_GB2312" w:hAnsi="仿宋_GB2312" w:eastAsia="仿宋_GB2312" w:cs="仿宋_GB2312"/>
          <w:color w:val="auto"/>
          <w:sz w:val="32"/>
          <w:szCs w:val="32"/>
          <w:u w:val="none" w:color="auto"/>
          <w:lang w:val="en-US" w:eastAsia="zh-CN"/>
        </w:rPr>
        <w:t>统筹区医疗保障行政部门综合考虑失能人员总体规模，评估行业发展实际、管理服务能力等，做好定点资源规划，确定本统筹区定点评估机构数量。</w:t>
      </w:r>
    </w:p>
    <w:p w14:paraId="2C04495F">
      <w:pPr>
        <w:pStyle w:val="3"/>
        <w:ind w:firstLine="640" w:firstLineChars="200"/>
        <w:rPr>
          <w:rFonts w:hint="eastAsia" w:ascii="仿宋_GB2312" w:hAnsi="仿宋_GB2312" w:eastAsia="仿宋_GB2312" w:cs="仿宋_GB2312"/>
          <w:i w:val="0"/>
          <w:caps w:val="0"/>
          <w:color w:val="auto"/>
          <w:spacing w:val="0"/>
          <w:kern w:val="0"/>
          <w:sz w:val="32"/>
          <w:szCs w:val="32"/>
          <w:u w:val="none" w:color="auto"/>
          <w:shd w:val="clear" w:fill="FFFFFF"/>
        </w:rPr>
      </w:pPr>
      <w:r>
        <w:rPr>
          <w:rFonts w:hint="eastAsia" w:ascii="黑体" w:hAnsi="黑体" w:eastAsia="黑体" w:cs="黑体"/>
          <w:i w:val="0"/>
          <w:caps w:val="0"/>
          <w:color w:val="auto"/>
          <w:spacing w:val="0"/>
          <w:kern w:val="0"/>
          <w:sz w:val="32"/>
          <w:szCs w:val="32"/>
          <w:u w:val="none" w:color="auto"/>
          <w:shd w:val="clear" w:fill="FFFFFF"/>
          <w:lang w:val="en-US" w:eastAsia="zh-CN" w:bidi="ar"/>
        </w:rPr>
        <w:t>第五条</w:t>
      </w:r>
      <w:r>
        <w:rPr>
          <w:rFonts w:hint="eastAsia" w:ascii="仿宋_GB2312" w:hAnsi="仿宋_GB2312" w:eastAsia="仿宋_GB2312" w:cs="仿宋_GB2312"/>
          <w:i w:val="0"/>
          <w:caps w:val="0"/>
          <w:color w:val="auto"/>
          <w:spacing w:val="0"/>
          <w:kern w:val="0"/>
          <w:sz w:val="32"/>
          <w:szCs w:val="32"/>
          <w:u w:val="none" w:color="auto"/>
          <w:shd w:val="clear" w:fill="FFFFFF"/>
          <w:lang w:val="en-US" w:eastAsia="zh-CN" w:bidi="ar"/>
        </w:rPr>
        <w:t xml:space="preserve"> 统筹地区医疗保障行政部门在申请受理、审核确定、协议订立、协议履行、协议解除等环节对医疗保障经办机构、定点评估机构等有关行为进行监督。统筹地区医疗保障经办机构负责确定定点评估机构，签订服务协议，依评估协议进行管理。长护险定点评估机构准入评估结果实行全省互认。</w:t>
      </w:r>
    </w:p>
    <w:p w14:paraId="0F4067E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right="0" w:firstLine="640" w:firstLineChars="200"/>
        <w:jc w:val="left"/>
        <w:textAlignment w:val="auto"/>
        <w:outlineLvl w:val="9"/>
        <w:rPr>
          <w:rFonts w:hint="eastAsia" w:ascii="黑体" w:hAnsi="黑体" w:eastAsia="黑体" w:cs="黑体"/>
          <w:i w:val="0"/>
          <w:caps w:val="0"/>
          <w:color w:val="auto"/>
          <w:spacing w:val="0"/>
          <w:kern w:val="0"/>
          <w:sz w:val="32"/>
          <w:szCs w:val="32"/>
          <w:u w:val="none" w:color="auto"/>
          <w:shd w:val="clear" w:fill="FFFFFF"/>
          <w:lang w:val="en-US" w:eastAsia="zh-CN" w:bidi="ar"/>
        </w:rPr>
      </w:pPr>
      <w:r>
        <w:rPr>
          <w:rFonts w:hint="eastAsia" w:ascii="仿宋_GB2312" w:hAnsi="仿宋_GB2312" w:eastAsia="仿宋_GB2312" w:cs="仿宋_GB2312"/>
          <w:color w:val="auto"/>
          <w:kern w:val="2"/>
          <w:sz w:val="32"/>
          <w:szCs w:val="32"/>
          <w:u w:val="none" w:color="auto"/>
          <w:lang w:val="en-US" w:eastAsia="zh-CN" w:bidi="ar"/>
        </w:rPr>
        <w:t xml:space="preserve"> </w:t>
      </w:r>
    </w:p>
    <w:p w14:paraId="7860BCF1">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eastAsia" w:ascii="黑体" w:hAnsi="黑体" w:eastAsia="黑体" w:cs="黑体"/>
          <w:i w:val="0"/>
          <w:caps w:val="0"/>
          <w:color w:val="auto"/>
          <w:spacing w:val="0"/>
          <w:kern w:val="0"/>
          <w:sz w:val="32"/>
          <w:szCs w:val="32"/>
          <w:u w:val="none" w:color="auto"/>
          <w:shd w:val="clear" w:fill="FFFFFF"/>
          <w:lang w:val="en-US" w:eastAsia="zh-CN" w:bidi="ar"/>
        </w:rPr>
      </w:pPr>
      <w:r>
        <w:rPr>
          <w:rFonts w:hint="eastAsia" w:ascii="黑体" w:hAnsi="黑体" w:eastAsia="黑体" w:cs="黑体"/>
          <w:i w:val="0"/>
          <w:caps w:val="0"/>
          <w:color w:val="auto"/>
          <w:spacing w:val="0"/>
          <w:kern w:val="0"/>
          <w:sz w:val="32"/>
          <w:szCs w:val="32"/>
          <w:u w:val="none" w:color="auto"/>
          <w:shd w:val="clear" w:fill="FFFFFF"/>
          <w:lang w:val="en-US" w:eastAsia="zh-CN" w:bidi="ar"/>
        </w:rPr>
        <w:t xml:space="preserve"> 第二章 定点评估机构的确定</w:t>
      </w:r>
    </w:p>
    <w:p w14:paraId="5F5BDF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黑体" w:hAnsi="黑体" w:eastAsia="黑体" w:cs="黑体"/>
          <w:i w:val="0"/>
          <w:caps w:val="0"/>
          <w:color w:val="auto"/>
          <w:spacing w:val="0"/>
          <w:kern w:val="0"/>
          <w:sz w:val="32"/>
          <w:szCs w:val="32"/>
          <w:u w:val="none" w:color="auto"/>
          <w:shd w:val="clear" w:fill="FFFFFF"/>
          <w:lang w:val="en-US" w:eastAsia="zh-CN" w:bidi="ar"/>
        </w:rPr>
      </w:pPr>
    </w:p>
    <w:p w14:paraId="4F81DC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u w:val="none" w:color="auto"/>
          <w:shd w:val="clear" w:fill="FFFFFF"/>
        </w:rPr>
      </w:pPr>
      <w:r>
        <w:rPr>
          <w:rFonts w:hint="eastAsia" w:ascii="黑体" w:hAnsi="黑体" w:eastAsia="黑体" w:cs="黑体"/>
          <w:i w:val="0"/>
          <w:caps w:val="0"/>
          <w:color w:val="auto"/>
          <w:spacing w:val="0"/>
          <w:kern w:val="0"/>
          <w:sz w:val="32"/>
          <w:szCs w:val="32"/>
          <w:u w:val="none" w:color="auto"/>
          <w:shd w:val="clear" w:fill="FFFFFF"/>
          <w:lang w:val="en-US" w:eastAsia="zh-CN" w:bidi="ar"/>
        </w:rPr>
        <w:t>第六条</w:t>
      </w:r>
      <w:r>
        <w:rPr>
          <w:rFonts w:hint="eastAsia" w:ascii="仿宋_GB2312" w:hAnsi="仿宋_GB2312" w:eastAsia="仿宋_GB2312" w:cs="仿宋_GB2312"/>
          <w:i w:val="0"/>
          <w:caps w:val="0"/>
          <w:color w:val="auto"/>
          <w:spacing w:val="0"/>
          <w:kern w:val="0"/>
          <w:sz w:val="32"/>
          <w:szCs w:val="32"/>
          <w:u w:val="none" w:color="auto"/>
          <w:shd w:val="clear" w:fill="FFFFFF"/>
          <w:lang w:val="en-US" w:eastAsia="zh-CN" w:bidi="ar"/>
        </w:rPr>
        <w:t xml:space="preserve"> 定点评估机构应具备专业性、稳定性、权威性。申请成为定点评估机构，应当同时具备以下基本条件：</w:t>
      </w:r>
    </w:p>
    <w:p w14:paraId="5685B074">
      <w:pPr>
        <w:pStyle w:val="3"/>
        <w:ind w:firstLine="640" w:firstLineChars="200"/>
        <w:rPr>
          <w:rFonts w:hint="eastAsia" w:ascii="仿宋_GB2312" w:hAnsi="仿宋_GB2312" w:eastAsia="仿宋_GB2312" w:cs="仿宋_GB2312"/>
          <w:i w:val="0"/>
          <w:caps w:val="0"/>
          <w:color w:val="auto"/>
          <w:spacing w:val="0"/>
          <w:kern w:val="0"/>
          <w:sz w:val="32"/>
          <w:szCs w:val="32"/>
          <w:u w:val="none" w:color="auto"/>
          <w:shd w:val="clear" w:fill="FFFFFF"/>
          <w:lang w:val="en-US" w:eastAsia="zh-CN" w:bidi="ar"/>
        </w:rPr>
      </w:pPr>
      <w:r>
        <w:rPr>
          <w:rFonts w:hint="eastAsia" w:ascii="仿宋_GB2312" w:hAnsi="仿宋_GB2312" w:eastAsia="仿宋_GB2312" w:cs="仿宋_GB2312"/>
          <w:i w:val="0"/>
          <w:caps w:val="0"/>
          <w:color w:val="auto"/>
          <w:spacing w:val="0"/>
          <w:kern w:val="0"/>
          <w:sz w:val="32"/>
          <w:szCs w:val="32"/>
          <w:u w:val="none" w:color="auto"/>
          <w:shd w:val="clear" w:fill="FFFFFF"/>
          <w:lang w:val="en-US" w:eastAsia="zh-CN" w:bidi="ar"/>
        </w:rPr>
        <w:t>（一）依法在统筹区行政区域内登记注册的二级及以上的定点医疗机构，具备劳动能力鉴定资质的机构，具备健康保险和大病保险经营资质的商业保险机构，开展失能等级评估工作的机构，</w:t>
      </w:r>
      <w:r>
        <w:rPr>
          <w:rFonts w:hint="eastAsia" w:ascii="仿宋_GB2312" w:hAnsi="仿宋_GB2312" w:eastAsia="仿宋_GB2312" w:cs="仿宋_GB2312"/>
          <w:strike w:val="0"/>
          <w:dstrike w:val="0"/>
          <w:color w:val="auto"/>
          <w:sz w:val="32"/>
          <w:szCs w:val="32"/>
          <w:u w:val="none" w:color="auto"/>
          <w:lang w:val="en-US" w:eastAsia="zh-CN"/>
        </w:rPr>
        <w:t>正式运营不少于3个月</w:t>
      </w:r>
      <w:r>
        <w:rPr>
          <w:rFonts w:hint="eastAsia" w:ascii="仿宋_GB2312" w:hAnsi="仿宋_GB2312" w:eastAsia="仿宋_GB2312" w:cs="仿宋_GB2312"/>
          <w:i w:val="0"/>
          <w:caps w:val="0"/>
          <w:color w:val="auto"/>
          <w:spacing w:val="0"/>
          <w:kern w:val="0"/>
          <w:sz w:val="32"/>
          <w:szCs w:val="32"/>
          <w:u w:val="none" w:color="auto"/>
          <w:shd w:val="clear" w:fill="FFFFFF"/>
          <w:lang w:val="en-US" w:eastAsia="zh-CN" w:bidi="ar"/>
        </w:rPr>
        <w:t>；</w:t>
      </w:r>
    </w:p>
    <w:p w14:paraId="1AB23831">
      <w:pPr>
        <w:pStyle w:val="3"/>
        <w:ind w:firstLine="640" w:firstLineChars="200"/>
        <w:rPr>
          <w:rFonts w:hint="eastAsia" w:ascii="仿宋_GB2312" w:hAnsi="仿宋_GB2312" w:eastAsia="仿宋_GB2312" w:cs="仿宋_GB2312"/>
          <w:color w:val="auto"/>
          <w:sz w:val="32"/>
          <w:szCs w:val="32"/>
          <w:u w:val="none" w:color="auto"/>
          <w:lang w:eastAsia="zh-CN"/>
        </w:rPr>
      </w:pPr>
      <w:r>
        <w:rPr>
          <w:rFonts w:hint="eastAsia" w:ascii="仿宋_GB2312" w:hAnsi="仿宋_GB2312" w:eastAsia="仿宋_GB2312" w:cs="仿宋_GB2312"/>
          <w:i w:val="0"/>
          <w:caps w:val="0"/>
          <w:color w:val="auto"/>
          <w:spacing w:val="0"/>
          <w:kern w:val="0"/>
          <w:sz w:val="32"/>
          <w:szCs w:val="32"/>
          <w:u w:val="none" w:color="auto"/>
          <w:shd w:val="clear" w:fill="FFFFFF"/>
          <w:lang w:val="en-US" w:eastAsia="zh-CN" w:bidi="ar"/>
        </w:rPr>
        <w:t>（二）</w:t>
      </w:r>
      <w:r>
        <w:rPr>
          <w:rFonts w:hint="eastAsia" w:ascii="仿宋_GB2312" w:hAnsi="仿宋_GB2312" w:eastAsia="仿宋_GB2312" w:cs="仿宋_GB2312"/>
          <w:strike w:val="0"/>
          <w:dstrike w:val="0"/>
          <w:color w:val="auto"/>
          <w:sz w:val="32"/>
          <w:szCs w:val="32"/>
          <w:u w:val="none" w:color="auto"/>
          <w:lang w:val="en-US" w:eastAsia="zh-CN"/>
        </w:rPr>
        <w:t>配备与评估工作相适应的专业化人员队伍，医疗机构、商业保险机构、专业独立的社会化评估机构评估人员总数不少于10人（评估专家不少于4人），具备劳动能力鉴定资质的机构专业鉴定人员不少于6人（取得中级以上职称的鉴定人员不少于2人、高级职称的鉴定人员不少于1人）。其中评估员和评估专家应具备医学、护理、康复、心理、长期照护、养老服务与管理等相关专业背景，从事相关专业工作2年（含）以上，并取得相应职业资格。</w:t>
      </w:r>
      <w:r>
        <w:rPr>
          <w:rFonts w:hint="eastAsia" w:ascii="仿宋_GB2312" w:hAnsi="仿宋_GB2312" w:eastAsia="仿宋_GB2312" w:cs="仿宋_GB2312"/>
          <w:color w:val="auto"/>
          <w:sz w:val="32"/>
          <w:szCs w:val="32"/>
          <w:u w:val="none" w:color="auto"/>
        </w:rPr>
        <w:t>专职长护险管理人员</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rPr>
        <w:t>信息技术管理维护人员不少于1人</w:t>
      </w:r>
      <w:r>
        <w:rPr>
          <w:rFonts w:hint="eastAsia" w:ascii="仿宋_GB2312" w:hAnsi="仿宋_GB2312" w:eastAsia="仿宋_GB2312" w:cs="仿宋_GB2312"/>
          <w:color w:val="auto"/>
          <w:sz w:val="32"/>
          <w:szCs w:val="32"/>
          <w:u w:val="none" w:color="auto"/>
          <w:lang w:eastAsia="zh-CN"/>
        </w:rPr>
        <w:t>。以上人员</w:t>
      </w:r>
      <w:r>
        <w:rPr>
          <w:rFonts w:hint="eastAsia" w:ascii="仿宋_GB2312" w:hAnsi="仿宋_GB2312" w:eastAsia="仿宋_GB2312" w:cs="仿宋_GB2312"/>
          <w:color w:val="auto"/>
          <w:sz w:val="32"/>
          <w:szCs w:val="32"/>
          <w:u w:val="none" w:color="auto"/>
        </w:rPr>
        <w:t>均</w:t>
      </w:r>
      <w:r>
        <w:rPr>
          <w:rFonts w:hint="eastAsia" w:ascii="仿宋_GB2312" w:hAnsi="仿宋_GB2312" w:eastAsia="仿宋_GB2312" w:cs="仿宋_GB2312"/>
          <w:color w:val="auto"/>
          <w:sz w:val="32"/>
          <w:szCs w:val="32"/>
          <w:u w:val="none" w:color="auto"/>
          <w:lang w:eastAsia="zh-CN"/>
        </w:rPr>
        <w:t>须</w:t>
      </w:r>
      <w:bookmarkStart w:id="0" w:name="_GoBack"/>
      <w:bookmarkEnd w:id="0"/>
      <w:r>
        <w:rPr>
          <w:rFonts w:hint="eastAsia" w:ascii="仿宋_GB2312" w:hAnsi="仿宋_GB2312" w:eastAsia="仿宋_GB2312" w:cs="仿宋_GB2312"/>
          <w:color w:val="auto"/>
          <w:sz w:val="32"/>
          <w:szCs w:val="32"/>
          <w:u w:val="none" w:color="auto"/>
          <w:lang w:eastAsia="zh-CN"/>
        </w:rPr>
        <w:t>参加规范化培训并考试合格，掌握长期护理失能等级评估标准，</w:t>
      </w:r>
      <w:r>
        <w:rPr>
          <w:rFonts w:hint="eastAsia" w:ascii="仿宋_GB2312" w:hAnsi="仿宋_GB2312" w:eastAsia="仿宋_GB2312" w:cs="仿宋_GB2312"/>
          <w:color w:val="auto"/>
          <w:sz w:val="32"/>
          <w:szCs w:val="32"/>
          <w:u w:val="none" w:color="auto"/>
        </w:rPr>
        <w:t>熟悉长期护理保险政策及评估业务流程</w:t>
      </w:r>
      <w:r>
        <w:rPr>
          <w:rFonts w:hint="eastAsia" w:ascii="仿宋_GB2312" w:hAnsi="仿宋_GB2312" w:eastAsia="仿宋_GB2312" w:cs="仿宋_GB2312"/>
          <w:color w:val="auto"/>
          <w:sz w:val="32"/>
          <w:szCs w:val="32"/>
          <w:u w:val="none" w:color="auto"/>
          <w:lang w:eastAsia="zh-CN"/>
        </w:rPr>
        <w:t>；</w:t>
      </w:r>
    </w:p>
    <w:p w14:paraId="063FE14B">
      <w:pPr>
        <w:widowControl/>
        <w:ind w:firstLine="640" w:firstLineChars="200"/>
        <w:jc w:val="left"/>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kern w:val="2"/>
          <w:sz w:val="32"/>
          <w:szCs w:val="32"/>
          <w:u w:val="none" w:color="auto"/>
          <w:lang w:val="en-US" w:eastAsia="zh-CN" w:bidi="ar-SA"/>
        </w:rPr>
        <w:t>定点评估机构为医疗机构的，鼓励支持由其管理的家庭医生参与失能等级评估，充分发挥家庭医生熟悉了解掌握签约居民健康与失能状态的优势。</w:t>
      </w:r>
    </w:p>
    <w:p w14:paraId="1737A594">
      <w:pPr>
        <w:widowControl w:val="0"/>
        <w:spacing w:line="560" w:lineRule="exact"/>
        <w:ind w:firstLine="640" w:firstLineChars="200"/>
        <w:rPr>
          <w:rFonts w:hint="eastAsia" w:ascii="仿宋_GB2312" w:hAnsi="仿宋_GB2312" w:eastAsia="仿宋_GB2312" w:cs="仿宋_GB2312"/>
          <w:i w:val="0"/>
          <w:caps w:val="0"/>
          <w:color w:val="auto"/>
          <w:spacing w:val="0"/>
          <w:kern w:val="0"/>
          <w:sz w:val="32"/>
          <w:szCs w:val="32"/>
          <w:u w:val="none" w:color="auto"/>
          <w:shd w:val="clear" w:fill="FFFFFF"/>
        </w:rPr>
      </w:pPr>
      <w:r>
        <w:rPr>
          <w:rFonts w:hint="eastAsia" w:ascii="仿宋_GB2312" w:hAnsi="仿宋_GB2312" w:eastAsia="仿宋_GB2312" w:cs="仿宋_GB2312"/>
          <w:color w:val="auto"/>
          <w:sz w:val="32"/>
          <w:szCs w:val="32"/>
          <w:u w:val="none" w:color="auto"/>
        </w:rPr>
        <w:t>（三）</w:t>
      </w:r>
      <w:r>
        <w:rPr>
          <w:rFonts w:hint="eastAsia" w:ascii="仿宋_GB2312" w:hAnsi="仿宋_GB2312" w:eastAsia="仿宋_GB2312" w:cs="仿宋_GB2312"/>
          <w:color w:val="auto"/>
          <w:sz w:val="32"/>
          <w:szCs w:val="32"/>
          <w:u w:val="none" w:color="auto"/>
          <w:lang w:val="en-US" w:eastAsia="zh-CN"/>
        </w:rPr>
        <w:t>具有固定的办公场所，配备符合服务协议要求和符合全国统一的医保信息平台长护险相关功能模块或接口标准的软、硬件设备和相应管理维护人员</w:t>
      </w:r>
      <w:r>
        <w:rPr>
          <w:rFonts w:hint="eastAsia" w:ascii="仿宋_GB2312" w:hAnsi="仿宋_GB2312" w:eastAsia="仿宋_GB2312" w:cs="仿宋_GB2312"/>
          <w:color w:val="auto"/>
          <w:sz w:val="32"/>
          <w:szCs w:val="32"/>
          <w:u w:val="none" w:color="auto"/>
        </w:rPr>
        <w:t>；</w:t>
      </w:r>
    </w:p>
    <w:p w14:paraId="4F24EF80">
      <w:pPr>
        <w:pStyle w:val="3"/>
        <w:ind w:firstLine="640" w:firstLineChars="200"/>
        <w:rPr>
          <w:rFonts w:hint="eastAsia" w:ascii="仿宋_GB2312" w:hAnsi="仿宋_GB2312" w:eastAsia="仿宋_GB2312" w:cs="仿宋_GB2312"/>
          <w:i w:val="0"/>
          <w:caps w:val="0"/>
          <w:color w:val="auto"/>
          <w:spacing w:val="0"/>
          <w:kern w:val="0"/>
          <w:sz w:val="32"/>
          <w:szCs w:val="32"/>
          <w:u w:val="none" w:color="auto"/>
          <w:shd w:val="clear" w:fill="FFFFFF"/>
          <w:lang w:val="en-US" w:eastAsia="zh-CN" w:bidi="ar"/>
        </w:rPr>
      </w:pPr>
      <w:r>
        <w:rPr>
          <w:rFonts w:hint="eastAsia" w:ascii="仿宋_GB2312" w:hAnsi="仿宋_GB2312" w:eastAsia="仿宋_GB2312" w:cs="仿宋_GB2312"/>
          <w:i w:val="0"/>
          <w:caps w:val="0"/>
          <w:color w:val="auto"/>
          <w:spacing w:val="0"/>
          <w:kern w:val="0"/>
          <w:sz w:val="32"/>
          <w:szCs w:val="32"/>
          <w:u w:val="none" w:color="auto"/>
          <w:shd w:val="clear" w:fill="FFFFFF"/>
          <w:lang w:val="en-US" w:eastAsia="zh-CN" w:bidi="ar"/>
        </w:rPr>
        <w:t>（四）</w:t>
      </w:r>
      <w:r>
        <w:rPr>
          <w:rFonts w:hint="eastAsia" w:ascii="仿宋_GB2312" w:hAnsi="仿宋_GB2312" w:eastAsia="仿宋_GB2312" w:cs="仿宋_GB2312"/>
          <w:i w:val="0"/>
          <w:caps w:val="0"/>
          <w:color w:val="auto"/>
          <w:spacing w:val="0"/>
          <w:kern w:val="0"/>
          <w:sz w:val="32"/>
          <w:szCs w:val="32"/>
          <w:highlight w:val="none"/>
          <w:u w:val="none" w:color="auto"/>
          <w:shd w:val="clear" w:fill="FFFFFF"/>
          <w:lang w:val="en-US" w:eastAsia="zh-CN" w:bidi="ar"/>
        </w:rPr>
        <w:t>具备使用全国统一的医保信息平台长护险相关功能模块的条件或具备与全国统一的医保信息平台长护险相关接口对接的信息系统，能实时上传评估数据并接受监管；</w:t>
      </w:r>
    </w:p>
    <w:p w14:paraId="537F4EB0">
      <w:pPr>
        <w:pStyle w:val="3"/>
        <w:ind w:firstLine="640" w:firstLineChars="200"/>
        <w:rPr>
          <w:rFonts w:hint="eastAsia" w:ascii="仿宋_GB2312" w:hAnsi="仿宋_GB2312" w:eastAsia="仿宋_GB2312" w:cs="仿宋_GB2312"/>
          <w:color w:val="auto"/>
          <w:kern w:val="0"/>
          <w:sz w:val="32"/>
          <w:szCs w:val="32"/>
          <w:u w:val="none" w:color="auto"/>
          <w:shd w:val="clear" w:fill="FFFFFF"/>
          <w:lang w:val="en-US" w:eastAsia="zh-CN" w:bidi="ar"/>
        </w:rPr>
      </w:pPr>
      <w:r>
        <w:rPr>
          <w:rFonts w:hint="eastAsia" w:ascii="仿宋_GB2312" w:hAnsi="仿宋_GB2312" w:eastAsia="仿宋_GB2312" w:cs="仿宋_GB2312"/>
          <w:color w:val="auto"/>
          <w:kern w:val="0"/>
          <w:sz w:val="32"/>
          <w:szCs w:val="32"/>
          <w:u w:val="none" w:color="auto"/>
          <w:shd w:val="clear" w:fill="FFFFFF"/>
          <w:lang w:val="en-US" w:eastAsia="zh-CN" w:bidi="ar"/>
        </w:rPr>
        <w:t>（五）具有符合服务协议要求的服务管理、财务管理、信息统计、内控管理、人员管理、档案管理、争议处理等制度；</w:t>
      </w:r>
    </w:p>
    <w:p w14:paraId="1B14F5E5">
      <w:pPr>
        <w:ind w:firstLine="640" w:firstLineChars="200"/>
        <w:rPr>
          <w:rFonts w:hint="eastAsia" w:ascii="仿宋_GB2312" w:hAnsi="仿宋_GB2312" w:eastAsia="仿宋_GB2312" w:cs="仿宋_GB2312"/>
          <w:color w:val="auto"/>
          <w:kern w:val="0"/>
          <w:sz w:val="32"/>
          <w:szCs w:val="32"/>
          <w:u w:val="none" w:color="auto"/>
          <w:shd w:val="clear" w:fill="FFFFFF"/>
          <w:lang w:val="en-US" w:eastAsia="zh-CN" w:bidi="ar"/>
        </w:rPr>
      </w:pPr>
      <w:r>
        <w:rPr>
          <w:rFonts w:hint="eastAsia" w:ascii="仿宋_GB2312" w:hAnsi="仿宋_GB2312" w:eastAsia="仿宋_GB2312" w:cs="仿宋_GB2312"/>
          <w:color w:val="auto"/>
          <w:kern w:val="0"/>
          <w:sz w:val="32"/>
          <w:szCs w:val="32"/>
          <w:u w:val="none" w:color="auto"/>
          <w:shd w:val="clear" w:fill="FFFFFF"/>
          <w:lang w:val="en-US" w:eastAsia="zh-CN" w:bidi="ar"/>
        </w:rPr>
        <w:t>（六）符合法律法规和省级及以上医疗保障行政部门规定的其他条件。</w:t>
      </w:r>
    </w:p>
    <w:p w14:paraId="3F0ED29F">
      <w:pPr>
        <w:pStyle w:val="3"/>
        <w:ind w:firstLine="640" w:firstLineChars="200"/>
        <w:rPr>
          <w:rFonts w:hint="eastAsia" w:ascii="仿宋_GB2312" w:hAnsi="仿宋_GB2312" w:eastAsia="仿宋_GB2312" w:cs="仿宋_GB2312"/>
          <w:i w:val="0"/>
          <w:caps w:val="0"/>
          <w:color w:val="auto"/>
          <w:spacing w:val="0"/>
          <w:kern w:val="0"/>
          <w:sz w:val="32"/>
          <w:szCs w:val="32"/>
          <w:u w:val="none" w:color="auto"/>
          <w:shd w:val="clear" w:fill="FFFFFF"/>
        </w:rPr>
      </w:pPr>
      <w:r>
        <w:rPr>
          <w:rFonts w:hint="eastAsia" w:ascii="黑体" w:hAnsi="黑体" w:eastAsia="黑体" w:cs="黑体"/>
          <w:i w:val="0"/>
          <w:caps w:val="0"/>
          <w:color w:val="auto"/>
          <w:spacing w:val="0"/>
          <w:kern w:val="0"/>
          <w:sz w:val="32"/>
          <w:szCs w:val="32"/>
          <w:u w:val="none" w:color="auto"/>
          <w:shd w:val="clear" w:fill="FFFFFF"/>
          <w:lang w:val="en-US" w:eastAsia="zh-CN" w:bidi="ar"/>
        </w:rPr>
        <w:t>第七条</w:t>
      </w:r>
      <w:r>
        <w:rPr>
          <w:rFonts w:hint="eastAsia" w:ascii="仿宋_GB2312" w:hAnsi="仿宋_GB2312" w:eastAsia="仿宋_GB2312" w:cs="仿宋_GB2312"/>
          <w:i w:val="0"/>
          <w:caps w:val="0"/>
          <w:color w:val="auto"/>
          <w:spacing w:val="0"/>
          <w:kern w:val="0"/>
          <w:sz w:val="32"/>
          <w:szCs w:val="32"/>
          <w:u w:val="none" w:color="auto"/>
          <w:shd w:val="clear" w:fill="FFFFFF"/>
          <w:lang w:val="en-US" w:eastAsia="zh-CN" w:bidi="ar"/>
        </w:rPr>
        <w:t xml:space="preserve"> 符合条件的评估机构可自愿向医疗保障经办机构提出定点申请，填报《长期护理保险失能等级评估机构申请表》（详见附件1），并如实提供以下材料：</w:t>
      </w:r>
    </w:p>
    <w:p w14:paraId="22346A5E">
      <w:pPr>
        <w:numPr>
          <w:ilvl w:val="0"/>
          <w:numId w:val="0"/>
        </w:numPr>
        <w:ind w:firstLine="640" w:firstLineChars="200"/>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i w:val="0"/>
          <w:caps w:val="0"/>
          <w:color w:val="auto"/>
          <w:spacing w:val="0"/>
          <w:kern w:val="0"/>
          <w:sz w:val="32"/>
          <w:szCs w:val="32"/>
          <w:u w:val="none" w:color="auto"/>
          <w:shd w:val="clear" w:fill="FFFFFF"/>
          <w:lang w:val="en-US" w:eastAsia="zh-CN" w:bidi="ar"/>
        </w:rPr>
        <w:t>（一）</w:t>
      </w:r>
      <w:r>
        <w:rPr>
          <w:rFonts w:hint="eastAsia" w:ascii="仿宋_GB2312" w:hAnsi="仿宋_GB2312" w:eastAsia="仿宋_GB2312" w:cs="仿宋_GB2312"/>
          <w:color w:val="auto"/>
          <w:sz w:val="32"/>
          <w:szCs w:val="32"/>
          <w:u w:val="none" w:color="auto"/>
          <w:lang w:val="en-US" w:eastAsia="zh-CN"/>
        </w:rPr>
        <w:t>事业单位法人证书、民办非企业单位登记证书或营业执照正（副）本原件及复印件、医疗机构执业许可证正（副）本原件及复印件（加盖公章）；</w:t>
      </w:r>
    </w:p>
    <w:p w14:paraId="30390CE7">
      <w:pPr>
        <w:pStyle w:val="3"/>
        <w:ind w:firstLine="640" w:firstLineChars="200"/>
        <w:rPr>
          <w:rFonts w:hint="eastAsia" w:ascii="仿宋_GB2312" w:hAnsi="仿宋_GB2312" w:eastAsia="仿宋_GB2312" w:cs="仿宋_GB2312"/>
          <w:color w:val="auto"/>
          <w:kern w:val="0"/>
          <w:sz w:val="32"/>
          <w:szCs w:val="32"/>
          <w:u w:val="none" w:color="auto"/>
          <w:shd w:val="clear" w:fill="FFFFFF"/>
          <w:lang w:val="en-US" w:eastAsia="zh-CN" w:bidi="ar"/>
        </w:rPr>
      </w:pPr>
      <w:r>
        <w:rPr>
          <w:rFonts w:hint="eastAsia" w:ascii="仿宋_GB2312" w:hAnsi="仿宋_GB2312" w:eastAsia="仿宋_GB2312" w:cs="仿宋_GB2312"/>
          <w:color w:val="auto"/>
          <w:kern w:val="0"/>
          <w:sz w:val="32"/>
          <w:szCs w:val="32"/>
          <w:u w:val="none" w:color="auto"/>
          <w:shd w:val="clear" w:fill="FFFFFF"/>
          <w:lang w:val="en-US" w:eastAsia="zh-CN" w:bidi="ar"/>
        </w:rPr>
        <w:t>（二）法定代表人、主要负责人或实际控制人身份证复印件（加盖公章），本机构法定代表人、主要负责人或实际控制人及其他工作人员无违法犯罪或不良从业行为承诺书。</w:t>
      </w:r>
    </w:p>
    <w:p w14:paraId="16967B51">
      <w:pPr>
        <w:pStyle w:val="3"/>
        <w:ind w:firstLine="640" w:firstLineChars="200"/>
        <w:rPr>
          <w:rFonts w:hint="eastAsia" w:ascii="仿宋_GB2312" w:hAnsi="仿宋_GB2312" w:eastAsia="仿宋_GB2312" w:cs="仿宋_GB2312"/>
          <w:i w:val="0"/>
          <w:caps w:val="0"/>
          <w:color w:val="auto"/>
          <w:spacing w:val="0"/>
          <w:kern w:val="0"/>
          <w:sz w:val="32"/>
          <w:szCs w:val="32"/>
          <w:u w:val="none" w:color="auto"/>
          <w:shd w:val="clear" w:fill="FFFFFF"/>
          <w:lang w:val="en-US" w:eastAsia="zh-CN" w:bidi="ar"/>
        </w:rPr>
      </w:pPr>
      <w:r>
        <w:rPr>
          <w:rFonts w:hint="eastAsia" w:ascii="仿宋_GB2312" w:hAnsi="仿宋_GB2312" w:eastAsia="仿宋_GB2312" w:cs="仿宋_GB2312"/>
          <w:i w:val="0"/>
          <w:caps w:val="0"/>
          <w:color w:val="auto"/>
          <w:spacing w:val="0"/>
          <w:kern w:val="0"/>
          <w:sz w:val="32"/>
          <w:szCs w:val="32"/>
          <w:u w:val="none" w:color="auto"/>
          <w:shd w:val="clear" w:fill="FFFFFF"/>
          <w:lang w:val="en-US" w:eastAsia="zh-CN" w:bidi="ar"/>
        </w:rPr>
        <w:t>（三）评估专业人员花名册及身份证复印件，专业技术职称任职资格证书原件、复印件，聘用协议、职工劳动合同以及任职该单位至少连续三个月的社保缴费记录、近3个月银行流水等相关资料（以上材料均需加盖公章）；</w:t>
      </w:r>
    </w:p>
    <w:p w14:paraId="7286064F">
      <w:pPr>
        <w:pStyle w:val="3"/>
        <w:ind w:firstLine="640" w:firstLineChars="200"/>
        <w:rPr>
          <w:rFonts w:hint="eastAsia" w:ascii="仿宋_GB2312" w:hAnsi="仿宋_GB2312" w:eastAsia="仿宋_GB2312" w:cs="仿宋_GB2312"/>
          <w:i w:val="0"/>
          <w:caps w:val="0"/>
          <w:color w:val="auto"/>
          <w:spacing w:val="0"/>
          <w:kern w:val="0"/>
          <w:sz w:val="32"/>
          <w:szCs w:val="32"/>
          <w:u w:val="none" w:color="auto"/>
          <w:shd w:val="clear" w:fill="FFFFFF"/>
          <w:lang w:bidi="ar"/>
        </w:rPr>
      </w:pPr>
      <w:r>
        <w:rPr>
          <w:rFonts w:hint="eastAsia" w:ascii="仿宋_GB2312" w:hAnsi="仿宋_GB2312" w:eastAsia="仿宋_GB2312" w:cs="仿宋_GB2312"/>
          <w:i w:val="0"/>
          <w:caps w:val="0"/>
          <w:color w:val="auto"/>
          <w:spacing w:val="0"/>
          <w:kern w:val="0"/>
          <w:sz w:val="32"/>
          <w:szCs w:val="32"/>
          <w:u w:val="none" w:color="auto"/>
          <w:shd w:val="clear" w:fill="FFFFFF"/>
          <w:lang w:val="en-US" w:eastAsia="zh-CN" w:bidi="ar"/>
        </w:rPr>
        <w:t>（四）业务用房产权证明或租赁合同原件及复印件，业务用房有效使用期限不少于2年；</w:t>
      </w:r>
    </w:p>
    <w:p w14:paraId="484D6071">
      <w:pPr>
        <w:pStyle w:val="3"/>
        <w:ind w:firstLine="640" w:firstLineChars="200"/>
        <w:rPr>
          <w:rFonts w:hint="eastAsia" w:ascii="仿宋_GB2312" w:hAnsi="仿宋_GB2312" w:eastAsia="仿宋_GB2312" w:cs="仿宋_GB2312"/>
          <w:i w:val="0"/>
          <w:caps w:val="0"/>
          <w:color w:val="auto"/>
          <w:spacing w:val="0"/>
          <w:kern w:val="0"/>
          <w:sz w:val="32"/>
          <w:szCs w:val="32"/>
          <w:u w:val="none" w:color="auto"/>
          <w:shd w:val="clear" w:fill="FFFFFF"/>
          <w:lang w:bidi="ar"/>
        </w:rPr>
      </w:pPr>
      <w:r>
        <w:rPr>
          <w:rFonts w:hint="eastAsia" w:ascii="仿宋_GB2312" w:hAnsi="仿宋_GB2312" w:eastAsia="仿宋_GB2312" w:cs="仿宋_GB2312"/>
          <w:i w:val="0"/>
          <w:caps w:val="0"/>
          <w:color w:val="auto"/>
          <w:spacing w:val="0"/>
          <w:kern w:val="0"/>
          <w:sz w:val="32"/>
          <w:szCs w:val="32"/>
          <w:u w:val="none" w:color="auto"/>
          <w:shd w:val="clear" w:fill="FFFFFF"/>
          <w:lang w:val="en-US" w:eastAsia="zh-CN" w:bidi="ar"/>
        </w:rPr>
        <w:t>（五）失能等级评估工作相关内部管理制度；</w:t>
      </w:r>
    </w:p>
    <w:p w14:paraId="1A0D71E3">
      <w:pPr>
        <w:pStyle w:val="3"/>
        <w:ind w:firstLine="640" w:firstLineChars="200"/>
        <w:rPr>
          <w:rFonts w:hint="eastAsia" w:ascii="仿宋_GB2312" w:hAnsi="仿宋_GB2312" w:eastAsia="仿宋_GB2312" w:cs="仿宋_GB2312"/>
          <w:i w:val="0"/>
          <w:caps w:val="0"/>
          <w:color w:val="auto"/>
          <w:spacing w:val="0"/>
          <w:kern w:val="0"/>
          <w:sz w:val="32"/>
          <w:szCs w:val="32"/>
          <w:u w:val="none" w:color="auto"/>
          <w:shd w:val="clear" w:fill="FFFFFF"/>
          <w:lang w:bidi="ar"/>
        </w:rPr>
      </w:pPr>
      <w:r>
        <w:rPr>
          <w:rFonts w:hint="eastAsia" w:ascii="仿宋_GB2312" w:hAnsi="仿宋_GB2312" w:eastAsia="仿宋_GB2312" w:cs="仿宋_GB2312"/>
          <w:i w:val="0"/>
          <w:caps w:val="0"/>
          <w:color w:val="auto"/>
          <w:spacing w:val="0"/>
          <w:kern w:val="0"/>
          <w:sz w:val="32"/>
          <w:szCs w:val="32"/>
          <w:u w:val="none" w:color="auto"/>
          <w:shd w:val="clear" w:fill="FFFFFF"/>
          <w:lang w:val="en-US" w:eastAsia="zh-CN" w:bidi="ar"/>
        </w:rPr>
        <w:t>（六）与失能等级评估工作要求相适应的信息系统相关材料；</w:t>
      </w:r>
    </w:p>
    <w:p w14:paraId="0D90F64B">
      <w:pPr>
        <w:pStyle w:val="3"/>
        <w:ind w:firstLine="640" w:firstLineChars="200"/>
        <w:rPr>
          <w:rFonts w:hint="eastAsia" w:ascii="仿宋_GB2312" w:hAnsi="仿宋_GB2312" w:eastAsia="仿宋_GB2312" w:cs="仿宋_GB2312"/>
          <w:color w:val="auto"/>
          <w:kern w:val="0"/>
          <w:sz w:val="32"/>
          <w:szCs w:val="32"/>
          <w:u w:val="none" w:color="auto"/>
          <w:shd w:val="clear" w:fill="FFFFFF"/>
          <w:lang w:val="en-US" w:eastAsia="zh-CN" w:bidi="ar"/>
        </w:rPr>
      </w:pPr>
      <w:r>
        <w:rPr>
          <w:rFonts w:hint="eastAsia" w:ascii="仿宋_GB2312" w:hAnsi="仿宋_GB2312" w:eastAsia="仿宋_GB2312" w:cs="仿宋_GB2312"/>
          <w:i w:val="0"/>
          <w:caps w:val="0"/>
          <w:color w:val="auto"/>
          <w:spacing w:val="0"/>
          <w:kern w:val="0"/>
          <w:sz w:val="32"/>
          <w:szCs w:val="32"/>
          <w:u w:val="none" w:color="auto"/>
          <w:shd w:val="clear" w:fill="FFFFFF"/>
          <w:lang w:val="en-US" w:eastAsia="zh-CN" w:bidi="ar"/>
        </w:rPr>
        <w:t>（七）</w:t>
      </w:r>
      <w:r>
        <w:rPr>
          <w:rFonts w:hint="eastAsia" w:ascii="仿宋_GB2312" w:hAnsi="仿宋_GB2312" w:eastAsia="仿宋_GB2312" w:cs="仿宋_GB2312"/>
          <w:color w:val="auto"/>
          <w:kern w:val="0"/>
          <w:sz w:val="32"/>
          <w:szCs w:val="32"/>
          <w:u w:val="none" w:color="auto"/>
          <w:shd w:val="clear" w:fill="FFFFFF"/>
          <w:lang w:val="en-US" w:eastAsia="zh-CN" w:bidi="ar"/>
        </w:rPr>
        <w:t>符合法律法规和</w:t>
      </w:r>
      <w:r>
        <w:rPr>
          <w:rFonts w:hint="eastAsia" w:ascii="仿宋_GB2312" w:hAnsi="仿宋_GB2312" w:eastAsia="仿宋_GB2312" w:cs="仿宋_GB2312"/>
          <w:b w:val="0"/>
          <w:bCs w:val="0"/>
          <w:color w:val="auto"/>
          <w:kern w:val="0"/>
          <w:sz w:val="32"/>
          <w:szCs w:val="32"/>
          <w:u w:val="none" w:color="auto"/>
          <w:shd w:val="clear" w:fill="FFFFFF"/>
          <w:lang w:val="en-US" w:eastAsia="zh-CN" w:bidi="ar"/>
        </w:rPr>
        <w:t>医疗保障部门</w:t>
      </w:r>
      <w:r>
        <w:rPr>
          <w:rFonts w:hint="eastAsia" w:ascii="仿宋_GB2312" w:hAnsi="仿宋_GB2312" w:eastAsia="仿宋_GB2312" w:cs="仿宋_GB2312"/>
          <w:color w:val="auto"/>
          <w:kern w:val="0"/>
          <w:sz w:val="32"/>
          <w:szCs w:val="32"/>
          <w:u w:val="none" w:color="auto"/>
          <w:shd w:val="clear" w:fill="FFFFFF"/>
          <w:lang w:val="en-US" w:eastAsia="zh-CN" w:bidi="ar"/>
        </w:rPr>
        <w:t>规定的其他条件。</w:t>
      </w:r>
    </w:p>
    <w:p w14:paraId="4E702F3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Style w:val="11"/>
          <w:rFonts w:hint="eastAsia" w:ascii="仿宋_GB2312" w:hAnsi="仿宋_GB2312" w:eastAsia="仿宋_GB2312" w:cs="仿宋_GB2312"/>
          <w:color w:val="auto"/>
          <w:sz w:val="32"/>
          <w:szCs w:val="32"/>
          <w:u w:val="none" w:color="auto"/>
          <w:shd w:val="clear" w:fill="FFFFFF"/>
        </w:rPr>
      </w:pPr>
      <w:r>
        <w:rPr>
          <w:rFonts w:hint="eastAsia" w:ascii="黑体" w:hAnsi="黑体" w:eastAsia="黑体" w:cs="黑体"/>
          <w:i w:val="0"/>
          <w:caps w:val="0"/>
          <w:color w:val="auto"/>
          <w:spacing w:val="0"/>
          <w:kern w:val="0"/>
          <w:sz w:val="32"/>
          <w:szCs w:val="32"/>
          <w:u w:val="none" w:color="auto"/>
          <w:shd w:val="clear" w:fill="FFFFFF"/>
          <w:lang w:val="en-US" w:eastAsia="zh-CN" w:bidi="ar"/>
        </w:rPr>
        <w:t>第八条</w:t>
      </w:r>
      <w:r>
        <w:rPr>
          <w:rFonts w:hint="eastAsia" w:ascii="仿宋_GB2312" w:hAnsi="仿宋_GB2312" w:eastAsia="仿宋_GB2312" w:cs="仿宋_GB2312"/>
          <w:i w:val="0"/>
          <w:caps w:val="0"/>
          <w:color w:val="auto"/>
          <w:spacing w:val="0"/>
          <w:kern w:val="0"/>
          <w:sz w:val="32"/>
          <w:szCs w:val="32"/>
          <w:u w:val="none" w:color="auto"/>
          <w:shd w:val="clear" w:fill="FFFFFF"/>
          <w:lang w:val="en-US" w:eastAsia="zh-CN" w:bidi="ar"/>
        </w:rPr>
        <w:t xml:space="preserve"> 医疗保障经办机构受理申请后，应及时对申请材料进行初步审核，对申请材料内容不全的，应当一次性告知需补齐的材料。不符合申请条件的，应当告知并说明理由。自受理申请材料之日起，评估时间不超过3个月，</w:t>
      </w:r>
      <w:r>
        <w:rPr>
          <w:rStyle w:val="11"/>
          <w:rFonts w:hint="eastAsia" w:ascii="仿宋_GB2312" w:hAnsi="仿宋_GB2312" w:eastAsia="仿宋_GB2312" w:cs="仿宋_GB2312"/>
          <w:color w:val="auto"/>
          <w:sz w:val="32"/>
          <w:szCs w:val="32"/>
          <w:u w:val="none" w:color="auto"/>
          <w:shd w:val="clear" w:fill="FFFFFF"/>
        </w:rPr>
        <w:t>评估机构补充材料时间不计入审核期限。</w:t>
      </w:r>
    </w:p>
    <w:p w14:paraId="6C9D0363">
      <w:pPr>
        <w:pStyle w:val="3"/>
        <w:ind w:firstLine="640" w:firstLineChars="200"/>
        <w:rPr>
          <w:rFonts w:hint="eastAsia" w:ascii="仿宋_GB2312" w:hAnsi="仿宋_GB2312" w:eastAsia="仿宋_GB2312" w:cs="仿宋_GB2312"/>
          <w:i w:val="0"/>
          <w:caps w:val="0"/>
          <w:color w:val="auto"/>
          <w:spacing w:val="0"/>
          <w:kern w:val="0"/>
          <w:sz w:val="32"/>
          <w:szCs w:val="32"/>
          <w:u w:val="none" w:color="auto"/>
          <w:shd w:val="clear" w:fill="FFFFFF"/>
        </w:rPr>
      </w:pPr>
      <w:r>
        <w:rPr>
          <w:rFonts w:hint="eastAsia" w:ascii="黑体" w:hAnsi="黑体" w:eastAsia="黑体" w:cs="黑体"/>
          <w:i w:val="0"/>
          <w:caps w:val="0"/>
          <w:color w:val="auto"/>
          <w:spacing w:val="0"/>
          <w:kern w:val="0"/>
          <w:sz w:val="32"/>
          <w:szCs w:val="32"/>
          <w:u w:val="none" w:color="auto"/>
          <w:shd w:val="clear" w:fill="FFFFFF"/>
          <w:lang w:val="en-US" w:eastAsia="zh-CN" w:bidi="ar"/>
        </w:rPr>
        <w:t>第九条</w:t>
      </w:r>
      <w:r>
        <w:rPr>
          <w:rFonts w:hint="eastAsia" w:ascii="仿宋_GB2312" w:hAnsi="仿宋_GB2312" w:eastAsia="仿宋_GB2312" w:cs="仿宋_GB2312"/>
          <w:i w:val="0"/>
          <w:caps w:val="0"/>
          <w:color w:val="auto"/>
          <w:spacing w:val="0"/>
          <w:kern w:val="0"/>
          <w:sz w:val="32"/>
          <w:szCs w:val="32"/>
          <w:u w:val="none" w:color="auto"/>
          <w:shd w:val="clear" w:fill="FFFFFF"/>
          <w:lang w:val="en-US" w:eastAsia="zh-CN" w:bidi="ar"/>
        </w:rPr>
        <w:t xml:space="preserve"> 初审通过后，统筹区医疗保障经办机构应根据本办法第六条、第七条规定，采取书面查验、现场核查、集体评议等形式，对申请机构进行综合审核，使用《长期护理保险定点评估机构综合审核表》（详见附件2）审核小组成员由从事长护管理、医疗保障、医药卫生、财务管理、信息技术等相关工作人员组成。</w:t>
      </w:r>
    </w:p>
    <w:p w14:paraId="60E41504">
      <w:pPr>
        <w:ind w:firstLine="640" w:firstLineChars="200"/>
        <w:rPr>
          <w:rFonts w:hint="eastAsia" w:ascii="仿宋_GB2312" w:hAnsi="仿宋_GB2312" w:eastAsia="仿宋_GB2312" w:cs="仿宋_GB2312"/>
          <w:i w:val="0"/>
          <w:caps w:val="0"/>
          <w:color w:val="auto"/>
          <w:spacing w:val="0"/>
          <w:kern w:val="0"/>
          <w:sz w:val="32"/>
          <w:szCs w:val="32"/>
          <w:u w:val="none" w:color="auto"/>
          <w:shd w:val="clear" w:fill="FFFFFF"/>
          <w:lang w:val="en-US" w:eastAsia="zh-CN" w:bidi="ar"/>
        </w:rPr>
      </w:pPr>
      <w:r>
        <w:rPr>
          <w:rFonts w:hint="eastAsia" w:ascii="仿宋_GB2312" w:hAnsi="仿宋_GB2312" w:eastAsia="仿宋_GB2312" w:cs="仿宋_GB2312"/>
          <w:i w:val="0"/>
          <w:caps w:val="0"/>
          <w:color w:val="auto"/>
          <w:spacing w:val="0"/>
          <w:kern w:val="0"/>
          <w:sz w:val="32"/>
          <w:szCs w:val="32"/>
          <w:u w:val="none" w:color="auto"/>
          <w:shd w:val="clear" w:fill="FFFFFF"/>
          <w:lang w:val="en-US" w:eastAsia="zh-CN" w:bidi="ar"/>
        </w:rPr>
        <w:t>统筹区医疗保障经办机构应将审核结果向同级医疗保障行政部门备案。审核通过的，应将其纳入拟签订协议评估机构名单，并向社会公示，公示期不少于5天。审核未通过的，应告知其理由。</w:t>
      </w:r>
    </w:p>
    <w:p w14:paraId="40BD02DA">
      <w:pPr>
        <w:pStyle w:val="3"/>
        <w:ind w:firstLine="640" w:firstLineChars="200"/>
        <w:rPr>
          <w:rFonts w:hint="eastAsia" w:ascii="仿宋_GB2312" w:hAnsi="仿宋_GB2312" w:eastAsia="仿宋_GB2312" w:cs="仿宋_GB2312"/>
          <w:i w:val="0"/>
          <w:caps w:val="0"/>
          <w:color w:val="auto"/>
          <w:spacing w:val="0"/>
          <w:kern w:val="0"/>
          <w:sz w:val="32"/>
          <w:szCs w:val="32"/>
          <w:u w:val="none" w:color="auto"/>
          <w:shd w:val="clear" w:fill="FFFFFF"/>
        </w:rPr>
      </w:pPr>
      <w:r>
        <w:rPr>
          <w:rFonts w:hint="eastAsia" w:ascii="黑体" w:hAnsi="黑体" w:eastAsia="黑体" w:cs="黑体"/>
          <w:i w:val="0"/>
          <w:caps w:val="0"/>
          <w:color w:val="auto"/>
          <w:spacing w:val="0"/>
          <w:kern w:val="0"/>
          <w:sz w:val="32"/>
          <w:szCs w:val="32"/>
          <w:u w:val="none" w:color="auto"/>
          <w:shd w:val="clear" w:fill="FFFFFF"/>
          <w:lang w:val="en-US" w:eastAsia="zh-CN" w:bidi="ar"/>
        </w:rPr>
        <w:t>第十条</w:t>
      </w:r>
      <w:r>
        <w:rPr>
          <w:rFonts w:hint="eastAsia" w:ascii="仿宋_GB2312" w:hAnsi="仿宋_GB2312" w:eastAsia="仿宋_GB2312" w:cs="仿宋_GB2312"/>
          <w:i w:val="0"/>
          <w:caps w:val="0"/>
          <w:color w:val="auto"/>
          <w:spacing w:val="0"/>
          <w:kern w:val="0"/>
          <w:sz w:val="32"/>
          <w:szCs w:val="32"/>
          <w:u w:val="none" w:color="auto"/>
          <w:shd w:val="clear" w:fill="FFFFFF"/>
          <w:lang w:val="en-US" w:eastAsia="zh-CN" w:bidi="ar"/>
        </w:rPr>
        <w:t xml:space="preserve"> 医疗保障经办机构与审核通过的评估机构协商谈判，达成一致的，自愿签订服务协议。原则上应由县级及以上的医疗保障经办机构与评估机构签订服务协议，并向同级医疗保障行政部门备案。服务协议应明确双方权利、义务和责任，协议期限一般为1年。</w:t>
      </w:r>
    </w:p>
    <w:p w14:paraId="186BD38E">
      <w:pPr>
        <w:pStyle w:val="3"/>
        <w:ind w:firstLine="640" w:firstLineChars="200"/>
        <w:rPr>
          <w:rFonts w:hint="eastAsia" w:ascii="仿宋_GB2312" w:hAnsi="仿宋_GB2312" w:eastAsia="仿宋_GB2312" w:cs="仿宋_GB2312"/>
          <w:color w:val="auto"/>
          <w:kern w:val="0"/>
          <w:sz w:val="32"/>
          <w:szCs w:val="32"/>
          <w:u w:val="none" w:color="auto"/>
          <w:shd w:val="clear" w:fill="FFFFFF"/>
          <w:lang w:eastAsia="zh-CN" w:bidi="ar"/>
        </w:rPr>
      </w:pPr>
      <w:r>
        <w:rPr>
          <w:rFonts w:hint="eastAsia" w:ascii="黑体" w:hAnsi="黑体" w:eastAsia="黑体" w:cs="黑体"/>
          <w:i w:val="0"/>
          <w:caps w:val="0"/>
          <w:color w:val="auto"/>
          <w:spacing w:val="0"/>
          <w:kern w:val="0"/>
          <w:sz w:val="32"/>
          <w:szCs w:val="32"/>
          <w:u w:val="none" w:color="auto"/>
          <w:shd w:val="clear" w:fill="FFFFFF"/>
          <w:lang w:val="en-US" w:eastAsia="zh-CN" w:bidi="ar"/>
        </w:rPr>
        <w:t>第十一条</w:t>
      </w:r>
      <w:r>
        <w:rPr>
          <w:rFonts w:hint="eastAsia" w:ascii="仿宋_GB2312" w:hAnsi="仿宋_GB2312" w:eastAsia="仿宋_GB2312" w:cs="仿宋_GB2312"/>
          <w:i w:val="0"/>
          <w:caps w:val="0"/>
          <w:color w:val="auto"/>
          <w:spacing w:val="0"/>
          <w:kern w:val="0"/>
          <w:sz w:val="32"/>
          <w:szCs w:val="32"/>
          <w:u w:val="none" w:color="auto"/>
          <w:shd w:val="clear" w:fill="FFFFFF"/>
          <w:lang w:val="en-US" w:eastAsia="zh-CN" w:bidi="ar"/>
        </w:rPr>
        <w:t xml:space="preserve"> 医疗保障经办机构应当向社会公布签订服务协议的定点评估机构名单。</w:t>
      </w:r>
    </w:p>
    <w:p w14:paraId="623FE2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u w:val="none" w:color="auto"/>
          <w:shd w:val="clear" w:fill="FFFFFF"/>
        </w:rPr>
      </w:pPr>
      <w:r>
        <w:rPr>
          <w:rFonts w:hint="eastAsia" w:ascii="黑体" w:hAnsi="黑体" w:eastAsia="黑体" w:cs="黑体"/>
          <w:i w:val="0"/>
          <w:caps w:val="0"/>
          <w:color w:val="auto"/>
          <w:spacing w:val="0"/>
          <w:kern w:val="0"/>
          <w:sz w:val="32"/>
          <w:szCs w:val="32"/>
          <w:u w:val="none" w:color="auto"/>
          <w:shd w:val="clear" w:fill="FFFFFF"/>
          <w:lang w:val="en-US" w:eastAsia="zh-CN" w:bidi="ar"/>
        </w:rPr>
        <w:t>第十二条</w:t>
      </w:r>
      <w:r>
        <w:rPr>
          <w:rFonts w:hint="eastAsia" w:ascii="仿宋_GB2312" w:hAnsi="仿宋_GB2312" w:eastAsia="仿宋_GB2312" w:cs="仿宋_GB2312"/>
          <w:i w:val="0"/>
          <w:caps w:val="0"/>
          <w:color w:val="auto"/>
          <w:spacing w:val="0"/>
          <w:kern w:val="0"/>
          <w:sz w:val="32"/>
          <w:szCs w:val="32"/>
          <w:u w:val="none" w:color="auto"/>
          <w:shd w:val="clear" w:fill="FFFFFF"/>
          <w:lang w:val="en-US" w:eastAsia="zh-CN" w:bidi="ar"/>
        </w:rPr>
        <w:t xml:space="preserve"> 评估机构有下列情形之一的，不予受理定点申请：</w:t>
      </w:r>
    </w:p>
    <w:p w14:paraId="50594F97">
      <w:pPr>
        <w:pStyle w:val="3"/>
        <w:ind w:firstLine="960" w:firstLineChars="300"/>
        <w:rPr>
          <w:rFonts w:hint="eastAsia" w:ascii="仿宋_GB2312" w:hAnsi="仿宋_GB2312" w:eastAsia="仿宋_GB2312" w:cs="仿宋_GB2312"/>
          <w:i w:val="0"/>
          <w:caps w:val="0"/>
          <w:color w:val="auto"/>
          <w:spacing w:val="0"/>
          <w:kern w:val="0"/>
          <w:sz w:val="32"/>
          <w:szCs w:val="32"/>
          <w:u w:val="none" w:color="auto"/>
          <w:shd w:val="clear" w:fill="FFFFFF"/>
          <w:lang w:val="en-US" w:eastAsia="zh-CN" w:bidi="ar"/>
        </w:rPr>
      </w:pPr>
      <w:r>
        <w:rPr>
          <w:rFonts w:hint="eastAsia" w:ascii="仿宋_GB2312" w:hAnsi="仿宋_GB2312" w:eastAsia="仿宋_GB2312" w:cs="仿宋_GB2312"/>
          <w:i w:val="0"/>
          <w:caps w:val="0"/>
          <w:color w:val="auto"/>
          <w:spacing w:val="0"/>
          <w:kern w:val="0"/>
          <w:sz w:val="32"/>
          <w:szCs w:val="32"/>
          <w:u w:val="none" w:color="auto"/>
          <w:shd w:val="clear" w:fill="FFFFFF"/>
          <w:lang w:val="en-US" w:eastAsia="zh-CN" w:bidi="ar"/>
        </w:rPr>
        <w:t>（一）采取伪造、篡改申请材料等不正当手段申请长护险定点评估机构，自发现之日起未满3年的；</w:t>
      </w:r>
    </w:p>
    <w:p w14:paraId="76E9E0A4">
      <w:pPr>
        <w:pStyle w:val="3"/>
        <w:ind w:firstLine="960" w:firstLineChars="300"/>
        <w:rPr>
          <w:rFonts w:hint="eastAsia" w:ascii="仿宋_GB2312" w:hAnsi="仿宋_GB2312" w:eastAsia="仿宋_GB2312" w:cs="仿宋_GB2312"/>
          <w:i w:val="0"/>
          <w:caps w:val="0"/>
          <w:color w:val="auto"/>
          <w:spacing w:val="0"/>
          <w:kern w:val="0"/>
          <w:sz w:val="32"/>
          <w:szCs w:val="32"/>
          <w:u w:val="none" w:color="auto"/>
          <w:shd w:val="clear" w:fill="FFFFFF"/>
          <w:lang w:val="en-US" w:eastAsia="zh-CN" w:bidi="ar"/>
        </w:rPr>
      </w:pPr>
      <w:r>
        <w:rPr>
          <w:rFonts w:hint="eastAsia" w:ascii="仿宋_GB2312" w:hAnsi="仿宋_GB2312" w:eastAsia="仿宋_GB2312" w:cs="仿宋_GB2312"/>
          <w:i w:val="0"/>
          <w:caps w:val="0"/>
          <w:color w:val="auto"/>
          <w:spacing w:val="0"/>
          <w:kern w:val="0"/>
          <w:sz w:val="32"/>
          <w:szCs w:val="32"/>
          <w:u w:val="none" w:color="auto"/>
          <w:shd w:val="clear" w:fill="FFFFFF"/>
          <w:lang w:val="en-US" w:eastAsia="zh-CN" w:bidi="ar"/>
        </w:rPr>
        <w:t>（二）因违法违规被解除评估服务协议未满 3 年或已满3年但未完全履行行政处罚法律责任的；</w:t>
      </w:r>
    </w:p>
    <w:p w14:paraId="617BF924">
      <w:pPr>
        <w:pStyle w:val="3"/>
        <w:ind w:firstLine="960" w:firstLineChars="300"/>
        <w:rPr>
          <w:rFonts w:hint="eastAsia" w:ascii="仿宋_GB2312" w:hAnsi="仿宋_GB2312" w:eastAsia="仿宋_GB2312" w:cs="仿宋_GB2312"/>
          <w:i w:val="0"/>
          <w:caps w:val="0"/>
          <w:color w:val="auto"/>
          <w:spacing w:val="0"/>
          <w:kern w:val="0"/>
          <w:sz w:val="32"/>
          <w:szCs w:val="32"/>
          <w:u w:val="none" w:color="auto"/>
          <w:shd w:val="clear" w:fill="FFFFFF"/>
          <w:lang w:val="en-US" w:eastAsia="zh-CN" w:bidi="ar"/>
        </w:rPr>
      </w:pPr>
      <w:r>
        <w:rPr>
          <w:rFonts w:hint="eastAsia" w:ascii="仿宋_GB2312" w:hAnsi="仿宋_GB2312" w:eastAsia="仿宋_GB2312" w:cs="仿宋_GB2312"/>
          <w:i w:val="0"/>
          <w:caps w:val="0"/>
          <w:color w:val="auto"/>
          <w:spacing w:val="0"/>
          <w:kern w:val="0"/>
          <w:sz w:val="32"/>
          <w:szCs w:val="32"/>
          <w:u w:val="none" w:color="auto"/>
          <w:shd w:val="clear" w:fill="FFFFFF"/>
          <w:lang w:val="en-US" w:eastAsia="zh-CN" w:bidi="ar"/>
        </w:rPr>
        <w:t>（三）因严重违反评估服务协议约定被解除协议未满 1 年或已满1年但未完全履行违约责任的；</w:t>
      </w:r>
    </w:p>
    <w:p w14:paraId="36831B91">
      <w:pPr>
        <w:pStyle w:val="3"/>
        <w:ind w:firstLine="960" w:firstLineChars="300"/>
        <w:rPr>
          <w:rFonts w:hint="eastAsia" w:ascii="仿宋_GB2312" w:hAnsi="仿宋_GB2312" w:eastAsia="仿宋_GB2312" w:cs="仿宋_GB2312"/>
          <w:i w:val="0"/>
          <w:caps w:val="0"/>
          <w:color w:val="auto"/>
          <w:spacing w:val="0"/>
          <w:kern w:val="0"/>
          <w:sz w:val="32"/>
          <w:szCs w:val="32"/>
          <w:u w:val="none" w:color="auto"/>
          <w:shd w:val="clear" w:fill="FFFFFF"/>
          <w:lang w:val="en-US" w:eastAsia="zh-CN" w:bidi="ar"/>
        </w:rPr>
      </w:pPr>
      <w:r>
        <w:rPr>
          <w:rFonts w:hint="eastAsia" w:ascii="仿宋_GB2312" w:hAnsi="仿宋_GB2312" w:eastAsia="仿宋_GB2312" w:cs="仿宋_GB2312"/>
          <w:i w:val="0"/>
          <w:caps w:val="0"/>
          <w:color w:val="auto"/>
          <w:spacing w:val="0"/>
          <w:kern w:val="0"/>
          <w:sz w:val="32"/>
          <w:szCs w:val="32"/>
          <w:u w:val="none" w:color="auto"/>
          <w:shd w:val="clear" w:fill="FFFFFF"/>
          <w:lang w:val="en-US" w:eastAsia="zh-CN" w:bidi="ar"/>
        </w:rPr>
        <w:t>（四）法定代表人、主要负责人或实际控制人被列入失信人名单的；</w:t>
      </w:r>
    </w:p>
    <w:p w14:paraId="4DF6FAEA">
      <w:pPr>
        <w:pStyle w:val="3"/>
        <w:ind w:firstLine="960" w:firstLineChars="300"/>
        <w:rPr>
          <w:rFonts w:hint="eastAsia" w:ascii="仿宋_GB2312" w:hAnsi="仿宋_GB2312" w:eastAsia="仿宋_GB2312" w:cs="仿宋_GB2312"/>
          <w:color w:val="auto"/>
          <w:kern w:val="0"/>
          <w:sz w:val="32"/>
          <w:szCs w:val="32"/>
          <w:u w:val="none" w:color="auto"/>
          <w:shd w:val="clear" w:fill="FFFFFF"/>
          <w:lang w:val="en-US" w:eastAsia="zh-CN" w:bidi="ar"/>
        </w:rPr>
      </w:pPr>
      <w:r>
        <w:rPr>
          <w:rFonts w:hint="eastAsia" w:ascii="仿宋_GB2312" w:hAnsi="仿宋_GB2312" w:eastAsia="仿宋_GB2312" w:cs="仿宋_GB2312"/>
          <w:color w:val="auto"/>
          <w:kern w:val="0"/>
          <w:sz w:val="32"/>
          <w:szCs w:val="32"/>
          <w:u w:val="none" w:color="auto"/>
          <w:shd w:val="clear" w:fill="FFFFFF"/>
          <w:lang w:val="en-US" w:eastAsia="zh-CN" w:bidi="ar"/>
        </w:rPr>
        <w:t>（五）有涉嫌违法违规行为，有关部门正在调查的；</w:t>
      </w:r>
    </w:p>
    <w:p w14:paraId="0FDEACC0">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960" w:firstLineChars="300"/>
        <w:textAlignment w:val="auto"/>
        <w:outlineLvl w:val="9"/>
        <w:rPr>
          <w:rFonts w:hint="default" w:ascii="仿宋_GB2312" w:hAnsi="仿宋_GB2312" w:eastAsia="仿宋_GB2312" w:cs="仿宋_GB2312"/>
          <w:i w:val="0"/>
          <w:caps w:val="0"/>
          <w:color w:val="auto"/>
          <w:spacing w:val="0"/>
          <w:kern w:val="0"/>
          <w:sz w:val="32"/>
          <w:szCs w:val="32"/>
          <w:u w:val="none" w:color="auto"/>
          <w:shd w:val="clear" w:fill="FFFFFF"/>
          <w:lang w:val="en-US" w:eastAsia="zh-CN" w:bidi="ar"/>
        </w:rPr>
      </w:pPr>
      <w:r>
        <w:rPr>
          <w:rFonts w:hint="default" w:ascii="仿宋_GB2312" w:hAnsi="仿宋_GB2312" w:eastAsia="仿宋_GB2312" w:cs="仿宋_GB2312"/>
          <w:i w:val="0"/>
          <w:caps w:val="0"/>
          <w:color w:val="auto"/>
          <w:spacing w:val="0"/>
          <w:kern w:val="0"/>
          <w:sz w:val="32"/>
          <w:szCs w:val="32"/>
          <w:u w:val="none" w:color="auto"/>
          <w:shd w:val="clear" w:fill="FFFFFF"/>
          <w:lang w:val="en-US" w:eastAsia="zh-CN" w:bidi="ar"/>
        </w:rPr>
        <w:t>（</w:t>
      </w:r>
      <w:r>
        <w:rPr>
          <w:rFonts w:hint="eastAsia" w:ascii="仿宋_GB2312" w:hAnsi="仿宋_GB2312" w:eastAsia="仿宋_GB2312" w:cs="仿宋_GB2312"/>
          <w:i w:val="0"/>
          <w:caps w:val="0"/>
          <w:color w:val="auto"/>
          <w:spacing w:val="0"/>
          <w:kern w:val="0"/>
          <w:sz w:val="32"/>
          <w:szCs w:val="32"/>
          <w:u w:val="none" w:color="auto"/>
          <w:shd w:val="clear" w:fill="FFFFFF"/>
          <w:lang w:val="en-US" w:eastAsia="zh-CN" w:bidi="ar"/>
        </w:rPr>
        <w:t>六</w:t>
      </w:r>
      <w:r>
        <w:rPr>
          <w:rFonts w:hint="default" w:ascii="仿宋_GB2312" w:hAnsi="仿宋_GB2312" w:eastAsia="仿宋_GB2312" w:cs="仿宋_GB2312"/>
          <w:i w:val="0"/>
          <w:caps w:val="0"/>
          <w:color w:val="auto"/>
          <w:spacing w:val="0"/>
          <w:kern w:val="0"/>
          <w:sz w:val="32"/>
          <w:szCs w:val="32"/>
          <w:u w:val="none" w:color="auto"/>
          <w:shd w:val="clear" w:fill="FFFFFF"/>
          <w:lang w:val="en-US" w:eastAsia="zh-CN" w:bidi="ar"/>
        </w:rPr>
        <w:t>）法律法规规定的其他不予受理的情形。</w:t>
      </w:r>
    </w:p>
    <w:p w14:paraId="4991CF18">
      <w:pPr>
        <w:pStyle w:val="10"/>
        <w:numPr>
          <w:ilvl w:val="0"/>
          <w:numId w:val="0"/>
        </w:numPr>
        <w:spacing w:line="360" w:lineRule="auto"/>
        <w:ind w:firstLine="630" w:firstLineChars="300"/>
        <w:outlineLvl w:val="9"/>
        <w:rPr>
          <w:rFonts w:hint="eastAsia"/>
          <w:color w:val="auto"/>
          <w:u w:val="none" w:color="auto"/>
          <w:lang w:val="en-US" w:eastAsia="zh-CN"/>
        </w:rPr>
      </w:pPr>
    </w:p>
    <w:p w14:paraId="4F7EFF83">
      <w:pPr>
        <w:pStyle w:val="3"/>
        <w:numPr>
          <w:ilvl w:val="0"/>
          <w:numId w:val="1"/>
        </w:numPr>
        <w:jc w:val="center"/>
        <w:rPr>
          <w:rFonts w:hint="eastAsia" w:ascii="黑体" w:hAnsi="黑体" w:eastAsia="黑体" w:cs="黑体"/>
          <w:color w:val="auto"/>
          <w:kern w:val="0"/>
          <w:sz w:val="32"/>
          <w:szCs w:val="32"/>
          <w:u w:val="none" w:color="auto"/>
          <w:shd w:val="clear" w:fill="FFFFFF"/>
          <w:lang w:val="en-US" w:eastAsia="zh-CN" w:bidi="ar"/>
        </w:rPr>
      </w:pPr>
      <w:r>
        <w:rPr>
          <w:rFonts w:hint="eastAsia" w:ascii="黑体" w:hAnsi="黑体" w:eastAsia="黑体" w:cs="黑体"/>
          <w:color w:val="auto"/>
          <w:kern w:val="0"/>
          <w:sz w:val="32"/>
          <w:szCs w:val="32"/>
          <w:u w:val="none" w:color="auto"/>
          <w:shd w:val="clear" w:fill="FFFFFF"/>
          <w:lang w:val="en-US" w:eastAsia="zh-CN" w:bidi="ar"/>
        </w:rPr>
        <w:t>定点</w:t>
      </w:r>
      <w:r>
        <w:rPr>
          <w:rFonts w:hint="eastAsia" w:ascii="黑体" w:hAnsi="黑体" w:eastAsia="黑体" w:cs="黑体"/>
          <w:color w:val="auto"/>
          <w:kern w:val="0"/>
          <w:sz w:val="32"/>
          <w:szCs w:val="32"/>
          <w:u w:val="none" w:color="auto"/>
          <w:shd w:val="clear" w:fill="FFFFFF"/>
          <w:lang w:bidi="ar"/>
        </w:rPr>
        <w:t>评估机构运行</w:t>
      </w:r>
      <w:r>
        <w:rPr>
          <w:rFonts w:hint="eastAsia" w:ascii="黑体" w:hAnsi="黑体" w:eastAsia="黑体" w:cs="黑体"/>
          <w:color w:val="auto"/>
          <w:kern w:val="0"/>
          <w:sz w:val="32"/>
          <w:szCs w:val="32"/>
          <w:u w:val="none" w:color="auto"/>
          <w:shd w:val="clear" w:fill="FFFFFF"/>
          <w:lang w:val="en-US" w:eastAsia="zh-CN" w:bidi="ar"/>
        </w:rPr>
        <w:t>管理</w:t>
      </w:r>
    </w:p>
    <w:p w14:paraId="6C929021">
      <w:pPr>
        <w:pStyle w:val="3"/>
        <w:rPr>
          <w:rFonts w:hint="eastAsia"/>
          <w:color w:val="auto"/>
          <w:u w:val="none" w:color="auto"/>
          <w:lang w:val="en-US" w:eastAsia="zh-CN"/>
        </w:rPr>
      </w:pPr>
    </w:p>
    <w:p w14:paraId="1DD651D8">
      <w:pPr>
        <w:keepNext w:val="0"/>
        <w:keepLines w:val="0"/>
        <w:widowControl/>
        <w:suppressLineNumbers w:val="0"/>
        <w:ind w:firstLine="640" w:firstLineChars="200"/>
        <w:jc w:val="left"/>
        <w:rPr>
          <w:rFonts w:hint="eastAsia" w:ascii="仿宋_GB2312" w:hAnsi="仿宋_GB2312" w:eastAsia="仿宋_GB2312" w:cs="仿宋_GB2312"/>
          <w:color w:val="auto"/>
          <w:kern w:val="0"/>
          <w:sz w:val="32"/>
          <w:szCs w:val="32"/>
          <w:u w:val="none" w:color="auto"/>
          <w:shd w:val="clear" w:fill="FFFFFF"/>
          <w:lang w:bidi="ar"/>
        </w:rPr>
      </w:pPr>
      <w:r>
        <w:rPr>
          <w:rFonts w:hint="eastAsia" w:ascii="黑体" w:hAnsi="黑体" w:eastAsia="黑体" w:cs="黑体"/>
          <w:b w:val="0"/>
          <w:bCs w:val="0"/>
          <w:color w:val="auto"/>
          <w:kern w:val="0"/>
          <w:sz w:val="32"/>
          <w:szCs w:val="32"/>
          <w:u w:val="none" w:color="auto"/>
          <w:shd w:val="clear" w:fill="FFFFFF"/>
          <w:lang w:val="en-US" w:eastAsia="zh-CN" w:bidi="ar"/>
        </w:rPr>
        <w:t xml:space="preserve">第十三条 </w:t>
      </w:r>
      <w:r>
        <w:rPr>
          <w:rFonts w:hint="eastAsia" w:ascii="仿宋_GB2312" w:hAnsi="仿宋_GB2312" w:eastAsia="仿宋_GB2312" w:cs="仿宋_GB2312"/>
          <w:color w:val="auto"/>
          <w:kern w:val="0"/>
          <w:sz w:val="32"/>
          <w:szCs w:val="32"/>
          <w:u w:val="none" w:color="auto"/>
          <w:shd w:val="clear" w:fill="FFFFFF"/>
          <w:lang w:val="en-US" w:eastAsia="zh-CN" w:bidi="ar"/>
        </w:rPr>
        <w:t xml:space="preserve">定点评估机构应当遵守长护险有关政策规定，按照评估服务协议要求，加强内部建设，组织评估人员公平公正开展失能等级评估工作，确保评估质量和评估结论准确性。 </w:t>
      </w:r>
    </w:p>
    <w:p w14:paraId="03B0D9FC">
      <w:pPr>
        <w:keepNext w:val="0"/>
        <w:keepLines w:val="0"/>
        <w:widowControl/>
        <w:suppressLineNumbers w:val="0"/>
        <w:ind w:firstLine="640" w:firstLineChars="200"/>
        <w:jc w:val="left"/>
        <w:rPr>
          <w:rFonts w:hint="eastAsia" w:ascii="仿宋_GB2312" w:hAnsi="仿宋_GB2312" w:eastAsia="仿宋_GB2312" w:cs="仿宋_GB2312"/>
          <w:color w:val="auto"/>
          <w:kern w:val="0"/>
          <w:sz w:val="32"/>
          <w:szCs w:val="32"/>
          <w:u w:val="none" w:color="auto"/>
          <w:shd w:val="clear" w:fill="FFFFFF"/>
          <w:lang w:bidi="ar"/>
        </w:rPr>
      </w:pPr>
      <w:r>
        <w:rPr>
          <w:rFonts w:hint="eastAsia" w:ascii="黑体" w:hAnsi="黑体" w:eastAsia="黑体" w:cs="黑体"/>
          <w:b w:val="0"/>
          <w:bCs w:val="0"/>
          <w:color w:val="auto"/>
          <w:kern w:val="0"/>
          <w:sz w:val="32"/>
          <w:szCs w:val="32"/>
          <w:u w:val="none" w:color="auto"/>
          <w:shd w:val="clear" w:fill="FFFFFF"/>
          <w:lang w:val="en-US" w:eastAsia="zh-CN" w:bidi="ar"/>
        </w:rPr>
        <w:t xml:space="preserve">第十四条 </w:t>
      </w:r>
      <w:r>
        <w:rPr>
          <w:rFonts w:hint="eastAsia" w:ascii="仿宋_GB2312" w:hAnsi="仿宋_GB2312" w:eastAsia="仿宋_GB2312" w:cs="仿宋_GB2312"/>
          <w:color w:val="auto"/>
          <w:kern w:val="0"/>
          <w:sz w:val="32"/>
          <w:szCs w:val="32"/>
          <w:u w:val="none" w:color="auto"/>
          <w:shd w:val="clear" w:fill="FFFFFF"/>
          <w:lang w:val="en-US" w:eastAsia="zh-CN" w:bidi="ar"/>
        </w:rPr>
        <w:t xml:space="preserve">定点评估机构应当建立健全内部质量控制制度，形成部门之间、岗位之间和业务之间相互制衡、相互监督的内控机制。 </w:t>
      </w:r>
    </w:p>
    <w:p w14:paraId="3D1D9CC0">
      <w:pPr>
        <w:keepNext w:val="0"/>
        <w:keepLines w:val="0"/>
        <w:widowControl/>
        <w:suppressLineNumbers w:val="0"/>
        <w:ind w:firstLine="640" w:firstLineChars="200"/>
        <w:jc w:val="left"/>
        <w:rPr>
          <w:rFonts w:hint="eastAsia" w:ascii="仿宋_GB2312" w:hAnsi="仿宋_GB2312" w:eastAsia="仿宋_GB2312" w:cs="仿宋_GB2312"/>
          <w:color w:val="auto"/>
          <w:kern w:val="0"/>
          <w:sz w:val="32"/>
          <w:szCs w:val="32"/>
          <w:u w:val="none" w:color="auto"/>
          <w:shd w:val="clear" w:fill="FFFFFF"/>
          <w:lang w:bidi="ar"/>
        </w:rPr>
      </w:pPr>
      <w:r>
        <w:rPr>
          <w:rFonts w:hint="eastAsia" w:ascii="黑体" w:hAnsi="黑体" w:eastAsia="黑体" w:cs="黑体"/>
          <w:b w:val="0"/>
          <w:bCs w:val="0"/>
          <w:color w:val="auto"/>
          <w:kern w:val="0"/>
          <w:sz w:val="32"/>
          <w:szCs w:val="32"/>
          <w:u w:val="none" w:color="auto"/>
          <w:shd w:val="clear" w:fill="FFFFFF"/>
          <w:lang w:val="en-US" w:eastAsia="zh-CN" w:bidi="ar"/>
        </w:rPr>
        <w:t xml:space="preserve">第十五条 </w:t>
      </w:r>
      <w:r>
        <w:rPr>
          <w:rFonts w:hint="eastAsia" w:ascii="仿宋_GB2312" w:hAnsi="仿宋_GB2312" w:eastAsia="仿宋_GB2312" w:cs="仿宋_GB2312"/>
          <w:color w:val="auto"/>
          <w:kern w:val="0"/>
          <w:sz w:val="32"/>
          <w:szCs w:val="32"/>
          <w:u w:val="none" w:color="auto"/>
          <w:shd w:val="clear" w:fill="FFFFFF"/>
          <w:lang w:val="en-US" w:eastAsia="zh-CN" w:bidi="ar"/>
        </w:rPr>
        <w:t xml:space="preserve">定点评估机构应当建立人员管理制度，加强日常管理和工作质量考核评价，规范评估工作行为。应组织评估人员参加业务培训，定期组织内部培训，确保评估人员熟悉长护险相关政策、掌握评估技能，提高评估专业水平。失能等级评估人员除具备规定的基本条件外，应按规定参加失能等级评估人员培训考核合格后上岗。 </w:t>
      </w:r>
    </w:p>
    <w:p w14:paraId="2BFD65B4">
      <w:pPr>
        <w:keepNext w:val="0"/>
        <w:keepLines w:val="0"/>
        <w:widowControl/>
        <w:suppressLineNumbers w:val="0"/>
        <w:ind w:firstLine="640" w:firstLineChars="200"/>
        <w:jc w:val="left"/>
        <w:rPr>
          <w:rFonts w:hint="eastAsia" w:ascii="仿宋_GB2312" w:hAnsi="仿宋_GB2312" w:eastAsia="仿宋_GB2312" w:cs="仿宋_GB2312"/>
          <w:color w:val="auto"/>
          <w:kern w:val="0"/>
          <w:sz w:val="32"/>
          <w:szCs w:val="32"/>
          <w:u w:val="none" w:color="auto"/>
          <w:shd w:val="clear" w:fill="FFFFFF"/>
          <w:lang w:bidi="ar"/>
        </w:rPr>
      </w:pPr>
      <w:r>
        <w:rPr>
          <w:rFonts w:hint="eastAsia" w:ascii="黑体" w:hAnsi="黑体" w:eastAsia="黑体" w:cs="黑体"/>
          <w:b w:val="0"/>
          <w:bCs w:val="0"/>
          <w:color w:val="auto"/>
          <w:kern w:val="0"/>
          <w:sz w:val="32"/>
          <w:szCs w:val="32"/>
          <w:u w:val="none" w:color="auto"/>
          <w:shd w:val="clear" w:fill="FFFFFF"/>
          <w:lang w:val="en-US" w:eastAsia="zh-CN" w:bidi="ar"/>
        </w:rPr>
        <w:t xml:space="preserve">第十六条 </w:t>
      </w:r>
      <w:r>
        <w:rPr>
          <w:rFonts w:hint="eastAsia" w:ascii="仿宋_GB2312" w:hAnsi="仿宋_GB2312" w:eastAsia="仿宋_GB2312" w:cs="仿宋_GB2312"/>
          <w:color w:val="auto"/>
          <w:kern w:val="0"/>
          <w:sz w:val="32"/>
          <w:szCs w:val="32"/>
          <w:u w:val="none" w:color="auto"/>
          <w:shd w:val="clear" w:fill="FFFFFF"/>
          <w:lang w:val="en-US" w:eastAsia="zh-CN" w:bidi="ar"/>
        </w:rPr>
        <w:t xml:space="preserve">统筹区医疗保障部门建立长护险失能等级评估人员库，并纳入统筹区长护险失能等级评估管理系统，管理和使用按照“统一标准、集中管理、区域共用、动态更新、随机抽取”的原则，满足统筹区失能等级评估需求。 </w:t>
      </w:r>
    </w:p>
    <w:p w14:paraId="6C03A52E">
      <w:pPr>
        <w:keepNext w:val="0"/>
        <w:keepLines w:val="0"/>
        <w:widowControl/>
        <w:suppressLineNumbers w:val="0"/>
        <w:ind w:firstLine="640" w:firstLineChars="200"/>
        <w:jc w:val="left"/>
        <w:rPr>
          <w:rFonts w:hint="eastAsia" w:ascii="仿宋_GB2312" w:hAnsi="仿宋_GB2312" w:eastAsia="仿宋_GB2312" w:cs="仿宋_GB2312"/>
          <w:color w:val="auto"/>
          <w:kern w:val="0"/>
          <w:sz w:val="32"/>
          <w:szCs w:val="32"/>
          <w:u w:val="none" w:color="auto"/>
          <w:shd w:val="clear" w:fill="FFFFFF"/>
          <w:lang w:bidi="ar"/>
        </w:rPr>
      </w:pPr>
      <w:r>
        <w:rPr>
          <w:rFonts w:hint="eastAsia" w:ascii="仿宋_GB2312" w:hAnsi="仿宋_GB2312" w:eastAsia="仿宋_GB2312" w:cs="仿宋_GB2312"/>
          <w:color w:val="auto"/>
          <w:kern w:val="0"/>
          <w:sz w:val="32"/>
          <w:szCs w:val="32"/>
          <w:u w:val="none" w:color="auto"/>
          <w:shd w:val="clear" w:fill="FFFFFF"/>
          <w:lang w:val="en-US" w:eastAsia="zh-CN" w:bidi="ar"/>
        </w:rPr>
        <w:t xml:space="preserve">评估员或评估专家有以下行为之一的，退出评估人员库，不得再从事长期护理保险失能等级评估工作。 </w:t>
      </w:r>
    </w:p>
    <w:p w14:paraId="51F685D9">
      <w:pPr>
        <w:keepNext w:val="0"/>
        <w:keepLines w:val="0"/>
        <w:widowControl/>
        <w:suppressLineNumbers w:val="0"/>
        <w:ind w:firstLine="640" w:firstLineChars="200"/>
        <w:jc w:val="left"/>
        <w:rPr>
          <w:rFonts w:hint="eastAsia" w:ascii="仿宋_GB2312" w:hAnsi="仿宋_GB2312" w:eastAsia="仿宋_GB2312" w:cs="仿宋_GB2312"/>
          <w:color w:val="auto"/>
          <w:kern w:val="0"/>
          <w:sz w:val="32"/>
          <w:szCs w:val="32"/>
          <w:u w:val="none" w:color="auto"/>
          <w:shd w:val="clear" w:fill="FFFFFF"/>
          <w:lang w:bidi="ar"/>
        </w:rPr>
      </w:pPr>
      <w:r>
        <w:rPr>
          <w:rFonts w:hint="eastAsia" w:ascii="仿宋_GB2312" w:hAnsi="仿宋_GB2312" w:eastAsia="仿宋_GB2312" w:cs="仿宋_GB2312"/>
          <w:color w:val="auto"/>
          <w:kern w:val="0"/>
          <w:sz w:val="32"/>
          <w:szCs w:val="32"/>
          <w:u w:val="none" w:color="auto"/>
          <w:shd w:val="clear" w:fill="FFFFFF"/>
          <w:lang w:val="en-US" w:eastAsia="zh-CN" w:bidi="ar"/>
        </w:rPr>
        <w:t xml:space="preserve">（一）提供虚假评估信息和虚假评估意见的； </w:t>
      </w:r>
    </w:p>
    <w:p w14:paraId="32DD1C3B">
      <w:pPr>
        <w:keepNext w:val="0"/>
        <w:keepLines w:val="0"/>
        <w:widowControl/>
        <w:suppressLineNumbers w:val="0"/>
        <w:ind w:firstLine="640" w:firstLineChars="200"/>
        <w:jc w:val="left"/>
        <w:rPr>
          <w:rFonts w:hint="eastAsia" w:ascii="仿宋_GB2312" w:hAnsi="仿宋_GB2312" w:eastAsia="仿宋_GB2312" w:cs="仿宋_GB2312"/>
          <w:color w:val="auto"/>
          <w:kern w:val="0"/>
          <w:sz w:val="32"/>
          <w:szCs w:val="32"/>
          <w:u w:val="none" w:color="auto"/>
          <w:shd w:val="clear" w:fill="FFFFFF"/>
          <w:lang w:bidi="ar"/>
        </w:rPr>
      </w:pPr>
      <w:r>
        <w:rPr>
          <w:rFonts w:hint="eastAsia" w:ascii="仿宋_GB2312" w:hAnsi="仿宋_GB2312" w:eastAsia="仿宋_GB2312" w:cs="仿宋_GB2312"/>
          <w:color w:val="auto"/>
          <w:kern w:val="0"/>
          <w:sz w:val="32"/>
          <w:szCs w:val="32"/>
          <w:u w:val="none" w:color="auto"/>
          <w:shd w:val="clear" w:fill="FFFFFF"/>
          <w:lang w:val="en-US" w:eastAsia="zh-CN" w:bidi="ar"/>
        </w:rPr>
        <w:t>（二）严禁利用职务或服务之便，非法收受当事人或服务对象所赠送的礼品、礼金、消费卡（券）、有价证券、股权、其他金融产品等任何财物，不得接受其提供的宴请、旅游、健身、娱乐等活动安排；</w:t>
      </w:r>
    </w:p>
    <w:p w14:paraId="21985B42">
      <w:pPr>
        <w:keepNext w:val="0"/>
        <w:keepLines w:val="0"/>
        <w:widowControl/>
        <w:suppressLineNumbers w:val="0"/>
        <w:ind w:firstLine="640" w:firstLineChars="200"/>
        <w:jc w:val="left"/>
        <w:rPr>
          <w:rFonts w:hint="eastAsia" w:ascii="仿宋_GB2312" w:hAnsi="仿宋_GB2312" w:eastAsia="仿宋_GB2312" w:cs="仿宋_GB2312"/>
          <w:color w:val="auto"/>
          <w:kern w:val="0"/>
          <w:sz w:val="32"/>
          <w:szCs w:val="32"/>
          <w:u w:val="none" w:color="auto"/>
          <w:shd w:val="clear" w:fill="FFFFFF"/>
          <w:lang w:bidi="ar"/>
        </w:rPr>
      </w:pPr>
      <w:r>
        <w:rPr>
          <w:rFonts w:hint="eastAsia" w:ascii="仿宋_GB2312" w:hAnsi="仿宋_GB2312" w:eastAsia="仿宋_GB2312" w:cs="仿宋_GB2312"/>
          <w:color w:val="auto"/>
          <w:kern w:val="0"/>
          <w:sz w:val="32"/>
          <w:szCs w:val="32"/>
          <w:u w:val="none" w:color="auto"/>
          <w:shd w:val="clear" w:fill="FFFFFF"/>
          <w:lang w:val="en-US" w:eastAsia="zh-CN" w:bidi="ar"/>
        </w:rPr>
        <w:t xml:space="preserve">（三）无正当理由不履行职责的； </w:t>
      </w:r>
    </w:p>
    <w:p w14:paraId="16A34D78">
      <w:pPr>
        <w:keepNext w:val="0"/>
        <w:keepLines w:val="0"/>
        <w:widowControl/>
        <w:suppressLineNumbers w:val="0"/>
        <w:ind w:firstLine="640" w:firstLineChars="200"/>
        <w:jc w:val="left"/>
        <w:rPr>
          <w:rFonts w:hint="eastAsia" w:ascii="仿宋_GB2312" w:hAnsi="仿宋_GB2312" w:eastAsia="仿宋_GB2312" w:cs="仿宋_GB2312"/>
          <w:color w:val="auto"/>
          <w:kern w:val="0"/>
          <w:sz w:val="32"/>
          <w:szCs w:val="32"/>
          <w:u w:val="none" w:color="auto"/>
          <w:shd w:val="clear" w:fill="FFFFFF"/>
          <w:lang w:bidi="ar"/>
        </w:rPr>
      </w:pPr>
      <w:r>
        <w:rPr>
          <w:rFonts w:hint="eastAsia" w:ascii="仿宋_GB2312" w:hAnsi="仿宋_GB2312" w:eastAsia="仿宋_GB2312" w:cs="仿宋_GB2312"/>
          <w:color w:val="auto"/>
          <w:kern w:val="0"/>
          <w:sz w:val="32"/>
          <w:szCs w:val="32"/>
          <w:u w:val="none" w:color="auto"/>
          <w:shd w:val="clear" w:fill="FFFFFF"/>
          <w:lang w:val="en-US" w:eastAsia="zh-CN" w:bidi="ar"/>
        </w:rPr>
        <w:t xml:space="preserve">（四）法律法规规定的其他情形。 </w:t>
      </w:r>
    </w:p>
    <w:p w14:paraId="1123CDA7">
      <w:pPr>
        <w:keepNext w:val="0"/>
        <w:keepLines w:val="0"/>
        <w:widowControl/>
        <w:suppressLineNumbers w:val="0"/>
        <w:ind w:firstLine="640" w:firstLineChars="200"/>
        <w:jc w:val="left"/>
        <w:rPr>
          <w:rFonts w:hint="eastAsia" w:ascii="仿宋_GB2312" w:hAnsi="仿宋_GB2312" w:eastAsia="仿宋_GB2312" w:cs="仿宋_GB2312"/>
          <w:color w:val="auto"/>
          <w:kern w:val="0"/>
          <w:sz w:val="32"/>
          <w:szCs w:val="32"/>
          <w:u w:val="none" w:color="auto"/>
          <w:shd w:val="clear" w:fill="FFFFFF"/>
          <w:lang w:bidi="ar"/>
        </w:rPr>
      </w:pPr>
      <w:r>
        <w:rPr>
          <w:rFonts w:hint="eastAsia" w:ascii="黑体" w:hAnsi="黑体" w:eastAsia="黑体" w:cs="黑体"/>
          <w:b w:val="0"/>
          <w:bCs w:val="0"/>
          <w:color w:val="auto"/>
          <w:kern w:val="0"/>
          <w:sz w:val="32"/>
          <w:szCs w:val="32"/>
          <w:u w:val="none" w:color="auto"/>
          <w:shd w:val="clear" w:fill="FFFFFF"/>
          <w:lang w:val="en-US" w:eastAsia="zh-CN" w:bidi="ar"/>
        </w:rPr>
        <w:t xml:space="preserve">第十七条 </w:t>
      </w:r>
      <w:r>
        <w:rPr>
          <w:rFonts w:hint="eastAsia" w:ascii="仿宋_GB2312" w:hAnsi="仿宋_GB2312" w:eastAsia="仿宋_GB2312" w:cs="仿宋_GB2312"/>
          <w:color w:val="auto"/>
          <w:kern w:val="0"/>
          <w:sz w:val="32"/>
          <w:szCs w:val="32"/>
          <w:u w:val="none" w:color="auto"/>
          <w:shd w:val="clear" w:fill="FFFFFF"/>
          <w:lang w:val="en-US" w:eastAsia="zh-CN" w:bidi="ar"/>
        </w:rPr>
        <w:t xml:space="preserve">定点评估机构应建立评估档案管理制度，按要求做好失能等级评估申请材料、评估过程相关记录、评估结论书、内部管理控制相关记录等档案的留存归档。评估服务协议期满或终止前，应及时将档案完整移交至统筹区医疗保障经办机构。 </w:t>
      </w:r>
    </w:p>
    <w:p w14:paraId="70EAC83C">
      <w:pPr>
        <w:keepNext w:val="0"/>
        <w:keepLines w:val="0"/>
        <w:widowControl/>
        <w:suppressLineNumbers w:val="0"/>
        <w:ind w:firstLine="640" w:firstLineChars="200"/>
        <w:jc w:val="left"/>
        <w:rPr>
          <w:rFonts w:hint="eastAsia" w:ascii="仿宋_GB2312" w:hAnsi="仿宋_GB2312" w:eastAsia="仿宋_GB2312" w:cs="仿宋_GB2312"/>
          <w:color w:val="auto"/>
          <w:kern w:val="0"/>
          <w:sz w:val="32"/>
          <w:szCs w:val="32"/>
          <w:u w:val="none" w:color="auto"/>
          <w:shd w:val="clear" w:fill="FFFFFF"/>
          <w:lang w:bidi="ar"/>
        </w:rPr>
      </w:pPr>
      <w:r>
        <w:rPr>
          <w:rFonts w:hint="eastAsia" w:ascii="黑体" w:hAnsi="黑体" w:eastAsia="黑体" w:cs="黑体"/>
          <w:b w:val="0"/>
          <w:bCs w:val="0"/>
          <w:color w:val="auto"/>
          <w:kern w:val="0"/>
          <w:sz w:val="32"/>
          <w:szCs w:val="32"/>
          <w:u w:val="none" w:color="auto"/>
          <w:shd w:val="clear" w:fill="FFFFFF"/>
          <w:lang w:val="en-US" w:eastAsia="zh-CN" w:bidi="ar"/>
        </w:rPr>
        <w:t>第十八条</w:t>
      </w:r>
      <w:r>
        <w:rPr>
          <w:rFonts w:hint="eastAsia" w:ascii="仿宋_GB2312" w:hAnsi="仿宋_GB2312" w:eastAsia="仿宋_GB2312" w:cs="仿宋_GB2312"/>
          <w:b w:val="0"/>
          <w:bCs w:val="0"/>
          <w:color w:val="auto"/>
          <w:kern w:val="0"/>
          <w:sz w:val="32"/>
          <w:szCs w:val="32"/>
          <w:u w:val="none" w:color="auto"/>
          <w:shd w:val="clear" w:fill="FFFFFF"/>
          <w:lang w:val="en-US" w:eastAsia="zh-CN" w:bidi="ar"/>
        </w:rPr>
        <w:t xml:space="preserve"> </w:t>
      </w:r>
      <w:r>
        <w:rPr>
          <w:rFonts w:hint="eastAsia" w:ascii="仿宋_GB2312" w:hAnsi="仿宋_GB2312" w:eastAsia="仿宋_GB2312" w:cs="仿宋_GB2312"/>
          <w:color w:val="auto"/>
          <w:kern w:val="0"/>
          <w:sz w:val="32"/>
          <w:szCs w:val="32"/>
          <w:u w:val="none" w:color="auto"/>
          <w:shd w:val="clear" w:fill="FFFFFF"/>
          <w:lang w:val="en-US" w:eastAsia="zh-CN" w:bidi="ar"/>
        </w:rPr>
        <w:t xml:space="preserve">定点评估机构应当建立长护险信息安全管理制度，明确信息安全管理责任，确保信息安全。不得向任何机构或个人提供参保人员隐私信息（法律有规定的除外）。 </w:t>
      </w:r>
    </w:p>
    <w:p w14:paraId="26E68232">
      <w:pPr>
        <w:keepNext w:val="0"/>
        <w:keepLines w:val="0"/>
        <w:widowControl/>
        <w:suppressLineNumbers w:val="0"/>
        <w:ind w:firstLine="640" w:firstLineChars="200"/>
        <w:jc w:val="left"/>
        <w:rPr>
          <w:rFonts w:hint="eastAsia" w:ascii="仿宋_GB2312" w:hAnsi="仿宋_GB2312" w:eastAsia="仿宋_GB2312" w:cs="仿宋_GB2312"/>
          <w:color w:val="auto"/>
          <w:kern w:val="0"/>
          <w:sz w:val="32"/>
          <w:szCs w:val="32"/>
          <w:u w:val="none" w:color="auto"/>
          <w:shd w:val="clear" w:fill="FFFFFF"/>
          <w:lang w:bidi="ar"/>
        </w:rPr>
      </w:pPr>
      <w:r>
        <w:rPr>
          <w:rFonts w:hint="eastAsia" w:ascii="黑体" w:hAnsi="黑体" w:eastAsia="黑体" w:cs="黑体"/>
          <w:b w:val="0"/>
          <w:bCs w:val="0"/>
          <w:color w:val="auto"/>
          <w:kern w:val="0"/>
          <w:sz w:val="32"/>
          <w:szCs w:val="32"/>
          <w:u w:val="none" w:color="auto"/>
          <w:shd w:val="clear" w:fill="FFFFFF"/>
          <w:lang w:val="en-US" w:eastAsia="zh-CN" w:bidi="ar"/>
        </w:rPr>
        <w:t xml:space="preserve">第十九条 </w:t>
      </w:r>
      <w:r>
        <w:rPr>
          <w:rFonts w:hint="eastAsia" w:ascii="仿宋_GB2312" w:hAnsi="仿宋_GB2312" w:eastAsia="仿宋_GB2312" w:cs="仿宋_GB2312"/>
          <w:color w:val="auto"/>
          <w:kern w:val="0"/>
          <w:sz w:val="32"/>
          <w:szCs w:val="32"/>
          <w:u w:val="none" w:color="auto"/>
          <w:shd w:val="clear" w:fill="FFFFFF"/>
          <w:lang w:val="en-US" w:eastAsia="zh-CN" w:bidi="ar"/>
        </w:rPr>
        <w:t xml:space="preserve">定点评估机构应使用全省统一的医保信息平台长期护理保险失能等级评估相关功能模块和信息业务编码，做好定点评估机构和评估人员编码信息动态维护工作。 </w:t>
      </w:r>
    </w:p>
    <w:p w14:paraId="40B23131">
      <w:pPr>
        <w:keepNext w:val="0"/>
        <w:keepLines w:val="0"/>
        <w:widowControl/>
        <w:suppressLineNumbers w:val="0"/>
        <w:ind w:firstLine="640" w:firstLineChars="200"/>
        <w:jc w:val="left"/>
        <w:rPr>
          <w:rFonts w:hint="eastAsia" w:ascii="仿宋_GB2312" w:hAnsi="仿宋_GB2312" w:eastAsia="仿宋_GB2312" w:cs="仿宋_GB2312"/>
          <w:color w:val="auto"/>
          <w:kern w:val="0"/>
          <w:sz w:val="32"/>
          <w:szCs w:val="32"/>
          <w:u w:val="none" w:color="auto"/>
          <w:shd w:val="clear" w:fill="FFFFFF"/>
          <w:lang w:bidi="ar"/>
        </w:rPr>
      </w:pPr>
      <w:r>
        <w:rPr>
          <w:rFonts w:hint="eastAsia" w:ascii="黑体" w:hAnsi="黑体" w:eastAsia="黑体" w:cs="黑体"/>
          <w:b w:val="0"/>
          <w:bCs w:val="0"/>
          <w:color w:val="auto"/>
          <w:kern w:val="0"/>
          <w:sz w:val="32"/>
          <w:szCs w:val="32"/>
          <w:u w:val="none" w:color="auto"/>
          <w:shd w:val="clear" w:fill="FFFFFF"/>
          <w:lang w:val="en-US" w:eastAsia="zh-CN" w:bidi="ar"/>
        </w:rPr>
        <w:t xml:space="preserve">第二十条 </w:t>
      </w:r>
      <w:r>
        <w:rPr>
          <w:rFonts w:hint="eastAsia" w:ascii="仿宋_GB2312" w:hAnsi="仿宋_GB2312" w:eastAsia="仿宋_GB2312" w:cs="仿宋_GB2312"/>
          <w:color w:val="auto"/>
          <w:kern w:val="0"/>
          <w:sz w:val="32"/>
          <w:szCs w:val="32"/>
          <w:u w:val="none" w:color="auto"/>
          <w:shd w:val="clear" w:fill="FFFFFF"/>
          <w:lang w:val="en-US" w:eastAsia="zh-CN" w:bidi="ar"/>
        </w:rPr>
        <w:t>定点评估机构应主动配合医疗保障经办机构的日常检查、评估结论抽审、考核评价等工作，接受医疗保障行政部门的监督检查，并配合提供相关材料。</w:t>
      </w:r>
    </w:p>
    <w:p w14:paraId="6D88931D">
      <w:pPr>
        <w:keepNext w:val="0"/>
        <w:keepLines w:val="0"/>
        <w:widowControl/>
        <w:suppressLineNumbers w:val="0"/>
        <w:ind w:firstLine="640" w:firstLineChars="200"/>
        <w:jc w:val="left"/>
        <w:rPr>
          <w:rFonts w:hint="eastAsia" w:ascii="仿宋_GB2312" w:hAnsi="仿宋_GB2312" w:eastAsia="仿宋_GB2312" w:cs="仿宋_GB2312"/>
          <w:color w:val="auto"/>
          <w:kern w:val="0"/>
          <w:sz w:val="32"/>
          <w:szCs w:val="32"/>
          <w:u w:val="none" w:color="auto"/>
          <w:shd w:val="clear" w:fill="FFFFFF"/>
          <w:lang w:bidi="ar"/>
        </w:rPr>
      </w:pPr>
      <w:r>
        <w:rPr>
          <w:rFonts w:hint="eastAsia" w:ascii="黑体" w:hAnsi="黑体" w:eastAsia="黑体" w:cs="黑体"/>
          <w:b w:val="0"/>
          <w:bCs w:val="0"/>
          <w:color w:val="auto"/>
          <w:kern w:val="0"/>
          <w:sz w:val="32"/>
          <w:szCs w:val="32"/>
          <w:u w:val="none" w:color="auto"/>
          <w:shd w:val="clear" w:fill="FFFFFF"/>
          <w:lang w:val="en-US" w:eastAsia="zh-CN" w:bidi="ar"/>
        </w:rPr>
        <w:t xml:space="preserve">第二十一条 </w:t>
      </w:r>
      <w:r>
        <w:rPr>
          <w:rFonts w:hint="eastAsia" w:ascii="仿宋_GB2312" w:hAnsi="仿宋_GB2312" w:eastAsia="仿宋_GB2312" w:cs="仿宋_GB2312"/>
          <w:color w:val="auto"/>
          <w:kern w:val="0"/>
          <w:sz w:val="32"/>
          <w:szCs w:val="32"/>
          <w:u w:val="none" w:color="auto"/>
          <w:shd w:val="clear" w:fill="FFFFFF"/>
          <w:lang w:val="en-US" w:eastAsia="zh-CN" w:bidi="ar"/>
        </w:rPr>
        <w:t xml:space="preserve">定点评估机构的名称、法定代表人、主要负责人或实际控制人、注册地址、银行账户、经营范围、机构性质等重大信息变更时，应自有关部门批准之日起 30 个工作日内，向当地医疗保障经办机构提出变更申请。其他一般信息变更应及时告知。定点评估机构因违法违规被调查、处理期间不得申请变更信息。信息变更后，定点评估机构不符合本实施细则规定的，应当解除评估服务协议。 </w:t>
      </w:r>
    </w:p>
    <w:p w14:paraId="056C54B1">
      <w:pPr>
        <w:keepNext w:val="0"/>
        <w:keepLines w:val="0"/>
        <w:widowControl/>
        <w:suppressLineNumbers w:val="0"/>
        <w:ind w:firstLine="640" w:firstLineChars="200"/>
        <w:jc w:val="left"/>
        <w:rPr>
          <w:rFonts w:hint="eastAsia" w:ascii="仿宋_GB2312" w:hAnsi="仿宋_GB2312" w:eastAsia="仿宋_GB2312" w:cs="仿宋_GB2312"/>
          <w:color w:val="auto"/>
          <w:kern w:val="0"/>
          <w:sz w:val="32"/>
          <w:szCs w:val="32"/>
          <w:u w:val="none" w:color="auto"/>
          <w:shd w:val="clear" w:fill="FFFFFF"/>
          <w:lang w:bidi="ar"/>
        </w:rPr>
      </w:pPr>
      <w:r>
        <w:rPr>
          <w:rFonts w:hint="eastAsia" w:ascii="黑体" w:hAnsi="黑体" w:eastAsia="黑体" w:cs="黑体"/>
          <w:b w:val="0"/>
          <w:bCs w:val="0"/>
          <w:color w:val="auto"/>
          <w:kern w:val="0"/>
          <w:sz w:val="32"/>
          <w:szCs w:val="32"/>
          <w:u w:val="none" w:color="auto"/>
          <w:shd w:val="clear" w:fill="FFFFFF"/>
          <w:lang w:val="en-US" w:eastAsia="zh-CN" w:bidi="ar"/>
        </w:rPr>
        <w:t xml:space="preserve">第二十二条 </w:t>
      </w:r>
      <w:r>
        <w:rPr>
          <w:rFonts w:hint="eastAsia" w:ascii="仿宋_GB2312" w:hAnsi="仿宋_GB2312" w:eastAsia="仿宋_GB2312" w:cs="仿宋_GB2312"/>
          <w:color w:val="auto"/>
          <w:kern w:val="0"/>
          <w:sz w:val="32"/>
          <w:szCs w:val="32"/>
          <w:u w:val="none" w:color="auto"/>
          <w:shd w:val="clear" w:fill="FFFFFF"/>
          <w:lang w:val="en-US" w:eastAsia="zh-CN" w:bidi="ar"/>
        </w:rPr>
        <w:t>失能等级评估费应根据评估经营成本、评估市场规模、评估机构定点分布等情况，由统筹区医疗保障部门通过协商方式合理确定，并在服务协议中明确。建立初次评估、状态变更评估、期末评估、争议复评、抽查复评、稽核复评等评估费科学合理分担机制。</w:t>
      </w:r>
    </w:p>
    <w:p w14:paraId="218D0681">
      <w:pPr>
        <w:keepNext w:val="0"/>
        <w:keepLines w:val="0"/>
        <w:widowControl w:val="0"/>
        <w:numPr>
          <w:ilvl w:val="0"/>
          <w:numId w:val="0"/>
        </w:numPr>
        <w:suppressLineNumbers w:val="0"/>
        <w:spacing w:line="560" w:lineRule="exact"/>
        <w:ind w:firstLine="640" w:firstLineChars="200"/>
        <w:jc w:val="left"/>
        <w:rPr>
          <w:rFonts w:hint="eastAsia" w:ascii="仿宋_GB2312" w:hAnsi="仿宋_GB2312" w:eastAsia="仿宋_GB2312" w:cs="仿宋_GB2312"/>
          <w:color w:val="auto"/>
          <w:kern w:val="0"/>
          <w:sz w:val="32"/>
          <w:szCs w:val="32"/>
          <w:u w:val="none" w:color="auto"/>
          <w:shd w:val="clear" w:fill="FFFFFF"/>
          <w:lang w:bidi="ar"/>
        </w:rPr>
      </w:pPr>
      <w:r>
        <w:rPr>
          <w:rFonts w:hint="eastAsia" w:ascii="仿宋_GB2312" w:hAnsi="仿宋_GB2312" w:eastAsia="仿宋_GB2312" w:cs="仿宋_GB2312"/>
          <w:color w:val="auto"/>
          <w:kern w:val="0"/>
          <w:sz w:val="32"/>
          <w:szCs w:val="32"/>
          <w:u w:val="none" w:color="auto"/>
          <w:shd w:val="clear" w:fill="FFFFFF"/>
          <w:lang w:val="en-US" w:eastAsia="zh-CN" w:bidi="ar"/>
        </w:rPr>
        <w:t xml:space="preserve">（一）初次评估。是指定点评估机构按规定对首次申请评估的参保人进行的评估。符合长护险待遇享受条件的初次评估费由长期护理保险基金承担，不符合长护险待遇享受条件的初次评估费由申请人承担。 </w:t>
      </w:r>
    </w:p>
    <w:p w14:paraId="65D04FA2">
      <w:pPr>
        <w:keepNext w:val="0"/>
        <w:keepLines w:val="0"/>
        <w:widowControl/>
        <w:suppressLineNumbers w:val="0"/>
        <w:ind w:firstLine="640" w:firstLineChars="200"/>
        <w:jc w:val="left"/>
        <w:rPr>
          <w:rFonts w:hint="eastAsia" w:ascii="仿宋_GB2312" w:hAnsi="仿宋_GB2312" w:eastAsia="仿宋_GB2312" w:cs="仿宋_GB2312"/>
          <w:color w:val="auto"/>
          <w:kern w:val="0"/>
          <w:sz w:val="32"/>
          <w:szCs w:val="32"/>
          <w:u w:val="none" w:color="auto"/>
          <w:shd w:val="clear" w:fill="FFFFFF"/>
          <w:lang w:val="en-US" w:eastAsia="zh-CN" w:bidi="ar"/>
        </w:rPr>
      </w:pPr>
      <w:r>
        <w:rPr>
          <w:rFonts w:hint="eastAsia" w:ascii="仿宋_GB2312" w:hAnsi="仿宋_GB2312" w:eastAsia="仿宋_GB2312" w:cs="仿宋_GB2312"/>
          <w:color w:val="auto"/>
          <w:kern w:val="0"/>
          <w:sz w:val="32"/>
          <w:szCs w:val="32"/>
          <w:u w:val="none" w:color="auto"/>
          <w:shd w:val="clear" w:fill="FFFFFF"/>
          <w:lang w:val="en-US" w:eastAsia="zh-CN" w:bidi="ar"/>
        </w:rPr>
        <w:t>（二）状态变更评估。是指在上次评估结论出具满 6 个月后，参保人员失能状态发生变化申请状态变更的评估。状态变更评估结论与原评估结论不一致并符合待遇享受政策规定的，评估费由长期护理保险基金承担；状态变更评估结论与原评估结论一致，或与原评估结论不一致但不符合待遇享受政策规定的，评估费由申请人承担。</w:t>
      </w:r>
    </w:p>
    <w:p w14:paraId="087A4908">
      <w:pPr>
        <w:keepNext w:val="0"/>
        <w:keepLines w:val="0"/>
        <w:widowControl/>
        <w:suppressLineNumbers w:val="0"/>
        <w:ind w:firstLine="640" w:firstLineChars="200"/>
        <w:jc w:val="left"/>
        <w:rPr>
          <w:rFonts w:hint="eastAsia" w:ascii="仿宋_GB2312" w:hAnsi="仿宋_GB2312" w:eastAsia="仿宋_GB2312" w:cs="仿宋_GB2312"/>
          <w:color w:val="auto"/>
          <w:kern w:val="0"/>
          <w:sz w:val="32"/>
          <w:szCs w:val="32"/>
          <w:u w:val="none" w:color="auto"/>
          <w:shd w:val="clear" w:fill="FFFFFF"/>
          <w:lang w:bidi="ar"/>
        </w:rPr>
      </w:pPr>
      <w:r>
        <w:rPr>
          <w:rFonts w:hint="eastAsia" w:ascii="仿宋_GB2312" w:hAnsi="仿宋_GB2312" w:eastAsia="仿宋_GB2312" w:cs="仿宋_GB2312"/>
          <w:color w:val="auto"/>
          <w:kern w:val="0"/>
          <w:sz w:val="32"/>
          <w:szCs w:val="32"/>
          <w:u w:val="none" w:color="auto"/>
          <w:shd w:val="clear" w:fill="FFFFFF"/>
          <w:lang w:val="en-US" w:eastAsia="zh-CN" w:bidi="ar"/>
        </w:rPr>
        <w:t xml:space="preserve">（三）期末评估。是指重度失能等级评估结论2年评估有效期届满前，对原待遇享受参保人进行的评估。期末评估费由长期护理保险基金承担。 </w:t>
      </w:r>
    </w:p>
    <w:p w14:paraId="29FEA840">
      <w:pPr>
        <w:keepNext w:val="0"/>
        <w:keepLines w:val="0"/>
        <w:widowControl/>
        <w:suppressLineNumbers w:val="0"/>
        <w:ind w:firstLine="640" w:firstLineChars="200"/>
        <w:jc w:val="left"/>
        <w:rPr>
          <w:rFonts w:hint="eastAsia" w:ascii="仿宋_GB2312" w:hAnsi="仿宋_GB2312" w:eastAsia="仿宋_GB2312" w:cs="仿宋_GB2312"/>
          <w:color w:val="auto"/>
          <w:kern w:val="0"/>
          <w:sz w:val="32"/>
          <w:szCs w:val="32"/>
          <w:u w:val="none" w:color="auto"/>
          <w:shd w:val="clear" w:fill="FFFFFF"/>
          <w:lang w:bidi="ar"/>
        </w:rPr>
      </w:pPr>
      <w:r>
        <w:rPr>
          <w:rFonts w:hint="eastAsia" w:ascii="仿宋_GB2312" w:hAnsi="仿宋_GB2312" w:eastAsia="仿宋_GB2312" w:cs="仿宋_GB2312"/>
          <w:color w:val="auto"/>
          <w:kern w:val="0"/>
          <w:sz w:val="32"/>
          <w:szCs w:val="32"/>
          <w:u w:val="none" w:color="auto"/>
          <w:shd w:val="clear" w:fill="FFFFFF"/>
          <w:lang w:val="en-US" w:eastAsia="zh-CN" w:bidi="ar"/>
        </w:rPr>
        <w:t xml:space="preserve">（四）争议复评。是指申请人对评估结论有异议的，在收到评估结论书之日起5个工作日内申请重新评估。争议复评结论与原评估结论不一致并符合待遇享受政策规定的，评估费由长期护理保险基金承担；争议复评结论与原评估结论一致，或与原评估结论不一致但不符合待遇享受政策规定的，评估费由申请人承担。 </w:t>
      </w:r>
    </w:p>
    <w:p w14:paraId="383480DA">
      <w:pPr>
        <w:keepNext w:val="0"/>
        <w:keepLines w:val="0"/>
        <w:widowControl/>
        <w:suppressLineNumbers w:val="0"/>
        <w:ind w:firstLine="640" w:firstLineChars="200"/>
        <w:jc w:val="left"/>
        <w:rPr>
          <w:rFonts w:hint="eastAsia" w:ascii="仿宋_GB2312" w:hAnsi="仿宋_GB2312" w:eastAsia="仿宋_GB2312" w:cs="仿宋_GB2312"/>
          <w:color w:val="auto"/>
          <w:kern w:val="0"/>
          <w:sz w:val="32"/>
          <w:szCs w:val="32"/>
          <w:u w:val="none" w:color="auto"/>
          <w:shd w:val="clear" w:fill="FFFFFF"/>
          <w:lang w:bidi="ar"/>
        </w:rPr>
      </w:pPr>
      <w:r>
        <w:rPr>
          <w:rFonts w:hint="eastAsia" w:ascii="仿宋_GB2312" w:hAnsi="仿宋_GB2312" w:eastAsia="仿宋_GB2312" w:cs="仿宋_GB2312"/>
          <w:color w:val="auto"/>
          <w:kern w:val="0"/>
          <w:sz w:val="32"/>
          <w:szCs w:val="32"/>
          <w:u w:val="none" w:color="auto"/>
          <w:shd w:val="clear" w:fill="FFFFFF"/>
          <w:lang w:val="en-US" w:eastAsia="zh-CN" w:bidi="ar"/>
        </w:rPr>
        <w:t>（五）抽查复评。是指统筹区医疗保障行政部门、经办机构通过抽查监督等途径，发现参保人当前失能状态发生变化，可能影响待遇享受情况而重新进行的评估。</w:t>
      </w:r>
      <w:r>
        <w:rPr>
          <w:rFonts w:hint="eastAsia" w:ascii="仿宋_GB2312" w:hAnsi="仿宋_GB2312" w:eastAsia="仿宋_GB2312" w:cs="仿宋_GB2312"/>
          <w:b w:val="0"/>
          <w:bCs w:val="0"/>
          <w:i w:val="0"/>
          <w:iCs w:val="0"/>
          <w:caps w:val="0"/>
          <w:color w:val="auto"/>
          <w:spacing w:val="0"/>
          <w:kern w:val="0"/>
          <w:sz w:val="32"/>
          <w:szCs w:val="32"/>
          <w:u w:val="none" w:color="auto"/>
          <w:shd w:val="clear" w:fill="FFFFFF"/>
          <w:lang w:bidi="ar"/>
        </w:rPr>
        <w:t>抽查复评结论确认参保人失能状态发生变化的，评估费由长期护理保险基金承担；抽查复评结论确认失能状态未发生变化的，评估费</w:t>
      </w:r>
      <w:r>
        <w:rPr>
          <w:rFonts w:hint="eastAsia" w:ascii="仿宋_GB2312" w:hAnsi="仿宋_GB2312" w:eastAsia="仿宋_GB2312" w:cs="仿宋_GB2312"/>
          <w:b w:val="0"/>
          <w:bCs w:val="0"/>
          <w:i w:val="0"/>
          <w:iCs w:val="0"/>
          <w:caps w:val="0"/>
          <w:color w:val="auto"/>
          <w:spacing w:val="0"/>
          <w:kern w:val="0"/>
          <w:sz w:val="32"/>
          <w:szCs w:val="32"/>
          <w:u w:val="none" w:color="auto"/>
          <w:shd w:val="clear" w:fill="FFFFFF"/>
          <w:lang w:eastAsia="zh-CN" w:bidi="ar"/>
        </w:rPr>
        <w:t>由评估机构自行承担</w:t>
      </w:r>
      <w:r>
        <w:rPr>
          <w:rFonts w:hint="eastAsia" w:ascii="仿宋_GB2312" w:hAnsi="仿宋_GB2312" w:eastAsia="仿宋_GB2312" w:cs="仿宋_GB2312"/>
          <w:b w:val="0"/>
          <w:bCs w:val="0"/>
          <w:i w:val="0"/>
          <w:iCs w:val="0"/>
          <w:caps w:val="0"/>
          <w:color w:val="auto"/>
          <w:spacing w:val="0"/>
          <w:kern w:val="0"/>
          <w:sz w:val="32"/>
          <w:szCs w:val="32"/>
          <w:u w:val="none" w:color="auto"/>
          <w:shd w:val="clear" w:fill="FFFFFF"/>
          <w:lang w:bidi="ar"/>
        </w:rPr>
        <w:t>。</w:t>
      </w:r>
    </w:p>
    <w:p w14:paraId="02DC7071">
      <w:pPr>
        <w:keepNext w:val="0"/>
        <w:keepLines w:val="0"/>
        <w:widowControl/>
        <w:suppressLineNumbers w:val="0"/>
        <w:ind w:firstLine="640" w:firstLineChars="200"/>
        <w:jc w:val="left"/>
        <w:rPr>
          <w:rFonts w:hint="eastAsia" w:ascii="仿宋_GB2312" w:hAnsi="仿宋_GB2312" w:eastAsia="仿宋_GB2312" w:cs="仿宋_GB2312"/>
          <w:color w:val="auto"/>
          <w:kern w:val="0"/>
          <w:sz w:val="32"/>
          <w:szCs w:val="32"/>
          <w:u w:val="none" w:color="auto"/>
          <w:shd w:val="clear" w:fill="FFFFFF"/>
          <w:lang w:bidi="ar"/>
        </w:rPr>
      </w:pPr>
      <w:r>
        <w:rPr>
          <w:rFonts w:hint="eastAsia" w:ascii="仿宋_GB2312" w:hAnsi="仿宋_GB2312" w:eastAsia="仿宋_GB2312" w:cs="仿宋_GB2312"/>
          <w:color w:val="auto"/>
          <w:kern w:val="0"/>
          <w:sz w:val="32"/>
          <w:szCs w:val="32"/>
          <w:u w:val="none" w:color="auto"/>
          <w:shd w:val="clear" w:fill="FFFFFF"/>
          <w:lang w:val="en-US" w:eastAsia="zh-CN" w:bidi="ar"/>
        </w:rPr>
        <w:t xml:space="preserve">失能等级评估费按规定由评估申请人自费的，由统筹区定点评估机构收取。 </w:t>
      </w:r>
    </w:p>
    <w:p w14:paraId="3AE3A24B">
      <w:pPr>
        <w:keepNext w:val="0"/>
        <w:keepLines w:val="0"/>
        <w:widowControl/>
        <w:suppressLineNumbers w:val="0"/>
        <w:ind w:firstLine="640" w:firstLineChars="200"/>
        <w:jc w:val="left"/>
        <w:rPr>
          <w:rFonts w:hint="eastAsia" w:ascii="仿宋_GB2312" w:hAnsi="仿宋_GB2312" w:eastAsia="仿宋_GB2312" w:cs="仿宋_GB2312"/>
          <w:color w:val="auto"/>
          <w:kern w:val="0"/>
          <w:sz w:val="32"/>
          <w:szCs w:val="32"/>
          <w:u w:val="none" w:color="auto"/>
          <w:shd w:val="clear" w:fill="FFFFFF"/>
          <w:lang w:bidi="ar"/>
        </w:rPr>
      </w:pPr>
      <w:r>
        <w:rPr>
          <w:rFonts w:hint="eastAsia" w:ascii="黑体" w:hAnsi="黑体" w:eastAsia="黑体" w:cs="黑体"/>
          <w:b w:val="0"/>
          <w:bCs w:val="0"/>
          <w:color w:val="auto"/>
          <w:kern w:val="0"/>
          <w:sz w:val="32"/>
          <w:szCs w:val="32"/>
          <w:u w:val="none" w:color="auto"/>
          <w:shd w:val="clear" w:fill="FFFFFF"/>
          <w:lang w:val="en-US" w:eastAsia="zh-CN" w:bidi="ar"/>
        </w:rPr>
        <w:t xml:space="preserve">第二十三条 </w:t>
      </w:r>
      <w:r>
        <w:rPr>
          <w:rFonts w:hint="eastAsia" w:ascii="仿宋_GB2312" w:hAnsi="仿宋_GB2312" w:eastAsia="仿宋_GB2312" w:cs="仿宋_GB2312"/>
          <w:i w:val="0"/>
          <w:iCs w:val="0"/>
          <w:caps w:val="0"/>
          <w:color w:val="auto"/>
          <w:spacing w:val="0"/>
          <w:kern w:val="0"/>
          <w:sz w:val="32"/>
          <w:szCs w:val="32"/>
          <w:u w:val="none" w:color="auto"/>
          <w:shd w:val="clear" w:fill="FFFFFF"/>
          <w:lang w:bidi="ar"/>
        </w:rPr>
        <w:t>对引入第三方社会力量参与长期护理保险经办服务的统筹区，应按照政府采购等相关规定，通过公开招标等公平竞争方式确定合作机构。</w:t>
      </w:r>
    </w:p>
    <w:p w14:paraId="4FA942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eastAsia" w:ascii="黑体" w:hAnsi="黑体" w:eastAsia="黑体" w:cs="黑体"/>
          <w:i w:val="0"/>
          <w:caps w:val="0"/>
          <w:color w:val="auto"/>
          <w:spacing w:val="0"/>
          <w:kern w:val="0"/>
          <w:sz w:val="32"/>
          <w:szCs w:val="32"/>
          <w:u w:val="none" w:color="auto"/>
          <w:shd w:val="clear" w:fill="FFFFFF"/>
          <w:lang w:val="en-US" w:eastAsia="zh-CN" w:bidi="ar"/>
        </w:rPr>
      </w:pPr>
    </w:p>
    <w:p w14:paraId="28BE6F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eastAsia" w:ascii="黑体" w:hAnsi="黑体" w:eastAsia="黑体" w:cs="黑体"/>
          <w:i w:val="0"/>
          <w:caps w:val="0"/>
          <w:color w:val="auto"/>
          <w:spacing w:val="0"/>
          <w:kern w:val="0"/>
          <w:sz w:val="32"/>
          <w:szCs w:val="32"/>
          <w:u w:val="none" w:color="auto"/>
          <w:shd w:val="clear" w:fill="FFFFFF"/>
          <w:lang w:val="en-US" w:eastAsia="zh-CN" w:bidi="ar"/>
        </w:rPr>
      </w:pPr>
      <w:r>
        <w:rPr>
          <w:rFonts w:hint="eastAsia" w:ascii="黑体" w:hAnsi="黑体" w:eastAsia="黑体" w:cs="黑体"/>
          <w:i w:val="0"/>
          <w:caps w:val="0"/>
          <w:color w:val="auto"/>
          <w:spacing w:val="0"/>
          <w:kern w:val="0"/>
          <w:sz w:val="32"/>
          <w:szCs w:val="32"/>
          <w:u w:val="none" w:color="auto"/>
          <w:shd w:val="clear" w:fill="FFFFFF"/>
          <w:lang w:val="en-US" w:eastAsia="zh-CN" w:bidi="ar"/>
        </w:rPr>
        <w:t>第四章 监督管理</w:t>
      </w:r>
    </w:p>
    <w:p w14:paraId="0DECD0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黑体" w:hAnsi="黑体" w:eastAsia="黑体" w:cs="黑体"/>
          <w:i w:val="0"/>
          <w:caps w:val="0"/>
          <w:color w:val="auto"/>
          <w:spacing w:val="0"/>
          <w:kern w:val="0"/>
          <w:sz w:val="32"/>
          <w:szCs w:val="32"/>
          <w:u w:val="none" w:color="auto"/>
          <w:shd w:val="clear" w:fill="FFFFFF"/>
          <w:lang w:val="en-US" w:eastAsia="zh-CN" w:bidi="ar"/>
        </w:rPr>
      </w:pPr>
    </w:p>
    <w:p w14:paraId="08B17E17">
      <w:pPr>
        <w:ind w:firstLine="640" w:firstLineChars="200"/>
        <w:rPr>
          <w:rFonts w:hint="eastAsia" w:ascii="仿宋_GB2312" w:hAnsi="仿宋_GB2312" w:eastAsia="仿宋_GB2312" w:cs="仿宋_GB2312"/>
          <w:i w:val="0"/>
          <w:caps w:val="0"/>
          <w:color w:val="auto"/>
          <w:spacing w:val="0"/>
          <w:kern w:val="0"/>
          <w:sz w:val="32"/>
          <w:szCs w:val="32"/>
          <w:highlight w:val="yellow"/>
          <w:u w:val="none" w:color="auto"/>
          <w:shd w:val="clear" w:fill="FFFFFF"/>
        </w:rPr>
      </w:pPr>
      <w:r>
        <w:rPr>
          <w:rFonts w:hint="eastAsia" w:ascii="黑体" w:hAnsi="黑体" w:eastAsia="黑体" w:cs="黑体"/>
          <w:i w:val="0"/>
          <w:caps w:val="0"/>
          <w:color w:val="auto"/>
          <w:spacing w:val="0"/>
          <w:kern w:val="0"/>
          <w:sz w:val="32"/>
          <w:szCs w:val="32"/>
          <w:u w:val="none" w:color="auto"/>
          <w:shd w:val="clear" w:fill="FFFFFF"/>
          <w:lang w:val="en-US" w:eastAsia="zh-CN" w:bidi="ar"/>
        </w:rPr>
        <w:t>第二十四条</w:t>
      </w:r>
      <w:r>
        <w:rPr>
          <w:rFonts w:hint="eastAsia" w:ascii="仿宋_GB2312" w:hAnsi="仿宋_GB2312" w:eastAsia="仿宋_GB2312" w:cs="仿宋_GB2312"/>
          <w:i w:val="0"/>
          <w:caps w:val="0"/>
          <w:color w:val="auto"/>
          <w:spacing w:val="0"/>
          <w:kern w:val="0"/>
          <w:sz w:val="32"/>
          <w:szCs w:val="32"/>
          <w:u w:val="none" w:color="auto"/>
          <w:shd w:val="clear" w:fill="FFFFFF"/>
          <w:lang w:val="en-US" w:eastAsia="zh-CN" w:bidi="ar"/>
        </w:rPr>
        <w:t xml:space="preserve"> 统筹区医疗保障经办机构应在评估服务协议中明确定点评估机构退出规则，并明确双方权利义务、失能评估管理、费用管理、考核管理、违约责任、协议中止、协议解除、争议处理、退出规则等内容以及适用情形、具体处理程序要求等。</w:t>
      </w:r>
    </w:p>
    <w:p w14:paraId="225ABB5B">
      <w:pPr>
        <w:pStyle w:val="3"/>
        <w:ind w:firstLine="640" w:firstLineChars="200"/>
        <w:rPr>
          <w:rFonts w:hint="eastAsia" w:ascii="仿宋_GB2312" w:hAnsi="仿宋_GB2312" w:eastAsia="仿宋_GB2312" w:cs="仿宋_GB2312"/>
          <w:i w:val="0"/>
          <w:caps w:val="0"/>
          <w:color w:val="auto"/>
          <w:spacing w:val="0"/>
          <w:kern w:val="0"/>
          <w:sz w:val="32"/>
          <w:szCs w:val="32"/>
          <w:u w:val="none" w:color="auto"/>
          <w:shd w:val="clear" w:fill="FFFFFF"/>
        </w:rPr>
      </w:pPr>
      <w:r>
        <w:rPr>
          <w:rFonts w:hint="eastAsia" w:ascii="黑体" w:hAnsi="黑体" w:eastAsia="黑体" w:cs="黑体"/>
          <w:i w:val="0"/>
          <w:caps w:val="0"/>
          <w:color w:val="auto"/>
          <w:spacing w:val="0"/>
          <w:kern w:val="0"/>
          <w:sz w:val="32"/>
          <w:szCs w:val="32"/>
          <w:u w:val="none" w:color="auto"/>
          <w:shd w:val="clear" w:fill="FFFFFF"/>
          <w:lang w:val="en-US" w:eastAsia="zh-CN" w:bidi="ar"/>
        </w:rPr>
        <w:t>第二十五条</w:t>
      </w:r>
      <w:r>
        <w:rPr>
          <w:rFonts w:hint="eastAsia" w:ascii="仿宋_GB2312" w:hAnsi="仿宋_GB2312" w:eastAsia="仿宋_GB2312" w:cs="仿宋_GB2312"/>
          <w:i w:val="0"/>
          <w:caps w:val="0"/>
          <w:color w:val="auto"/>
          <w:spacing w:val="0"/>
          <w:kern w:val="0"/>
          <w:sz w:val="32"/>
          <w:szCs w:val="32"/>
          <w:u w:val="none" w:color="auto"/>
          <w:shd w:val="clear" w:fill="FFFFFF"/>
          <w:lang w:val="en-US" w:eastAsia="zh-CN" w:bidi="ar"/>
        </w:rPr>
        <w:t xml:space="preserve"> 统筹区医疗保障经办机构结合质量管理、投诉举报、日常检查等情况，综合利用信息技术等手段，组织对定点评估机构和评估人员进行履约管理。发现违约行为的，应当按照评估服务协议及时处理。医疗保障经办机构作出中止或解除评估服务协议等处理时，要向同级医疗保障行政部门报备。</w:t>
      </w:r>
    </w:p>
    <w:p w14:paraId="6F9271D8">
      <w:pPr>
        <w:ind w:firstLine="640" w:firstLineChars="200"/>
        <w:rPr>
          <w:rFonts w:hint="eastAsia" w:ascii="仿宋_GB2312" w:hAnsi="仿宋_GB2312" w:eastAsia="仿宋_GB2312" w:cs="仿宋_GB2312"/>
          <w:i w:val="0"/>
          <w:caps w:val="0"/>
          <w:color w:val="auto"/>
          <w:spacing w:val="0"/>
          <w:kern w:val="0"/>
          <w:sz w:val="32"/>
          <w:szCs w:val="32"/>
          <w:u w:val="none" w:color="auto"/>
          <w:shd w:val="clear" w:fill="FFFFFF"/>
          <w:lang w:val="en-US" w:eastAsia="zh-CN" w:bidi="ar"/>
        </w:rPr>
      </w:pPr>
      <w:r>
        <w:rPr>
          <w:rFonts w:hint="eastAsia" w:ascii="黑体" w:hAnsi="黑体" w:eastAsia="黑体" w:cs="黑体"/>
          <w:i w:val="0"/>
          <w:caps w:val="0"/>
          <w:color w:val="auto"/>
          <w:spacing w:val="0"/>
          <w:kern w:val="0"/>
          <w:sz w:val="32"/>
          <w:szCs w:val="32"/>
          <w:u w:val="none" w:color="auto"/>
          <w:shd w:val="clear" w:fill="FFFFFF"/>
          <w:lang w:val="en-US" w:eastAsia="zh-CN" w:bidi="ar"/>
        </w:rPr>
        <w:t>第二十六条</w:t>
      </w:r>
      <w:r>
        <w:rPr>
          <w:rFonts w:hint="eastAsia" w:ascii="仿宋_GB2312" w:hAnsi="仿宋_GB2312" w:eastAsia="仿宋_GB2312" w:cs="仿宋_GB2312"/>
          <w:i w:val="0"/>
          <w:caps w:val="0"/>
          <w:color w:val="auto"/>
          <w:spacing w:val="0"/>
          <w:kern w:val="0"/>
          <w:sz w:val="32"/>
          <w:szCs w:val="32"/>
          <w:u w:val="none" w:color="auto"/>
          <w:shd w:val="clear" w:fill="FFFFFF"/>
          <w:lang w:val="en-US" w:eastAsia="zh-CN" w:bidi="ar"/>
        </w:rPr>
        <w:t xml:space="preserve"> 统筹区医疗保障经办机构应定期组织对评估结论进行交叉复核，强化评估结论监督。应定期跟踪享受长期护理保险待遇人员的最新健康状况，对与评估结论不一致的，按照评估服务协议及相关规定，责令评估机构及时作出调整。经评定已不符合长期护理保险享受待遇标准的，应终止相应待遇。</w:t>
      </w:r>
    </w:p>
    <w:p w14:paraId="25F15E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u w:val="none" w:color="auto"/>
          <w:shd w:val="clear" w:fill="FFFFFF"/>
        </w:rPr>
      </w:pPr>
      <w:r>
        <w:rPr>
          <w:rFonts w:hint="eastAsia" w:ascii="黑体" w:hAnsi="黑体" w:eastAsia="黑体" w:cs="黑体"/>
          <w:i w:val="0"/>
          <w:caps w:val="0"/>
          <w:color w:val="auto"/>
          <w:spacing w:val="0"/>
          <w:kern w:val="0"/>
          <w:sz w:val="32"/>
          <w:szCs w:val="32"/>
          <w:u w:val="none" w:color="auto"/>
          <w:shd w:val="clear" w:fill="FFFFFF"/>
          <w:lang w:val="en-US" w:eastAsia="zh-CN" w:bidi="ar"/>
        </w:rPr>
        <w:t>第二十七条</w:t>
      </w:r>
      <w:r>
        <w:rPr>
          <w:rFonts w:hint="eastAsia" w:ascii="仿宋_GB2312" w:hAnsi="仿宋_GB2312" w:eastAsia="仿宋_GB2312" w:cs="仿宋_GB2312"/>
          <w:i w:val="0"/>
          <w:caps w:val="0"/>
          <w:color w:val="auto"/>
          <w:spacing w:val="0"/>
          <w:kern w:val="0"/>
          <w:sz w:val="32"/>
          <w:szCs w:val="32"/>
          <w:u w:val="none" w:color="auto"/>
          <w:shd w:val="clear" w:fill="FFFFFF"/>
          <w:lang w:val="en-US" w:eastAsia="zh-CN" w:bidi="ar"/>
        </w:rPr>
        <w:t xml:space="preserve"> 医疗保障经办机构应当定期组织对定点评估机构协议履行、评估质量等情况开展考核评价。重点将评估程序规范性、结论准确性、举报投诉处理情况等纳入考核范围，考核结果与评估服务协议续签、服务费用支付等挂钩。</w:t>
      </w:r>
    </w:p>
    <w:p w14:paraId="2280B2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2"/>
          <w:sz w:val="32"/>
          <w:szCs w:val="32"/>
          <w:u w:val="none" w:color="auto"/>
          <w:shd w:val="clear"/>
          <w:lang w:val="en-US" w:eastAsia="zh-CN" w:bidi="ar-SA"/>
        </w:rPr>
      </w:pPr>
      <w:r>
        <w:rPr>
          <w:rFonts w:hint="eastAsia" w:ascii="黑体" w:hAnsi="黑体" w:eastAsia="黑体" w:cs="黑体"/>
          <w:i w:val="0"/>
          <w:caps w:val="0"/>
          <w:color w:val="auto"/>
          <w:spacing w:val="0"/>
          <w:kern w:val="0"/>
          <w:sz w:val="32"/>
          <w:szCs w:val="32"/>
          <w:u w:val="none" w:color="auto"/>
          <w:shd w:val="clear" w:fill="FFFFFF"/>
          <w:lang w:val="en-US" w:eastAsia="zh-CN" w:bidi="ar"/>
        </w:rPr>
        <w:t xml:space="preserve">第二十八条 </w:t>
      </w:r>
      <w:r>
        <w:rPr>
          <w:rFonts w:hint="eastAsia" w:ascii="仿宋_GB2312" w:hAnsi="仿宋_GB2312" w:eastAsia="仿宋_GB2312" w:cs="仿宋_GB2312"/>
          <w:i w:val="0"/>
          <w:caps w:val="0"/>
          <w:color w:val="auto"/>
          <w:spacing w:val="0"/>
          <w:kern w:val="2"/>
          <w:sz w:val="32"/>
          <w:szCs w:val="32"/>
          <w:u w:val="none" w:color="auto"/>
          <w:shd w:val="clear"/>
          <w:lang w:val="en-US" w:eastAsia="zh-CN" w:bidi="ar-SA"/>
        </w:rPr>
        <w:t>医疗保障行政部门通过实地检查、抽查、智能监控等方式，对定点评估机构评估行为和协议履行情况等进行监督，对医疗保障经办机构工作进行指导和监督。发现定点评估机构存在违约情形的，应当及时责令医疗保障经办机构按照评估服务协议处理。属于</w:t>
      </w:r>
      <w:r>
        <w:rPr>
          <w:rFonts w:hint="eastAsia" w:ascii="仿宋_GB2312" w:hAnsi="仿宋_GB2312" w:eastAsia="仿宋_GB2312" w:cs="仿宋_GB2312"/>
          <w:color w:val="auto"/>
          <w:kern w:val="2"/>
          <w:sz w:val="32"/>
          <w:szCs w:val="32"/>
          <w:u w:val="none" w:color="auto"/>
          <w:lang w:bidi="ar-SA"/>
        </w:rPr>
        <w:t>法律法规</w:t>
      </w:r>
      <w:r>
        <w:rPr>
          <w:rFonts w:hint="eastAsia" w:ascii="仿宋_GB2312" w:hAnsi="仿宋_GB2312" w:eastAsia="仿宋_GB2312" w:cs="仿宋_GB2312"/>
          <w:i w:val="0"/>
          <w:caps w:val="0"/>
          <w:color w:val="auto"/>
          <w:spacing w:val="0"/>
          <w:kern w:val="2"/>
          <w:sz w:val="32"/>
          <w:szCs w:val="32"/>
          <w:u w:val="none" w:color="auto"/>
          <w:shd w:val="clear"/>
          <w:lang w:val="en-US" w:eastAsia="zh-CN" w:bidi="ar-SA"/>
        </w:rPr>
        <w:t>和规章规定范畴的，依法给予行政处罚。涉嫌违法犯罪的，依法移送司法机关处理。</w:t>
      </w:r>
    </w:p>
    <w:p w14:paraId="214F3D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auto"/>
          <w:kern w:val="2"/>
          <w:sz w:val="32"/>
          <w:szCs w:val="32"/>
          <w:u w:val="none" w:color="auto"/>
          <w:lang w:eastAsia="zh-CN" w:bidi="ar-SA"/>
        </w:rPr>
      </w:pPr>
      <w:r>
        <w:rPr>
          <w:rFonts w:hint="eastAsia" w:ascii="黑体" w:hAnsi="黑体" w:eastAsia="黑体" w:cs="黑体"/>
          <w:i w:val="0"/>
          <w:caps w:val="0"/>
          <w:color w:val="auto"/>
          <w:spacing w:val="0"/>
          <w:kern w:val="0"/>
          <w:sz w:val="32"/>
          <w:szCs w:val="32"/>
          <w:u w:val="none" w:color="auto"/>
          <w:shd w:val="clear" w:fill="FFFFFF"/>
          <w:lang w:val="en-US" w:eastAsia="zh-CN" w:bidi="ar"/>
        </w:rPr>
        <w:t xml:space="preserve">第二十九条 </w:t>
      </w:r>
      <w:r>
        <w:rPr>
          <w:rFonts w:hint="eastAsia" w:ascii="仿宋_GB2312" w:hAnsi="仿宋_GB2312" w:eastAsia="仿宋_GB2312" w:cs="仿宋_GB2312"/>
          <w:color w:val="auto"/>
          <w:kern w:val="2"/>
          <w:sz w:val="32"/>
          <w:szCs w:val="32"/>
          <w:u w:val="none" w:color="auto"/>
          <w:lang w:bidi="ar-SA"/>
        </w:rPr>
        <w:t>医疗保障行政部门和经办机构应拓宽监督途径、创新监督方式，通过满意度调查、第三方评价、聘请社会监督员等方式，对定点评估机构进行社会监督，畅通投诉举报渠道，及时发现问题并进行处理</w:t>
      </w:r>
      <w:r>
        <w:rPr>
          <w:rFonts w:hint="eastAsia" w:ascii="仿宋_GB2312" w:hAnsi="仿宋_GB2312" w:eastAsia="仿宋_GB2312" w:cs="仿宋_GB2312"/>
          <w:color w:val="auto"/>
          <w:kern w:val="2"/>
          <w:sz w:val="32"/>
          <w:szCs w:val="32"/>
          <w:u w:val="none" w:color="auto"/>
          <w:lang w:eastAsia="zh-CN" w:bidi="ar-SA"/>
        </w:rPr>
        <w:t>。</w:t>
      </w:r>
    </w:p>
    <w:p w14:paraId="18E3D9DB">
      <w:pPr>
        <w:pStyle w:val="3"/>
        <w:ind w:firstLine="0" w:firstLineChars="0"/>
        <w:rPr>
          <w:rFonts w:hint="default" w:ascii="Calibri" w:hAnsi="Calibri" w:eastAsia="宋体" w:cs="Times New Roman"/>
          <w:color w:val="auto"/>
          <w:kern w:val="0"/>
          <w:sz w:val="32"/>
          <w:szCs w:val="24"/>
          <w:u w:val="none" w:color="auto"/>
          <w:lang w:eastAsia="zh-CN" w:bidi="ar-SA"/>
        </w:rPr>
      </w:pPr>
    </w:p>
    <w:p w14:paraId="2090F7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eastAsia" w:ascii="黑体" w:hAnsi="黑体" w:eastAsia="黑体" w:cs="黑体"/>
          <w:i w:val="0"/>
          <w:caps w:val="0"/>
          <w:color w:val="auto"/>
          <w:spacing w:val="0"/>
          <w:kern w:val="0"/>
          <w:sz w:val="32"/>
          <w:szCs w:val="32"/>
          <w:u w:val="none" w:color="auto"/>
          <w:shd w:val="clear" w:fill="FFFFFF"/>
          <w:lang w:val="en-US" w:eastAsia="zh-CN" w:bidi="ar"/>
        </w:rPr>
      </w:pPr>
      <w:r>
        <w:rPr>
          <w:rFonts w:hint="eastAsia" w:ascii="黑体" w:hAnsi="黑体" w:eastAsia="黑体" w:cs="黑体"/>
          <w:i w:val="0"/>
          <w:caps w:val="0"/>
          <w:color w:val="auto"/>
          <w:spacing w:val="0"/>
          <w:kern w:val="0"/>
          <w:sz w:val="32"/>
          <w:szCs w:val="32"/>
          <w:u w:val="none" w:color="auto"/>
          <w:shd w:val="clear" w:fill="FFFFFF"/>
          <w:lang w:val="en-US" w:eastAsia="zh-CN" w:bidi="ar"/>
        </w:rPr>
        <w:t>第五章  附则</w:t>
      </w:r>
    </w:p>
    <w:p w14:paraId="133E2E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u w:val="none" w:color="auto"/>
          <w:shd w:val="clear" w:fill="FFFFFF"/>
          <w:lang w:val="en-US" w:eastAsia="zh-CN" w:bidi="ar"/>
        </w:rPr>
      </w:pPr>
    </w:p>
    <w:p w14:paraId="7066B7A5">
      <w:pPr>
        <w:pStyle w:val="3"/>
        <w:ind w:firstLine="640" w:firstLineChars="200"/>
        <w:rPr>
          <w:rFonts w:hint="eastAsia" w:ascii="仿宋_GB2312" w:hAnsi="仿宋_GB2312" w:eastAsia="仿宋_GB2312" w:cs="仿宋_GB2312"/>
          <w:color w:val="auto"/>
          <w:sz w:val="32"/>
          <w:szCs w:val="32"/>
          <w:u w:val="none" w:color="auto"/>
          <w:shd w:val="clear" w:fill="FFFFFF"/>
        </w:rPr>
      </w:pPr>
      <w:r>
        <w:rPr>
          <w:rFonts w:hint="eastAsia" w:ascii="黑体" w:hAnsi="黑体" w:eastAsia="黑体" w:cs="黑体"/>
          <w:i w:val="0"/>
          <w:caps w:val="0"/>
          <w:color w:val="auto"/>
          <w:spacing w:val="0"/>
          <w:kern w:val="0"/>
          <w:sz w:val="32"/>
          <w:szCs w:val="32"/>
          <w:u w:val="none" w:color="auto"/>
          <w:shd w:val="clear" w:fill="FFFFFF"/>
          <w:lang w:val="en-US" w:eastAsia="zh-CN" w:bidi="ar"/>
        </w:rPr>
        <w:t>第三十条</w:t>
      </w:r>
      <w:r>
        <w:rPr>
          <w:rFonts w:hint="eastAsia" w:ascii="仿宋_GB2312" w:hAnsi="仿宋_GB2312" w:eastAsia="仿宋_GB2312" w:cs="仿宋_GB2312"/>
          <w:i w:val="0"/>
          <w:caps w:val="0"/>
          <w:color w:val="auto"/>
          <w:spacing w:val="0"/>
          <w:kern w:val="0"/>
          <w:sz w:val="32"/>
          <w:szCs w:val="32"/>
          <w:u w:val="none" w:color="auto"/>
          <w:shd w:val="clear" w:fill="FFFFFF"/>
          <w:lang w:val="en-US" w:eastAsia="zh-CN" w:bidi="ar"/>
        </w:rPr>
        <w:t xml:space="preserve"> </w:t>
      </w:r>
      <w:r>
        <w:rPr>
          <w:rFonts w:hint="eastAsia" w:ascii="仿宋_GB2312" w:hAnsi="仿宋_GB2312" w:eastAsia="仿宋_GB2312" w:cs="仿宋_GB2312"/>
          <w:color w:val="auto"/>
          <w:sz w:val="32"/>
          <w:szCs w:val="32"/>
          <w:u w:val="none" w:color="auto"/>
          <w:shd w:val="clear" w:fill="FFFFFF"/>
        </w:rPr>
        <w:t>本办法适用于全省长护险定点评估机构的管理。本办法由河北省医疗保障局负责解释。</w:t>
      </w:r>
    </w:p>
    <w:p w14:paraId="7FFEF1D2">
      <w:pPr>
        <w:pStyle w:val="3"/>
        <w:ind w:firstLine="640" w:firstLineChars="200"/>
        <w:rPr>
          <w:rFonts w:hint="eastAsia" w:ascii="仿宋_GB2312" w:hAnsi="仿宋_GB2312" w:eastAsia="仿宋_GB2312" w:cs="仿宋_GB2312"/>
          <w:i w:val="0"/>
          <w:caps w:val="0"/>
          <w:color w:val="auto"/>
          <w:spacing w:val="0"/>
          <w:kern w:val="0"/>
          <w:sz w:val="32"/>
          <w:szCs w:val="32"/>
          <w:u w:val="none" w:color="auto"/>
          <w:shd w:val="clear" w:fill="FFFFFF"/>
          <w:lang w:val="en-US" w:eastAsia="zh-CN" w:bidi="ar"/>
        </w:rPr>
        <w:sectPr>
          <w:pgSz w:w="11905" w:h="16838"/>
          <w:pgMar w:top="1440" w:right="1803" w:bottom="1440" w:left="1803" w:header="850" w:footer="992" w:gutter="0"/>
          <w:cols w:space="0" w:num="1"/>
          <w:rtlGutter w:val="0"/>
          <w:docGrid w:type="lines" w:linePitch="317" w:charSpace="0"/>
        </w:sectPr>
      </w:pPr>
      <w:r>
        <w:rPr>
          <w:rFonts w:hint="eastAsia" w:ascii="黑体" w:hAnsi="黑体" w:eastAsia="黑体" w:cs="黑体"/>
          <w:i w:val="0"/>
          <w:caps w:val="0"/>
          <w:color w:val="auto"/>
          <w:spacing w:val="0"/>
          <w:kern w:val="0"/>
          <w:sz w:val="32"/>
          <w:szCs w:val="32"/>
          <w:u w:val="none" w:color="auto"/>
          <w:shd w:val="clear" w:fill="FFFFFF"/>
          <w:lang w:val="en-US" w:eastAsia="zh-CN" w:bidi="ar"/>
        </w:rPr>
        <w:t>第三十一条</w:t>
      </w:r>
      <w:r>
        <w:rPr>
          <w:rFonts w:hint="eastAsia" w:ascii="仿宋_GB2312" w:hAnsi="仿宋_GB2312" w:eastAsia="仿宋_GB2312" w:cs="仿宋_GB2312"/>
          <w:i w:val="0"/>
          <w:caps w:val="0"/>
          <w:color w:val="auto"/>
          <w:spacing w:val="0"/>
          <w:kern w:val="0"/>
          <w:sz w:val="32"/>
          <w:szCs w:val="32"/>
          <w:u w:val="none" w:color="auto"/>
          <w:shd w:val="clear" w:fill="FFFFFF"/>
          <w:lang w:val="en-US" w:eastAsia="zh-CN" w:bidi="ar"/>
        </w:rPr>
        <w:t xml:space="preserve"> 本办法自2026年1月1日起施行，有效期2年。本实施细则实施后，已有文件相关规定与本实施细则不一致的，以本实施细则为准；实施期间国家有新规定的，遵照国家规定执行。</w:t>
      </w:r>
    </w:p>
    <w:p w14:paraId="4A160A73">
      <w:pPr>
        <w:spacing w:line="352" w:lineRule="auto"/>
        <w:rPr>
          <w:rFonts w:hint="eastAsia" w:ascii="楷体_GB2312" w:hAnsi="楷体_GB2312" w:eastAsia="楷体_GB2312" w:cs="楷体_GB2312"/>
          <w:color w:val="auto"/>
          <w:sz w:val="21"/>
          <w:u w:val="none" w:color="auto"/>
        </w:rPr>
      </w:pPr>
    </w:p>
    <w:p w14:paraId="768BEC9A">
      <w:pPr>
        <w:spacing w:before="155"/>
        <w:ind w:left="732"/>
        <w:rPr>
          <w:rFonts w:hint="eastAsia" w:ascii="方正小标宋简体" w:hAnsi="方正小标宋简体" w:eastAsia="方正小标宋简体" w:cs="方正小标宋简体"/>
          <w:color w:val="auto"/>
          <w:sz w:val="43"/>
          <w:szCs w:val="43"/>
          <w:u w:val="none" w:color="auto"/>
        </w:rPr>
      </w:pPr>
      <w:r>
        <w:rPr>
          <w:rFonts w:hint="eastAsia" w:ascii="方正小标宋简体" w:hAnsi="方正小标宋简体" w:eastAsia="方正小标宋简体" w:cs="方正小标宋简体"/>
          <w:color w:val="auto"/>
          <w:spacing w:val="5"/>
          <w:sz w:val="43"/>
          <w:szCs w:val="43"/>
          <w:u w:val="none" w:color="auto"/>
        </w:rPr>
        <w:t>长期护理保险失能等级评估机构申请表</w:t>
      </w:r>
    </w:p>
    <w:p w14:paraId="7B6433A3">
      <w:pPr>
        <w:spacing w:line="277" w:lineRule="exact"/>
        <w:rPr>
          <w:rFonts w:hint="eastAsia" w:ascii="楷体_GB2312" w:hAnsi="楷体_GB2312" w:eastAsia="楷体_GB2312" w:cs="楷体_GB2312"/>
          <w:color w:val="auto"/>
          <w:u w:val="none" w:color="auto"/>
        </w:rPr>
      </w:pPr>
    </w:p>
    <w:tbl>
      <w:tblPr>
        <w:tblStyle w:val="15"/>
        <w:tblW w:w="88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5"/>
        <w:gridCol w:w="643"/>
        <w:gridCol w:w="1916"/>
        <w:gridCol w:w="2068"/>
        <w:gridCol w:w="1221"/>
        <w:gridCol w:w="1463"/>
      </w:tblGrid>
      <w:tr w14:paraId="5A7CE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1555" w:type="dxa"/>
            <w:vAlign w:val="center"/>
          </w:tcPr>
          <w:p w14:paraId="1B3DE7BB">
            <w:pPr>
              <w:pStyle w:val="14"/>
              <w:snapToGrid w:val="0"/>
              <w:spacing w:before="0" w:line="240" w:lineRule="auto"/>
              <w:ind w:left="0"/>
              <w:jc w:val="center"/>
              <w:rPr>
                <w:rFonts w:hint="eastAsia" w:ascii="宋体" w:hAnsi="宋体" w:eastAsia="宋体" w:cs="宋体"/>
                <w:color w:val="auto"/>
                <w:u w:val="none" w:color="auto"/>
              </w:rPr>
            </w:pPr>
            <w:r>
              <w:rPr>
                <w:rFonts w:hint="eastAsia" w:ascii="宋体" w:hAnsi="宋体" w:eastAsia="宋体" w:cs="宋体"/>
                <w:color w:val="auto"/>
                <w:spacing w:val="-4"/>
                <w:u w:val="none" w:color="auto"/>
              </w:rPr>
              <w:t>机构名称</w:t>
            </w:r>
          </w:p>
        </w:tc>
        <w:tc>
          <w:tcPr>
            <w:tcW w:w="7311" w:type="dxa"/>
            <w:gridSpan w:val="5"/>
            <w:vAlign w:val="center"/>
          </w:tcPr>
          <w:p w14:paraId="0B539338">
            <w:pPr>
              <w:pStyle w:val="14"/>
              <w:snapToGrid w:val="0"/>
              <w:jc w:val="center"/>
              <w:rPr>
                <w:rFonts w:hint="eastAsia" w:ascii="宋体" w:hAnsi="宋体" w:eastAsia="宋体" w:cs="宋体"/>
                <w:color w:val="auto"/>
                <w:u w:val="none" w:color="auto"/>
              </w:rPr>
            </w:pPr>
          </w:p>
        </w:tc>
      </w:tr>
      <w:tr w14:paraId="4B6A2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1555" w:type="dxa"/>
            <w:vAlign w:val="center"/>
          </w:tcPr>
          <w:p w14:paraId="443F178B">
            <w:pPr>
              <w:pStyle w:val="14"/>
              <w:snapToGrid w:val="0"/>
              <w:spacing w:before="0" w:line="240" w:lineRule="auto"/>
              <w:ind w:left="0"/>
              <w:jc w:val="center"/>
              <w:rPr>
                <w:rFonts w:hint="eastAsia" w:ascii="宋体" w:hAnsi="宋体" w:eastAsia="宋体" w:cs="宋体"/>
                <w:color w:val="auto"/>
                <w:u w:val="none" w:color="auto"/>
              </w:rPr>
            </w:pPr>
            <w:r>
              <w:rPr>
                <w:rFonts w:hint="eastAsia" w:ascii="宋体" w:hAnsi="宋体" w:eastAsia="宋体" w:cs="宋体"/>
                <w:color w:val="auto"/>
                <w:spacing w:val="-4"/>
                <w:u w:val="none" w:color="auto"/>
              </w:rPr>
              <w:t>机构地址</w:t>
            </w:r>
          </w:p>
        </w:tc>
        <w:tc>
          <w:tcPr>
            <w:tcW w:w="7311" w:type="dxa"/>
            <w:gridSpan w:val="5"/>
            <w:vAlign w:val="center"/>
          </w:tcPr>
          <w:p w14:paraId="5EBBBE01">
            <w:pPr>
              <w:pStyle w:val="14"/>
              <w:snapToGrid w:val="0"/>
              <w:spacing w:before="0" w:line="240" w:lineRule="auto"/>
              <w:ind w:left="0"/>
              <w:jc w:val="center"/>
              <w:rPr>
                <w:rFonts w:hint="eastAsia" w:ascii="宋体" w:hAnsi="宋体" w:eastAsia="宋体" w:cs="宋体"/>
                <w:color w:val="auto"/>
                <w:u w:val="none" w:color="auto"/>
              </w:rPr>
            </w:pPr>
            <w:r>
              <w:rPr>
                <w:rFonts w:hint="eastAsia" w:ascii="宋体" w:hAnsi="宋体" w:eastAsia="宋体" w:cs="宋体"/>
                <w:color w:val="auto"/>
                <w:spacing w:val="-7"/>
                <w:u w:val="none" w:color="auto"/>
                <w:lang w:eastAsia="zh-CN"/>
              </w:rPr>
              <w:t>河北</w:t>
            </w:r>
            <w:r>
              <w:rPr>
                <w:rFonts w:hint="eastAsia" w:ascii="宋体" w:hAnsi="宋体" w:eastAsia="宋体" w:cs="宋体"/>
                <w:color w:val="auto"/>
                <w:spacing w:val="-7"/>
                <w:u w:val="none" w:color="auto"/>
              </w:rPr>
              <w:t xml:space="preserve">省      </w:t>
            </w:r>
            <w:r>
              <w:rPr>
                <w:rFonts w:hint="eastAsia" w:ascii="宋体" w:hAnsi="宋体" w:eastAsia="宋体" w:cs="宋体"/>
                <w:color w:val="auto"/>
                <w:spacing w:val="-84"/>
                <w:u w:val="none" w:color="auto"/>
              </w:rPr>
              <w:t xml:space="preserve"> </w:t>
            </w:r>
            <w:r>
              <w:rPr>
                <w:rFonts w:hint="eastAsia" w:ascii="宋体" w:hAnsi="宋体" w:eastAsia="宋体" w:cs="宋体"/>
                <w:color w:val="auto"/>
                <w:spacing w:val="-7"/>
                <w:u w:val="none" w:color="auto"/>
              </w:rPr>
              <w:t>市</w:t>
            </w:r>
            <w:r>
              <w:rPr>
                <w:rFonts w:hint="eastAsia" w:ascii="宋体" w:hAnsi="宋体" w:eastAsia="宋体" w:cs="宋体"/>
                <w:color w:val="auto"/>
                <w:spacing w:val="14"/>
                <w:u w:val="none" w:color="auto"/>
              </w:rPr>
              <w:t xml:space="preserve">      </w:t>
            </w:r>
            <w:r>
              <w:rPr>
                <w:rFonts w:hint="eastAsia" w:ascii="宋体" w:hAnsi="宋体" w:eastAsia="宋体" w:cs="宋体"/>
                <w:color w:val="auto"/>
                <w:spacing w:val="-67"/>
                <w:u w:val="none" w:color="auto"/>
              </w:rPr>
              <w:t xml:space="preserve"> </w:t>
            </w:r>
            <w:r>
              <w:rPr>
                <w:rFonts w:hint="eastAsia" w:ascii="宋体" w:hAnsi="宋体" w:eastAsia="宋体" w:cs="宋体"/>
                <w:color w:val="auto"/>
                <w:spacing w:val="-7"/>
                <w:u w:val="none" w:color="auto"/>
              </w:rPr>
              <w:t>区/县/市</w:t>
            </w:r>
          </w:p>
        </w:tc>
      </w:tr>
      <w:tr w14:paraId="23726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4114" w:type="dxa"/>
            <w:gridSpan w:val="3"/>
            <w:vAlign w:val="center"/>
          </w:tcPr>
          <w:p w14:paraId="36C76E27">
            <w:pPr>
              <w:pStyle w:val="14"/>
              <w:snapToGrid w:val="0"/>
              <w:spacing w:before="0" w:line="240" w:lineRule="auto"/>
              <w:ind w:left="0"/>
              <w:jc w:val="center"/>
              <w:rPr>
                <w:rFonts w:hint="eastAsia" w:ascii="宋体" w:hAnsi="宋体" w:eastAsia="宋体" w:cs="宋体"/>
                <w:color w:val="auto"/>
                <w:u w:val="none" w:color="auto"/>
              </w:rPr>
            </w:pPr>
            <w:r>
              <w:rPr>
                <w:rFonts w:hint="eastAsia" w:ascii="宋体" w:hAnsi="宋体" w:eastAsia="宋体" w:cs="宋体"/>
                <w:color w:val="auto"/>
                <w:spacing w:val="-5"/>
                <w:u w:val="none" w:color="auto"/>
              </w:rPr>
              <w:t>统一社会信用代码证编号</w:t>
            </w:r>
          </w:p>
        </w:tc>
        <w:tc>
          <w:tcPr>
            <w:tcW w:w="4752" w:type="dxa"/>
            <w:gridSpan w:val="3"/>
            <w:vAlign w:val="center"/>
          </w:tcPr>
          <w:p w14:paraId="16849043">
            <w:pPr>
              <w:pStyle w:val="14"/>
              <w:snapToGrid w:val="0"/>
              <w:jc w:val="center"/>
              <w:rPr>
                <w:rFonts w:hint="eastAsia" w:ascii="宋体" w:hAnsi="宋体" w:eastAsia="宋体" w:cs="宋体"/>
                <w:color w:val="auto"/>
                <w:u w:val="none" w:color="auto"/>
              </w:rPr>
            </w:pPr>
          </w:p>
        </w:tc>
      </w:tr>
      <w:tr w14:paraId="2FBFD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2198" w:type="dxa"/>
            <w:gridSpan w:val="2"/>
            <w:vAlign w:val="center"/>
          </w:tcPr>
          <w:p w14:paraId="5ECEE39F">
            <w:pPr>
              <w:pStyle w:val="14"/>
              <w:snapToGrid w:val="0"/>
              <w:spacing w:before="0" w:line="240" w:lineRule="auto"/>
              <w:ind w:left="0"/>
              <w:jc w:val="center"/>
              <w:rPr>
                <w:rFonts w:hint="eastAsia" w:ascii="宋体" w:hAnsi="宋体" w:eastAsia="宋体" w:cs="宋体"/>
                <w:color w:val="auto"/>
                <w:u w:val="none" w:color="auto"/>
              </w:rPr>
            </w:pPr>
            <w:r>
              <w:rPr>
                <w:rFonts w:hint="eastAsia" w:ascii="宋体" w:hAnsi="宋体" w:eastAsia="宋体" w:cs="宋体"/>
                <w:color w:val="auto"/>
                <w:spacing w:val="-5"/>
                <w:u w:val="none" w:color="auto"/>
              </w:rPr>
              <w:t>执业许可证有效期</w:t>
            </w:r>
          </w:p>
        </w:tc>
        <w:tc>
          <w:tcPr>
            <w:tcW w:w="6668" w:type="dxa"/>
            <w:gridSpan w:val="4"/>
            <w:vAlign w:val="center"/>
          </w:tcPr>
          <w:p w14:paraId="7FCB1CDC">
            <w:pPr>
              <w:pStyle w:val="14"/>
              <w:snapToGrid w:val="0"/>
              <w:spacing w:before="0" w:line="240" w:lineRule="auto"/>
              <w:ind w:left="0"/>
              <w:jc w:val="center"/>
              <w:rPr>
                <w:rFonts w:hint="eastAsia" w:ascii="宋体" w:hAnsi="宋体" w:eastAsia="宋体" w:cs="宋体"/>
                <w:color w:val="auto"/>
                <w:u w:val="none" w:color="auto"/>
              </w:rPr>
            </w:pPr>
            <w:r>
              <w:rPr>
                <w:rFonts w:hint="eastAsia" w:ascii="宋体" w:hAnsi="宋体" w:eastAsia="宋体" w:cs="宋体"/>
                <w:color w:val="auto"/>
                <w:spacing w:val="-18"/>
                <w:u w:val="none" w:color="auto"/>
              </w:rPr>
              <w:t>年</w:t>
            </w:r>
            <w:r>
              <w:rPr>
                <w:rFonts w:hint="eastAsia" w:ascii="宋体" w:hAnsi="宋体" w:eastAsia="宋体" w:cs="宋体"/>
                <w:color w:val="auto"/>
                <w:spacing w:val="3"/>
                <w:u w:val="none" w:color="auto"/>
              </w:rPr>
              <w:t xml:space="preserve">   </w:t>
            </w:r>
            <w:r>
              <w:rPr>
                <w:rFonts w:hint="eastAsia" w:ascii="宋体" w:hAnsi="宋体" w:eastAsia="宋体" w:cs="宋体"/>
                <w:color w:val="auto"/>
                <w:spacing w:val="-18"/>
                <w:u w:val="none" w:color="auto"/>
              </w:rPr>
              <w:t>月</w:t>
            </w:r>
            <w:r>
              <w:rPr>
                <w:rFonts w:hint="eastAsia" w:ascii="宋体" w:hAnsi="宋体" w:eastAsia="宋体" w:cs="宋体"/>
                <w:color w:val="auto"/>
                <w:spacing w:val="12"/>
                <w:u w:val="none" w:color="auto"/>
              </w:rPr>
              <w:t xml:space="preserve">   </w:t>
            </w:r>
            <w:r>
              <w:rPr>
                <w:rFonts w:hint="eastAsia" w:ascii="宋体" w:hAnsi="宋体" w:eastAsia="宋体" w:cs="宋体"/>
                <w:color w:val="auto"/>
                <w:spacing w:val="-18"/>
                <w:u w:val="none" w:color="auto"/>
              </w:rPr>
              <w:t>日</w:t>
            </w:r>
            <w:r>
              <w:rPr>
                <w:rFonts w:hint="eastAsia" w:ascii="宋体" w:hAnsi="宋体" w:eastAsia="宋体" w:cs="宋体"/>
                <w:color w:val="auto"/>
                <w:spacing w:val="17"/>
                <w:u w:val="none" w:color="auto"/>
              </w:rPr>
              <w:t xml:space="preserve"> </w:t>
            </w:r>
            <w:r>
              <w:rPr>
                <w:rFonts w:hint="eastAsia" w:ascii="宋体" w:hAnsi="宋体" w:eastAsia="宋体" w:cs="宋体"/>
                <w:color w:val="auto"/>
                <w:spacing w:val="-18"/>
                <w:u w:val="none" w:color="auto"/>
              </w:rPr>
              <w:t>至</w:t>
            </w:r>
            <w:r>
              <w:rPr>
                <w:rFonts w:hint="eastAsia" w:ascii="宋体" w:hAnsi="宋体" w:eastAsia="宋体" w:cs="宋体"/>
                <w:color w:val="auto"/>
                <w:spacing w:val="24"/>
                <w:u w:val="none" w:color="auto"/>
              </w:rPr>
              <w:t xml:space="preserve">    </w:t>
            </w:r>
            <w:r>
              <w:rPr>
                <w:rFonts w:hint="eastAsia" w:ascii="宋体" w:hAnsi="宋体" w:eastAsia="宋体" w:cs="宋体"/>
                <w:color w:val="auto"/>
                <w:spacing w:val="-18"/>
                <w:u w:val="none" w:color="auto"/>
              </w:rPr>
              <w:t>年</w:t>
            </w:r>
            <w:r>
              <w:rPr>
                <w:rFonts w:hint="eastAsia" w:ascii="宋体" w:hAnsi="宋体" w:eastAsia="宋体" w:cs="宋体"/>
                <w:color w:val="auto"/>
                <w:spacing w:val="3"/>
                <w:u w:val="none" w:color="auto"/>
              </w:rPr>
              <w:t xml:space="preserve">   </w:t>
            </w:r>
            <w:r>
              <w:rPr>
                <w:rFonts w:hint="eastAsia" w:ascii="宋体" w:hAnsi="宋体" w:eastAsia="宋体" w:cs="宋体"/>
                <w:color w:val="auto"/>
                <w:spacing w:val="-18"/>
                <w:u w:val="none" w:color="auto"/>
              </w:rPr>
              <w:t>月</w:t>
            </w:r>
            <w:r>
              <w:rPr>
                <w:rFonts w:hint="eastAsia" w:ascii="宋体" w:hAnsi="宋体" w:eastAsia="宋体" w:cs="宋体"/>
                <w:color w:val="auto"/>
                <w:spacing w:val="12"/>
                <w:u w:val="none" w:color="auto"/>
              </w:rPr>
              <w:t xml:space="preserve">   </w:t>
            </w:r>
            <w:r>
              <w:rPr>
                <w:rFonts w:hint="eastAsia" w:ascii="宋体" w:hAnsi="宋体" w:eastAsia="宋体" w:cs="宋体"/>
                <w:color w:val="auto"/>
                <w:spacing w:val="-18"/>
                <w:u w:val="none" w:color="auto"/>
              </w:rPr>
              <w:t>日</w:t>
            </w:r>
          </w:p>
        </w:tc>
      </w:tr>
      <w:tr w14:paraId="43A34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1555" w:type="dxa"/>
            <w:vAlign w:val="center"/>
          </w:tcPr>
          <w:p w14:paraId="48E96271">
            <w:pPr>
              <w:pStyle w:val="14"/>
              <w:snapToGrid w:val="0"/>
              <w:spacing w:before="0" w:line="240" w:lineRule="auto"/>
              <w:ind w:left="0"/>
              <w:jc w:val="center"/>
              <w:rPr>
                <w:rFonts w:hint="eastAsia" w:ascii="宋体" w:hAnsi="宋体" w:eastAsia="宋体" w:cs="宋体"/>
                <w:color w:val="auto"/>
                <w:u w:val="none" w:color="auto"/>
              </w:rPr>
            </w:pPr>
            <w:r>
              <w:rPr>
                <w:rFonts w:hint="eastAsia" w:ascii="宋体" w:hAnsi="宋体" w:eastAsia="宋体" w:cs="宋体"/>
                <w:color w:val="auto"/>
                <w:spacing w:val="-5"/>
                <w:u w:val="none" w:color="auto"/>
              </w:rPr>
              <w:t>法人姓名</w:t>
            </w:r>
          </w:p>
        </w:tc>
        <w:tc>
          <w:tcPr>
            <w:tcW w:w="643" w:type="dxa"/>
            <w:vAlign w:val="center"/>
          </w:tcPr>
          <w:p w14:paraId="533D169D">
            <w:pPr>
              <w:pStyle w:val="14"/>
              <w:snapToGrid w:val="0"/>
              <w:jc w:val="center"/>
              <w:rPr>
                <w:rFonts w:hint="eastAsia" w:ascii="宋体" w:hAnsi="宋体" w:eastAsia="宋体" w:cs="宋体"/>
                <w:color w:val="auto"/>
                <w:u w:val="none" w:color="auto"/>
              </w:rPr>
            </w:pPr>
          </w:p>
        </w:tc>
        <w:tc>
          <w:tcPr>
            <w:tcW w:w="1916" w:type="dxa"/>
            <w:vAlign w:val="center"/>
          </w:tcPr>
          <w:p w14:paraId="0B5876B1">
            <w:pPr>
              <w:pStyle w:val="14"/>
              <w:snapToGrid w:val="0"/>
              <w:spacing w:before="0" w:line="240" w:lineRule="auto"/>
              <w:ind w:left="0"/>
              <w:jc w:val="center"/>
              <w:rPr>
                <w:rFonts w:hint="eastAsia" w:ascii="宋体" w:hAnsi="宋体" w:eastAsia="宋体" w:cs="宋体"/>
                <w:color w:val="auto"/>
                <w:u w:val="none" w:color="auto"/>
              </w:rPr>
            </w:pPr>
            <w:r>
              <w:rPr>
                <w:rFonts w:hint="eastAsia" w:ascii="宋体" w:hAnsi="宋体" w:eastAsia="宋体" w:cs="宋体"/>
                <w:color w:val="auto"/>
                <w:spacing w:val="-5"/>
                <w:u w:val="none" w:color="auto"/>
              </w:rPr>
              <w:t>证件类型/证件号</w:t>
            </w:r>
          </w:p>
        </w:tc>
        <w:tc>
          <w:tcPr>
            <w:tcW w:w="2068" w:type="dxa"/>
            <w:vAlign w:val="center"/>
          </w:tcPr>
          <w:p w14:paraId="6932AD0E">
            <w:pPr>
              <w:pStyle w:val="14"/>
              <w:snapToGrid w:val="0"/>
              <w:jc w:val="center"/>
              <w:rPr>
                <w:rFonts w:hint="eastAsia" w:ascii="宋体" w:hAnsi="宋体" w:eastAsia="宋体" w:cs="宋体"/>
                <w:color w:val="auto"/>
                <w:u w:val="none" w:color="auto"/>
              </w:rPr>
            </w:pPr>
          </w:p>
        </w:tc>
        <w:tc>
          <w:tcPr>
            <w:tcW w:w="1221" w:type="dxa"/>
            <w:vAlign w:val="center"/>
          </w:tcPr>
          <w:p w14:paraId="793BB033">
            <w:pPr>
              <w:pStyle w:val="14"/>
              <w:snapToGrid w:val="0"/>
              <w:spacing w:before="0" w:line="240" w:lineRule="auto"/>
              <w:ind w:left="0" w:right="187" w:hanging="221"/>
              <w:jc w:val="center"/>
              <w:rPr>
                <w:rFonts w:hint="eastAsia" w:ascii="宋体" w:hAnsi="宋体" w:eastAsia="宋体" w:cs="宋体"/>
                <w:color w:val="auto"/>
                <w:u w:val="none" w:color="auto"/>
              </w:rPr>
            </w:pPr>
            <w:r>
              <w:rPr>
                <w:rFonts w:hint="eastAsia" w:ascii="宋体" w:hAnsi="宋体" w:eastAsia="宋体" w:cs="宋体"/>
                <w:color w:val="auto"/>
                <w:spacing w:val="-7"/>
                <w:u w:val="none" w:color="auto"/>
              </w:rPr>
              <w:t>法人联系</w:t>
            </w:r>
            <w:r>
              <w:rPr>
                <w:rFonts w:hint="eastAsia" w:ascii="宋体" w:hAnsi="宋体" w:eastAsia="宋体" w:cs="宋体"/>
                <w:color w:val="auto"/>
                <w:spacing w:val="-9"/>
                <w:u w:val="none" w:color="auto"/>
              </w:rPr>
              <w:t>电话</w:t>
            </w:r>
          </w:p>
        </w:tc>
        <w:tc>
          <w:tcPr>
            <w:tcW w:w="1463" w:type="dxa"/>
            <w:vAlign w:val="center"/>
          </w:tcPr>
          <w:p w14:paraId="3D5CF0EF">
            <w:pPr>
              <w:pStyle w:val="14"/>
              <w:snapToGrid w:val="0"/>
              <w:jc w:val="center"/>
              <w:rPr>
                <w:rFonts w:hint="eastAsia" w:ascii="宋体" w:hAnsi="宋体" w:eastAsia="宋体" w:cs="宋体"/>
                <w:color w:val="auto"/>
                <w:u w:val="none" w:color="auto"/>
              </w:rPr>
            </w:pPr>
          </w:p>
        </w:tc>
      </w:tr>
      <w:tr w14:paraId="58822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1555" w:type="dxa"/>
            <w:vAlign w:val="center"/>
          </w:tcPr>
          <w:p w14:paraId="5016F481">
            <w:pPr>
              <w:pStyle w:val="14"/>
              <w:snapToGrid w:val="0"/>
              <w:spacing w:before="0" w:line="240" w:lineRule="auto"/>
              <w:ind w:left="0"/>
              <w:jc w:val="center"/>
              <w:rPr>
                <w:rFonts w:hint="eastAsia" w:ascii="宋体" w:hAnsi="宋体" w:eastAsia="宋体" w:cs="宋体"/>
                <w:color w:val="auto"/>
                <w:u w:val="none" w:color="auto"/>
              </w:rPr>
            </w:pPr>
            <w:r>
              <w:rPr>
                <w:rFonts w:hint="eastAsia" w:ascii="宋体" w:hAnsi="宋体" w:eastAsia="宋体" w:cs="宋体"/>
                <w:color w:val="auto"/>
                <w:spacing w:val="-5"/>
                <w:u w:val="none" w:color="auto"/>
              </w:rPr>
              <w:t>主要负责人</w:t>
            </w:r>
          </w:p>
        </w:tc>
        <w:tc>
          <w:tcPr>
            <w:tcW w:w="643" w:type="dxa"/>
            <w:vAlign w:val="center"/>
          </w:tcPr>
          <w:p w14:paraId="3870E20F">
            <w:pPr>
              <w:pStyle w:val="14"/>
              <w:snapToGrid w:val="0"/>
              <w:jc w:val="center"/>
              <w:rPr>
                <w:rFonts w:hint="eastAsia" w:ascii="宋体" w:hAnsi="宋体" w:eastAsia="宋体" w:cs="宋体"/>
                <w:color w:val="auto"/>
                <w:u w:val="none" w:color="auto"/>
              </w:rPr>
            </w:pPr>
          </w:p>
        </w:tc>
        <w:tc>
          <w:tcPr>
            <w:tcW w:w="1916" w:type="dxa"/>
            <w:vAlign w:val="center"/>
          </w:tcPr>
          <w:p w14:paraId="28E01814">
            <w:pPr>
              <w:pStyle w:val="14"/>
              <w:snapToGrid w:val="0"/>
              <w:spacing w:before="0" w:line="240" w:lineRule="auto"/>
              <w:ind w:left="0"/>
              <w:jc w:val="center"/>
              <w:rPr>
                <w:rFonts w:hint="eastAsia" w:ascii="宋体" w:hAnsi="宋体" w:eastAsia="宋体" w:cs="宋体"/>
                <w:color w:val="auto"/>
                <w:u w:val="none" w:color="auto"/>
              </w:rPr>
            </w:pPr>
            <w:r>
              <w:rPr>
                <w:rFonts w:hint="eastAsia" w:ascii="宋体" w:hAnsi="宋体" w:eastAsia="宋体" w:cs="宋体"/>
                <w:color w:val="auto"/>
                <w:spacing w:val="-5"/>
                <w:u w:val="none" w:color="auto"/>
              </w:rPr>
              <w:t>证件类型/证件号</w:t>
            </w:r>
          </w:p>
        </w:tc>
        <w:tc>
          <w:tcPr>
            <w:tcW w:w="2068" w:type="dxa"/>
            <w:vAlign w:val="center"/>
          </w:tcPr>
          <w:p w14:paraId="3E2BF46E">
            <w:pPr>
              <w:pStyle w:val="14"/>
              <w:snapToGrid w:val="0"/>
              <w:jc w:val="center"/>
              <w:rPr>
                <w:rFonts w:hint="eastAsia" w:ascii="宋体" w:hAnsi="宋体" w:eastAsia="宋体" w:cs="宋体"/>
                <w:color w:val="auto"/>
                <w:u w:val="none" w:color="auto"/>
              </w:rPr>
            </w:pPr>
          </w:p>
        </w:tc>
        <w:tc>
          <w:tcPr>
            <w:tcW w:w="1221" w:type="dxa"/>
            <w:vAlign w:val="center"/>
          </w:tcPr>
          <w:p w14:paraId="02BBC939">
            <w:pPr>
              <w:pStyle w:val="14"/>
              <w:snapToGrid w:val="0"/>
              <w:spacing w:before="0" w:line="240" w:lineRule="auto"/>
              <w:ind w:left="0" w:right="187" w:firstLine="113"/>
              <w:jc w:val="center"/>
              <w:rPr>
                <w:rFonts w:hint="eastAsia" w:ascii="宋体" w:hAnsi="宋体" w:eastAsia="宋体" w:cs="宋体"/>
                <w:color w:val="auto"/>
                <w:u w:val="none" w:color="auto"/>
              </w:rPr>
            </w:pPr>
            <w:r>
              <w:rPr>
                <w:rFonts w:hint="eastAsia" w:ascii="宋体" w:hAnsi="宋体" w:eastAsia="宋体" w:cs="宋体"/>
                <w:color w:val="auto"/>
                <w:spacing w:val="-9"/>
                <w:u w:val="none" w:color="auto"/>
              </w:rPr>
              <w:t>负责人</w:t>
            </w:r>
            <w:r>
              <w:rPr>
                <w:rFonts w:hint="eastAsia" w:ascii="宋体" w:hAnsi="宋体" w:eastAsia="宋体" w:cs="宋体"/>
                <w:color w:val="auto"/>
                <w:spacing w:val="-5"/>
                <w:u w:val="none" w:color="auto"/>
              </w:rPr>
              <w:t>联系电话</w:t>
            </w:r>
          </w:p>
        </w:tc>
        <w:tc>
          <w:tcPr>
            <w:tcW w:w="1463" w:type="dxa"/>
            <w:vAlign w:val="center"/>
          </w:tcPr>
          <w:p w14:paraId="11ADEA1E">
            <w:pPr>
              <w:pStyle w:val="14"/>
              <w:snapToGrid w:val="0"/>
              <w:jc w:val="center"/>
              <w:rPr>
                <w:rFonts w:hint="eastAsia" w:ascii="宋体" w:hAnsi="宋体" w:eastAsia="宋体" w:cs="宋体"/>
                <w:color w:val="auto"/>
                <w:u w:val="none" w:color="auto"/>
              </w:rPr>
            </w:pPr>
          </w:p>
        </w:tc>
      </w:tr>
      <w:tr w14:paraId="3505C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1555" w:type="dxa"/>
            <w:vAlign w:val="center"/>
          </w:tcPr>
          <w:p w14:paraId="7A39DE86">
            <w:pPr>
              <w:pStyle w:val="14"/>
              <w:snapToGrid w:val="0"/>
              <w:spacing w:before="0" w:line="240" w:lineRule="auto"/>
              <w:ind w:left="0"/>
              <w:jc w:val="center"/>
              <w:rPr>
                <w:rFonts w:hint="eastAsia" w:ascii="宋体" w:hAnsi="宋体" w:eastAsia="宋体" w:cs="宋体"/>
                <w:color w:val="auto"/>
                <w:u w:val="none" w:color="auto"/>
              </w:rPr>
            </w:pPr>
            <w:r>
              <w:rPr>
                <w:rFonts w:hint="eastAsia" w:ascii="宋体" w:hAnsi="宋体" w:eastAsia="宋体" w:cs="宋体"/>
                <w:color w:val="auto"/>
                <w:spacing w:val="-4"/>
                <w:u w:val="none" w:color="auto"/>
              </w:rPr>
              <w:t>机构类型</w:t>
            </w:r>
          </w:p>
        </w:tc>
        <w:tc>
          <w:tcPr>
            <w:tcW w:w="7311" w:type="dxa"/>
            <w:gridSpan w:val="5"/>
            <w:vAlign w:val="center"/>
          </w:tcPr>
          <w:p w14:paraId="0E3B48C4">
            <w:pPr>
              <w:pStyle w:val="14"/>
              <w:snapToGrid w:val="0"/>
              <w:spacing w:before="0" w:line="240" w:lineRule="auto"/>
              <w:ind w:left="0"/>
              <w:jc w:val="center"/>
              <w:rPr>
                <w:rFonts w:hint="eastAsia" w:ascii="宋体" w:hAnsi="宋体" w:eastAsia="宋体" w:cs="宋体"/>
                <w:color w:val="auto"/>
                <w:u w:val="none" w:color="auto"/>
              </w:rPr>
            </w:pPr>
            <w:r>
              <w:rPr>
                <w:rFonts w:hint="eastAsia" w:ascii="宋体" w:hAnsi="宋体" w:eastAsia="宋体" w:cs="宋体"/>
                <w:color w:val="auto"/>
                <w:spacing w:val="-7"/>
                <w:u w:val="none" w:color="auto"/>
              </w:rPr>
              <w:t>□医疗机构  □劳动能力鉴定机构</w:t>
            </w:r>
            <w:r>
              <w:rPr>
                <w:rFonts w:hint="eastAsia" w:ascii="宋体" w:hAnsi="宋体" w:eastAsia="宋体" w:cs="宋体"/>
                <w:color w:val="auto"/>
                <w:spacing w:val="12"/>
                <w:u w:val="none" w:color="auto"/>
              </w:rPr>
              <w:t xml:space="preserve">  </w:t>
            </w:r>
            <w:r>
              <w:rPr>
                <w:rFonts w:hint="eastAsia" w:ascii="宋体" w:hAnsi="宋体" w:eastAsia="宋体" w:cs="宋体"/>
                <w:color w:val="auto"/>
                <w:spacing w:val="-7"/>
                <w:u w:val="none" w:color="auto"/>
              </w:rPr>
              <w:t>□商业保险机构</w:t>
            </w:r>
            <w:r>
              <w:rPr>
                <w:rFonts w:hint="eastAsia" w:ascii="宋体" w:hAnsi="宋体" w:eastAsia="宋体" w:cs="宋体"/>
                <w:color w:val="auto"/>
                <w:spacing w:val="13"/>
                <w:u w:val="none" w:color="auto"/>
              </w:rPr>
              <w:t xml:space="preserve">  </w:t>
            </w:r>
            <w:r>
              <w:rPr>
                <w:rFonts w:hint="eastAsia" w:ascii="宋体" w:hAnsi="宋体" w:eastAsia="宋体" w:cs="宋体"/>
                <w:color w:val="auto"/>
                <w:spacing w:val="-7"/>
                <w:u w:val="none" w:color="auto"/>
              </w:rPr>
              <w:t>□其他</w:t>
            </w:r>
          </w:p>
        </w:tc>
      </w:tr>
      <w:tr w14:paraId="1B079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exact"/>
        </w:trPr>
        <w:tc>
          <w:tcPr>
            <w:tcW w:w="1555" w:type="dxa"/>
            <w:vAlign w:val="center"/>
          </w:tcPr>
          <w:p w14:paraId="2555E1E4">
            <w:pPr>
              <w:pStyle w:val="14"/>
              <w:snapToGrid w:val="0"/>
              <w:spacing w:line="240" w:lineRule="auto"/>
              <w:jc w:val="center"/>
              <w:rPr>
                <w:rFonts w:hint="eastAsia" w:ascii="宋体" w:hAnsi="宋体" w:eastAsia="宋体" w:cs="宋体"/>
                <w:color w:val="auto"/>
                <w:u w:val="none" w:color="auto"/>
              </w:rPr>
            </w:pPr>
          </w:p>
          <w:p w14:paraId="675BCE7F">
            <w:pPr>
              <w:pStyle w:val="14"/>
              <w:snapToGrid w:val="0"/>
              <w:spacing w:before="0" w:line="240" w:lineRule="auto"/>
              <w:ind w:left="0"/>
              <w:jc w:val="center"/>
              <w:rPr>
                <w:rFonts w:hint="eastAsia" w:ascii="宋体" w:hAnsi="宋体" w:eastAsia="宋体" w:cs="宋体"/>
                <w:color w:val="auto"/>
                <w:u w:val="none" w:color="auto"/>
              </w:rPr>
            </w:pPr>
            <w:r>
              <w:rPr>
                <w:rFonts w:hint="eastAsia" w:ascii="宋体" w:hAnsi="宋体" w:eastAsia="宋体" w:cs="宋体"/>
                <w:color w:val="auto"/>
                <w:spacing w:val="-4"/>
                <w:u w:val="none" w:color="auto"/>
              </w:rPr>
              <w:t>机构性质</w:t>
            </w:r>
          </w:p>
        </w:tc>
        <w:tc>
          <w:tcPr>
            <w:tcW w:w="2559" w:type="dxa"/>
            <w:gridSpan w:val="2"/>
            <w:vAlign w:val="center"/>
          </w:tcPr>
          <w:p w14:paraId="3E31DFAD">
            <w:pPr>
              <w:pStyle w:val="14"/>
              <w:snapToGrid w:val="0"/>
              <w:spacing w:line="240" w:lineRule="auto"/>
              <w:jc w:val="center"/>
              <w:rPr>
                <w:rFonts w:hint="eastAsia" w:ascii="宋体" w:hAnsi="宋体" w:eastAsia="宋体" w:cs="宋体"/>
                <w:color w:val="auto"/>
                <w:u w:val="none" w:color="auto"/>
              </w:rPr>
            </w:pPr>
          </w:p>
          <w:p w14:paraId="4385702D">
            <w:pPr>
              <w:pStyle w:val="14"/>
              <w:snapToGrid w:val="0"/>
              <w:spacing w:before="0" w:line="240" w:lineRule="auto"/>
              <w:ind w:left="0"/>
              <w:jc w:val="center"/>
              <w:rPr>
                <w:rFonts w:hint="eastAsia" w:ascii="宋体" w:hAnsi="宋体" w:eastAsia="宋体" w:cs="宋体"/>
                <w:color w:val="auto"/>
                <w:u w:val="none" w:color="auto"/>
              </w:rPr>
            </w:pPr>
            <w:r>
              <w:rPr>
                <w:rFonts w:hint="eastAsia" w:ascii="宋体" w:hAnsi="宋体" w:eastAsia="宋体" w:cs="宋体"/>
                <w:color w:val="auto"/>
                <w:spacing w:val="-12"/>
                <w:u w:val="none" w:color="auto"/>
              </w:rPr>
              <w:t>□公立</w:t>
            </w:r>
            <w:r>
              <w:rPr>
                <w:rFonts w:hint="eastAsia" w:ascii="宋体" w:hAnsi="宋体" w:eastAsia="宋体" w:cs="宋体"/>
                <w:color w:val="auto"/>
                <w:spacing w:val="12"/>
                <w:u w:val="none" w:color="auto"/>
              </w:rPr>
              <w:t xml:space="preserve">  </w:t>
            </w:r>
            <w:r>
              <w:rPr>
                <w:rFonts w:hint="eastAsia" w:ascii="宋体" w:hAnsi="宋体" w:eastAsia="宋体" w:cs="宋体"/>
                <w:color w:val="auto"/>
                <w:spacing w:val="-12"/>
                <w:u w:val="none" w:color="auto"/>
              </w:rPr>
              <w:t>□社会办</w:t>
            </w:r>
            <w:r>
              <w:rPr>
                <w:rFonts w:hint="eastAsia" w:ascii="宋体" w:hAnsi="宋体" w:eastAsia="宋体" w:cs="宋体"/>
                <w:color w:val="auto"/>
                <w:spacing w:val="11"/>
                <w:u w:val="none" w:color="auto"/>
              </w:rPr>
              <w:t xml:space="preserve">  </w:t>
            </w:r>
            <w:r>
              <w:rPr>
                <w:rFonts w:hint="eastAsia" w:ascii="宋体" w:hAnsi="宋体" w:eastAsia="宋体" w:cs="宋体"/>
                <w:color w:val="auto"/>
                <w:spacing w:val="-12"/>
                <w:u w:val="none" w:color="auto"/>
              </w:rPr>
              <w:t>□其他</w:t>
            </w:r>
          </w:p>
        </w:tc>
        <w:tc>
          <w:tcPr>
            <w:tcW w:w="2068" w:type="dxa"/>
            <w:vAlign w:val="center"/>
          </w:tcPr>
          <w:p w14:paraId="7C79E739">
            <w:pPr>
              <w:pStyle w:val="14"/>
              <w:snapToGrid w:val="0"/>
              <w:spacing w:line="240" w:lineRule="auto"/>
              <w:jc w:val="center"/>
              <w:rPr>
                <w:rFonts w:hint="eastAsia" w:ascii="宋体" w:hAnsi="宋体" w:eastAsia="宋体" w:cs="宋体"/>
                <w:color w:val="auto"/>
                <w:u w:val="none" w:color="auto"/>
              </w:rPr>
            </w:pPr>
          </w:p>
          <w:p w14:paraId="0F5AB864">
            <w:pPr>
              <w:pStyle w:val="14"/>
              <w:snapToGrid w:val="0"/>
              <w:spacing w:before="0" w:line="240" w:lineRule="auto"/>
              <w:ind w:left="0"/>
              <w:jc w:val="center"/>
              <w:rPr>
                <w:rFonts w:hint="eastAsia" w:ascii="宋体" w:hAnsi="宋体" w:eastAsia="宋体" w:cs="宋体"/>
                <w:color w:val="auto"/>
                <w:u w:val="none" w:color="auto"/>
              </w:rPr>
            </w:pPr>
            <w:r>
              <w:rPr>
                <w:rFonts w:hint="eastAsia" w:ascii="宋体" w:hAnsi="宋体" w:eastAsia="宋体" w:cs="宋体"/>
                <w:color w:val="auto"/>
                <w:spacing w:val="-4"/>
                <w:u w:val="none" w:color="auto"/>
              </w:rPr>
              <w:t>机构级别</w:t>
            </w:r>
          </w:p>
        </w:tc>
        <w:tc>
          <w:tcPr>
            <w:tcW w:w="2684" w:type="dxa"/>
            <w:gridSpan w:val="2"/>
            <w:vAlign w:val="center"/>
          </w:tcPr>
          <w:p w14:paraId="07A8506F">
            <w:pPr>
              <w:pStyle w:val="14"/>
              <w:snapToGrid w:val="0"/>
              <w:spacing w:before="0" w:line="240" w:lineRule="auto"/>
              <w:ind w:left="0"/>
              <w:jc w:val="center"/>
              <w:rPr>
                <w:rFonts w:hint="eastAsia" w:ascii="宋体" w:hAnsi="宋体" w:eastAsia="宋体" w:cs="宋体"/>
                <w:color w:val="auto"/>
                <w:u w:val="none" w:color="auto"/>
              </w:rPr>
            </w:pPr>
            <w:r>
              <w:rPr>
                <w:rFonts w:hint="eastAsia" w:ascii="宋体" w:hAnsi="宋体" w:eastAsia="宋体" w:cs="宋体"/>
                <w:color w:val="auto"/>
                <w:spacing w:val="-13"/>
                <w:u w:val="none" w:color="auto"/>
              </w:rPr>
              <w:t>□三级</w:t>
            </w:r>
            <w:r>
              <w:rPr>
                <w:rFonts w:hint="eastAsia" w:ascii="宋体" w:hAnsi="宋体" w:eastAsia="宋体" w:cs="宋体"/>
                <w:color w:val="auto"/>
                <w:spacing w:val="12"/>
                <w:u w:val="none" w:color="auto"/>
              </w:rPr>
              <w:t xml:space="preserve">  </w:t>
            </w:r>
            <w:r>
              <w:rPr>
                <w:rFonts w:hint="eastAsia" w:ascii="宋体" w:hAnsi="宋体" w:eastAsia="宋体" w:cs="宋体"/>
                <w:color w:val="auto"/>
                <w:spacing w:val="-13"/>
                <w:u w:val="none" w:color="auto"/>
              </w:rPr>
              <w:t>□二级</w:t>
            </w:r>
            <w:r>
              <w:rPr>
                <w:rFonts w:hint="eastAsia" w:ascii="宋体" w:hAnsi="宋体" w:eastAsia="宋体" w:cs="宋体"/>
                <w:color w:val="auto"/>
                <w:spacing w:val="11"/>
                <w:u w:val="none" w:color="auto"/>
              </w:rPr>
              <w:t xml:space="preserve">  </w:t>
            </w:r>
            <w:r>
              <w:rPr>
                <w:rFonts w:hint="eastAsia" w:ascii="宋体" w:hAnsi="宋体" w:eastAsia="宋体" w:cs="宋体"/>
                <w:color w:val="auto"/>
                <w:spacing w:val="-13"/>
                <w:u w:val="none" w:color="auto"/>
              </w:rPr>
              <w:t>□一级</w:t>
            </w:r>
          </w:p>
          <w:p w14:paraId="28E3882C">
            <w:pPr>
              <w:pStyle w:val="14"/>
              <w:snapToGrid w:val="0"/>
              <w:spacing w:before="0" w:line="240" w:lineRule="auto"/>
              <w:ind w:left="0"/>
              <w:jc w:val="center"/>
              <w:rPr>
                <w:rFonts w:hint="eastAsia" w:ascii="宋体" w:hAnsi="宋体" w:eastAsia="宋体" w:cs="宋体"/>
                <w:color w:val="auto"/>
                <w:u w:val="none" w:color="auto"/>
              </w:rPr>
            </w:pPr>
            <w:r>
              <w:rPr>
                <w:rFonts w:hint="eastAsia" w:ascii="宋体" w:hAnsi="宋体" w:eastAsia="宋体" w:cs="宋体"/>
                <w:color w:val="auto"/>
                <w:spacing w:val="-8"/>
                <w:u w:val="none" w:color="auto"/>
              </w:rPr>
              <w:t>□未定级</w:t>
            </w:r>
          </w:p>
        </w:tc>
      </w:tr>
      <w:tr w14:paraId="60B35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exact"/>
        </w:trPr>
        <w:tc>
          <w:tcPr>
            <w:tcW w:w="1555" w:type="dxa"/>
            <w:vAlign w:val="center"/>
          </w:tcPr>
          <w:p w14:paraId="214D889D">
            <w:pPr>
              <w:pStyle w:val="14"/>
              <w:snapToGrid w:val="0"/>
              <w:spacing w:before="0" w:line="240" w:lineRule="auto"/>
              <w:ind w:left="0" w:right="0" w:firstLine="0"/>
              <w:jc w:val="center"/>
              <w:rPr>
                <w:rFonts w:hint="eastAsia" w:ascii="宋体" w:hAnsi="宋体" w:eastAsia="宋体" w:cs="宋体"/>
                <w:color w:val="auto"/>
                <w:u w:val="none" w:color="auto"/>
              </w:rPr>
            </w:pPr>
            <w:r>
              <w:rPr>
                <w:rFonts w:hint="eastAsia" w:ascii="宋体" w:hAnsi="宋体" w:eastAsia="宋体" w:cs="宋体"/>
                <w:color w:val="auto"/>
                <w:spacing w:val="-7"/>
                <w:u w:val="none" w:color="auto"/>
              </w:rPr>
              <w:t>现有机构</w:t>
            </w:r>
            <w:r>
              <w:rPr>
                <w:rFonts w:hint="eastAsia" w:ascii="宋体" w:hAnsi="宋体" w:eastAsia="宋体" w:cs="宋体"/>
                <w:color w:val="auto"/>
                <w:spacing w:val="-4"/>
                <w:u w:val="none" w:color="auto"/>
              </w:rPr>
              <w:t>所在地</w:t>
            </w:r>
          </w:p>
        </w:tc>
        <w:tc>
          <w:tcPr>
            <w:tcW w:w="7311" w:type="dxa"/>
            <w:gridSpan w:val="5"/>
            <w:vAlign w:val="center"/>
          </w:tcPr>
          <w:p w14:paraId="6666D7EA">
            <w:pPr>
              <w:pStyle w:val="14"/>
              <w:snapToGrid w:val="0"/>
              <w:spacing w:line="240" w:lineRule="auto"/>
              <w:jc w:val="center"/>
              <w:rPr>
                <w:rFonts w:hint="eastAsia" w:ascii="宋体" w:hAnsi="宋体" w:eastAsia="宋体" w:cs="宋体"/>
                <w:color w:val="auto"/>
                <w:u w:val="none" w:color="auto"/>
              </w:rPr>
            </w:pPr>
          </w:p>
          <w:p w14:paraId="1715EA76">
            <w:pPr>
              <w:pStyle w:val="14"/>
              <w:snapToGrid w:val="0"/>
              <w:spacing w:before="0" w:line="240" w:lineRule="auto"/>
              <w:ind w:left="0"/>
              <w:jc w:val="center"/>
              <w:rPr>
                <w:rFonts w:hint="eastAsia" w:ascii="宋体" w:hAnsi="宋体" w:eastAsia="宋体" w:cs="宋体"/>
                <w:color w:val="auto"/>
                <w:u w:val="none" w:color="auto"/>
              </w:rPr>
            </w:pPr>
            <w:r>
              <w:rPr>
                <w:rFonts w:hint="eastAsia" w:ascii="宋体" w:hAnsi="宋体" w:eastAsia="宋体" w:cs="宋体"/>
                <w:color w:val="auto"/>
                <w:spacing w:val="-32"/>
                <w:u w:val="none" w:color="auto"/>
              </w:rPr>
              <w:t>□</w:t>
            </w:r>
            <w:r>
              <w:rPr>
                <w:rFonts w:hint="eastAsia" w:ascii="宋体" w:hAnsi="宋体" w:eastAsia="宋体" w:cs="宋体"/>
                <w:color w:val="auto"/>
                <w:spacing w:val="97"/>
                <w:u w:val="none" w:color="auto"/>
              </w:rPr>
              <w:t xml:space="preserve"> </w:t>
            </w:r>
            <w:r>
              <w:rPr>
                <w:rFonts w:hint="eastAsia" w:ascii="宋体" w:hAnsi="宋体" w:eastAsia="宋体" w:cs="宋体"/>
                <w:color w:val="auto"/>
                <w:spacing w:val="29"/>
                <w:u w:val="none" w:color="auto"/>
              </w:rPr>
              <w:t xml:space="preserve"> </w:t>
            </w:r>
            <w:r>
              <w:rPr>
                <w:rFonts w:hint="eastAsia" w:ascii="宋体" w:hAnsi="宋体" w:eastAsia="宋体" w:cs="宋体"/>
                <w:color w:val="auto"/>
                <w:spacing w:val="-32"/>
                <w:u w:val="none" w:color="auto"/>
              </w:rPr>
              <w:t>□</w:t>
            </w:r>
            <w:r>
              <w:rPr>
                <w:rFonts w:hint="eastAsia" w:ascii="宋体" w:hAnsi="宋体" w:eastAsia="宋体" w:cs="宋体"/>
                <w:color w:val="auto"/>
                <w:spacing w:val="99"/>
                <w:u w:val="none" w:color="auto"/>
              </w:rPr>
              <w:t xml:space="preserve"> </w:t>
            </w:r>
            <w:r>
              <w:rPr>
                <w:rFonts w:hint="eastAsia" w:ascii="宋体" w:hAnsi="宋体" w:eastAsia="宋体" w:cs="宋体"/>
                <w:color w:val="auto"/>
                <w:spacing w:val="29"/>
                <w:u w:val="none" w:color="auto"/>
              </w:rPr>
              <w:t xml:space="preserve"> </w:t>
            </w:r>
            <w:r>
              <w:rPr>
                <w:rFonts w:hint="eastAsia" w:ascii="宋体" w:hAnsi="宋体" w:eastAsia="宋体" w:cs="宋体"/>
                <w:color w:val="auto"/>
                <w:spacing w:val="-32"/>
                <w:u w:val="none" w:color="auto"/>
              </w:rPr>
              <w:t>□</w:t>
            </w:r>
            <w:r>
              <w:rPr>
                <w:rFonts w:hint="eastAsia" w:ascii="宋体" w:hAnsi="宋体" w:eastAsia="宋体" w:cs="宋体"/>
                <w:color w:val="auto"/>
                <w:spacing w:val="97"/>
                <w:u w:val="none" w:color="auto"/>
              </w:rPr>
              <w:t xml:space="preserve"> </w:t>
            </w:r>
            <w:r>
              <w:rPr>
                <w:rFonts w:hint="eastAsia" w:ascii="宋体" w:hAnsi="宋体" w:eastAsia="宋体" w:cs="宋体"/>
                <w:color w:val="auto"/>
                <w:spacing w:val="29"/>
                <w:u w:val="none" w:color="auto"/>
              </w:rPr>
              <w:t xml:space="preserve"> </w:t>
            </w:r>
            <w:r>
              <w:rPr>
                <w:rFonts w:hint="eastAsia" w:ascii="宋体" w:hAnsi="宋体" w:eastAsia="宋体" w:cs="宋体"/>
                <w:color w:val="auto"/>
                <w:spacing w:val="-32"/>
                <w:u w:val="none" w:color="auto"/>
              </w:rPr>
              <w:t>□</w:t>
            </w:r>
            <w:r>
              <w:rPr>
                <w:rFonts w:hint="eastAsia" w:ascii="宋体" w:hAnsi="宋体" w:eastAsia="宋体" w:cs="宋体"/>
                <w:color w:val="auto"/>
                <w:spacing w:val="99"/>
                <w:u w:val="none" w:color="auto"/>
              </w:rPr>
              <w:t xml:space="preserve"> </w:t>
            </w:r>
            <w:r>
              <w:rPr>
                <w:rFonts w:hint="eastAsia" w:ascii="宋体" w:hAnsi="宋体" w:eastAsia="宋体" w:cs="宋体"/>
                <w:color w:val="auto"/>
                <w:spacing w:val="28"/>
                <w:u w:val="none" w:color="auto"/>
              </w:rPr>
              <w:t xml:space="preserve"> </w:t>
            </w:r>
            <w:r>
              <w:rPr>
                <w:rFonts w:hint="eastAsia" w:ascii="宋体" w:hAnsi="宋体" w:eastAsia="宋体" w:cs="宋体"/>
                <w:color w:val="auto"/>
                <w:spacing w:val="-32"/>
                <w:u w:val="none" w:color="auto"/>
              </w:rPr>
              <w:t>□</w:t>
            </w:r>
            <w:r>
              <w:rPr>
                <w:rFonts w:hint="eastAsia" w:ascii="宋体" w:hAnsi="宋体" w:eastAsia="宋体" w:cs="宋体"/>
                <w:color w:val="auto"/>
                <w:spacing w:val="95"/>
                <w:u w:val="none" w:color="auto"/>
              </w:rPr>
              <w:t xml:space="preserve"> </w:t>
            </w:r>
            <w:r>
              <w:rPr>
                <w:rFonts w:hint="eastAsia" w:ascii="宋体" w:hAnsi="宋体" w:eastAsia="宋体" w:cs="宋体"/>
                <w:color w:val="auto"/>
                <w:spacing w:val="31"/>
                <w:u w:val="none" w:color="auto"/>
              </w:rPr>
              <w:t xml:space="preserve"> </w:t>
            </w:r>
            <w:r>
              <w:rPr>
                <w:rFonts w:hint="eastAsia" w:ascii="宋体" w:hAnsi="宋体" w:eastAsia="宋体" w:cs="宋体"/>
                <w:color w:val="auto"/>
                <w:spacing w:val="-32"/>
                <w:u w:val="none" w:color="auto"/>
              </w:rPr>
              <w:t>□</w:t>
            </w:r>
            <w:r>
              <w:rPr>
                <w:rFonts w:hint="eastAsia" w:ascii="宋体" w:hAnsi="宋体" w:eastAsia="宋体" w:cs="宋体"/>
                <w:color w:val="auto"/>
                <w:spacing w:val="46"/>
                <w:u w:val="none" w:color="auto"/>
              </w:rPr>
              <w:t xml:space="preserve">  </w:t>
            </w:r>
            <w:r>
              <w:rPr>
                <w:rFonts w:hint="eastAsia" w:ascii="宋体" w:hAnsi="宋体" w:eastAsia="宋体" w:cs="宋体"/>
                <w:color w:val="auto"/>
                <w:spacing w:val="-72"/>
                <w:u w:val="none" w:color="auto"/>
              </w:rPr>
              <w:t xml:space="preserve"> </w:t>
            </w:r>
            <w:r>
              <w:rPr>
                <w:rFonts w:hint="eastAsia" w:ascii="宋体" w:hAnsi="宋体" w:eastAsia="宋体" w:cs="宋体"/>
                <w:color w:val="auto"/>
                <w:spacing w:val="-32"/>
                <w:u w:val="none" w:color="auto"/>
              </w:rPr>
              <w:t>□</w:t>
            </w:r>
            <w:r>
              <w:rPr>
                <w:rFonts w:hint="eastAsia" w:ascii="宋体" w:hAnsi="宋体" w:eastAsia="宋体" w:cs="宋体"/>
                <w:color w:val="auto"/>
                <w:spacing w:val="47"/>
                <w:u w:val="none" w:color="auto"/>
              </w:rPr>
              <w:t xml:space="preserve">  </w:t>
            </w:r>
            <w:r>
              <w:rPr>
                <w:rFonts w:hint="eastAsia" w:ascii="宋体" w:hAnsi="宋体" w:eastAsia="宋体" w:cs="宋体"/>
                <w:color w:val="auto"/>
                <w:spacing w:val="-71"/>
                <w:u w:val="none" w:color="auto"/>
              </w:rPr>
              <w:t xml:space="preserve"> </w:t>
            </w:r>
            <w:r>
              <w:rPr>
                <w:rFonts w:hint="eastAsia" w:ascii="宋体" w:hAnsi="宋体" w:eastAsia="宋体" w:cs="宋体"/>
                <w:color w:val="auto"/>
                <w:spacing w:val="-32"/>
                <w:u w:val="none" w:color="auto"/>
              </w:rPr>
              <w:t>□</w:t>
            </w:r>
          </w:p>
        </w:tc>
      </w:tr>
      <w:tr w14:paraId="1E0B0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1555" w:type="dxa"/>
            <w:vAlign w:val="center"/>
          </w:tcPr>
          <w:p w14:paraId="0E71F4FC">
            <w:pPr>
              <w:pStyle w:val="14"/>
              <w:snapToGrid w:val="0"/>
              <w:spacing w:before="0" w:line="240" w:lineRule="auto"/>
              <w:ind w:left="0" w:right="0" w:firstLine="0"/>
              <w:jc w:val="center"/>
              <w:rPr>
                <w:rFonts w:hint="eastAsia" w:ascii="宋体" w:hAnsi="宋体" w:eastAsia="宋体" w:cs="宋体"/>
                <w:color w:val="auto"/>
                <w:u w:val="none" w:color="auto"/>
              </w:rPr>
            </w:pPr>
            <w:r>
              <w:rPr>
                <w:rFonts w:hint="eastAsia" w:ascii="宋体" w:hAnsi="宋体" w:eastAsia="宋体" w:cs="宋体"/>
                <w:color w:val="auto"/>
                <w:spacing w:val="-8"/>
                <w:u w:val="none" w:color="auto"/>
              </w:rPr>
              <w:t>意向服务</w:t>
            </w:r>
            <w:r>
              <w:rPr>
                <w:rFonts w:hint="eastAsia" w:ascii="宋体" w:hAnsi="宋体" w:eastAsia="宋体" w:cs="宋体"/>
                <w:color w:val="auto"/>
                <w:u w:val="none" w:color="auto"/>
              </w:rPr>
              <w:t xml:space="preserve"> </w:t>
            </w:r>
            <w:r>
              <w:rPr>
                <w:rFonts w:hint="eastAsia" w:ascii="宋体" w:hAnsi="宋体" w:eastAsia="宋体" w:cs="宋体"/>
                <w:color w:val="auto"/>
                <w:spacing w:val="-7"/>
                <w:u w:val="none" w:color="auto"/>
              </w:rPr>
              <w:t>范围</w:t>
            </w:r>
          </w:p>
        </w:tc>
        <w:tc>
          <w:tcPr>
            <w:tcW w:w="7311" w:type="dxa"/>
            <w:gridSpan w:val="5"/>
            <w:vAlign w:val="center"/>
          </w:tcPr>
          <w:p w14:paraId="2B2D1983">
            <w:pPr>
              <w:pStyle w:val="14"/>
              <w:snapToGrid w:val="0"/>
              <w:spacing w:line="240" w:lineRule="auto"/>
              <w:jc w:val="center"/>
              <w:rPr>
                <w:rFonts w:hint="eastAsia" w:ascii="宋体" w:hAnsi="宋体" w:eastAsia="宋体" w:cs="宋体"/>
                <w:color w:val="auto"/>
                <w:u w:val="none" w:color="auto"/>
              </w:rPr>
            </w:pPr>
          </w:p>
          <w:p w14:paraId="06F6F973">
            <w:pPr>
              <w:pStyle w:val="14"/>
              <w:snapToGrid w:val="0"/>
              <w:spacing w:before="0" w:line="240" w:lineRule="auto"/>
              <w:ind w:left="0"/>
              <w:jc w:val="center"/>
              <w:rPr>
                <w:rFonts w:hint="eastAsia" w:ascii="宋体" w:hAnsi="宋体" w:eastAsia="宋体" w:cs="宋体"/>
                <w:color w:val="auto"/>
                <w:u w:val="none" w:color="auto"/>
              </w:rPr>
            </w:pPr>
            <w:r>
              <w:rPr>
                <w:rFonts w:hint="eastAsia" w:ascii="宋体" w:hAnsi="宋体" w:eastAsia="宋体" w:cs="宋体"/>
                <w:color w:val="auto"/>
                <w:spacing w:val="-32"/>
                <w:u w:val="none" w:color="auto"/>
              </w:rPr>
              <w:t>□</w:t>
            </w:r>
            <w:r>
              <w:rPr>
                <w:rFonts w:hint="eastAsia" w:ascii="宋体" w:hAnsi="宋体" w:eastAsia="宋体" w:cs="宋体"/>
                <w:color w:val="auto"/>
                <w:spacing w:val="97"/>
                <w:u w:val="none" w:color="auto"/>
              </w:rPr>
              <w:t xml:space="preserve"> </w:t>
            </w:r>
            <w:r>
              <w:rPr>
                <w:rFonts w:hint="eastAsia" w:ascii="宋体" w:hAnsi="宋体" w:eastAsia="宋体" w:cs="宋体"/>
                <w:color w:val="auto"/>
                <w:spacing w:val="29"/>
                <w:u w:val="none" w:color="auto"/>
              </w:rPr>
              <w:t xml:space="preserve"> </w:t>
            </w:r>
            <w:r>
              <w:rPr>
                <w:rFonts w:hint="eastAsia" w:ascii="宋体" w:hAnsi="宋体" w:eastAsia="宋体" w:cs="宋体"/>
                <w:color w:val="auto"/>
                <w:spacing w:val="-32"/>
                <w:u w:val="none" w:color="auto"/>
              </w:rPr>
              <w:t>□</w:t>
            </w:r>
            <w:r>
              <w:rPr>
                <w:rFonts w:hint="eastAsia" w:ascii="宋体" w:hAnsi="宋体" w:eastAsia="宋体" w:cs="宋体"/>
                <w:color w:val="auto"/>
                <w:spacing w:val="99"/>
                <w:u w:val="none" w:color="auto"/>
              </w:rPr>
              <w:t xml:space="preserve"> </w:t>
            </w:r>
            <w:r>
              <w:rPr>
                <w:rFonts w:hint="eastAsia" w:ascii="宋体" w:hAnsi="宋体" w:eastAsia="宋体" w:cs="宋体"/>
                <w:color w:val="auto"/>
                <w:spacing w:val="29"/>
                <w:u w:val="none" w:color="auto"/>
              </w:rPr>
              <w:t xml:space="preserve"> </w:t>
            </w:r>
            <w:r>
              <w:rPr>
                <w:rFonts w:hint="eastAsia" w:ascii="宋体" w:hAnsi="宋体" w:eastAsia="宋体" w:cs="宋体"/>
                <w:color w:val="auto"/>
                <w:spacing w:val="-32"/>
                <w:u w:val="none" w:color="auto"/>
              </w:rPr>
              <w:t>□</w:t>
            </w:r>
            <w:r>
              <w:rPr>
                <w:rFonts w:hint="eastAsia" w:ascii="宋体" w:hAnsi="宋体" w:eastAsia="宋体" w:cs="宋体"/>
                <w:color w:val="auto"/>
                <w:spacing w:val="97"/>
                <w:u w:val="none" w:color="auto"/>
              </w:rPr>
              <w:t xml:space="preserve"> </w:t>
            </w:r>
            <w:r>
              <w:rPr>
                <w:rFonts w:hint="eastAsia" w:ascii="宋体" w:hAnsi="宋体" w:eastAsia="宋体" w:cs="宋体"/>
                <w:color w:val="auto"/>
                <w:spacing w:val="29"/>
                <w:u w:val="none" w:color="auto"/>
              </w:rPr>
              <w:t xml:space="preserve"> </w:t>
            </w:r>
            <w:r>
              <w:rPr>
                <w:rFonts w:hint="eastAsia" w:ascii="宋体" w:hAnsi="宋体" w:eastAsia="宋体" w:cs="宋体"/>
                <w:color w:val="auto"/>
                <w:spacing w:val="-32"/>
                <w:u w:val="none" w:color="auto"/>
              </w:rPr>
              <w:t>□</w:t>
            </w:r>
            <w:r>
              <w:rPr>
                <w:rFonts w:hint="eastAsia" w:ascii="宋体" w:hAnsi="宋体" w:eastAsia="宋体" w:cs="宋体"/>
                <w:color w:val="auto"/>
                <w:spacing w:val="99"/>
                <w:u w:val="none" w:color="auto"/>
              </w:rPr>
              <w:t xml:space="preserve"> </w:t>
            </w:r>
            <w:r>
              <w:rPr>
                <w:rFonts w:hint="eastAsia" w:ascii="宋体" w:hAnsi="宋体" w:eastAsia="宋体" w:cs="宋体"/>
                <w:color w:val="auto"/>
                <w:spacing w:val="28"/>
                <w:u w:val="none" w:color="auto"/>
              </w:rPr>
              <w:t xml:space="preserve"> </w:t>
            </w:r>
            <w:r>
              <w:rPr>
                <w:rFonts w:hint="eastAsia" w:ascii="宋体" w:hAnsi="宋体" w:eastAsia="宋体" w:cs="宋体"/>
                <w:color w:val="auto"/>
                <w:spacing w:val="-32"/>
                <w:u w:val="none" w:color="auto"/>
              </w:rPr>
              <w:t>□</w:t>
            </w:r>
            <w:r>
              <w:rPr>
                <w:rFonts w:hint="eastAsia" w:ascii="宋体" w:hAnsi="宋体" w:eastAsia="宋体" w:cs="宋体"/>
                <w:color w:val="auto"/>
                <w:spacing w:val="95"/>
                <w:u w:val="none" w:color="auto"/>
              </w:rPr>
              <w:t xml:space="preserve"> </w:t>
            </w:r>
            <w:r>
              <w:rPr>
                <w:rFonts w:hint="eastAsia" w:ascii="宋体" w:hAnsi="宋体" w:eastAsia="宋体" w:cs="宋体"/>
                <w:color w:val="auto"/>
                <w:spacing w:val="31"/>
                <w:u w:val="none" w:color="auto"/>
              </w:rPr>
              <w:t xml:space="preserve"> </w:t>
            </w:r>
            <w:r>
              <w:rPr>
                <w:rFonts w:hint="eastAsia" w:ascii="宋体" w:hAnsi="宋体" w:eastAsia="宋体" w:cs="宋体"/>
                <w:color w:val="auto"/>
                <w:spacing w:val="-32"/>
                <w:u w:val="none" w:color="auto"/>
              </w:rPr>
              <w:t>□</w:t>
            </w:r>
            <w:r>
              <w:rPr>
                <w:rFonts w:hint="eastAsia" w:ascii="宋体" w:hAnsi="宋体" w:eastAsia="宋体" w:cs="宋体"/>
                <w:color w:val="auto"/>
                <w:spacing w:val="46"/>
                <w:u w:val="none" w:color="auto"/>
              </w:rPr>
              <w:t xml:space="preserve">  </w:t>
            </w:r>
            <w:r>
              <w:rPr>
                <w:rFonts w:hint="eastAsia" w:ascii="宋体" w:hAnsi="宋体" w:eastAsia="宋体" w:cs="宋体"/>
                <w:color w:val="auto"/>
                <w:spacing w:val="-72"/>
                <w:u w:val="none" w:color="auto"/>
              </w:rPr>
              <w:t xml:space="preserve"> </w:t>
            </w:r>
            <w:r>
              <w:rPr>
                <w:rFonts w:hint="eastAsia" w:ascii="宋体" w:hAnsi="宋体" w:eastAsia="宋体" w:cs="宋体"/>
                <w:color w:val="auto"/>
                <w:spacing w:val="-32"/>
                <w:u w:val="none" w:color="auto"/>
              </w:rPr>
              <w:t>□</w:t>
            </w:r>
            <w:r>
              <w:rPr>
                <w:rFonts w:hint="eastAsia" w:ascii="宋体" w:hAnsi="宋体" w:eastAsia="宋体" w:cs="宋体"/>
                <w:color w:val="auto"/>
                <w:spacing w:val="47"/>
                <w:u w:val="none" w:color="auto"/>
              </w:rPr>
              <w:t xml:space="preserve">  </w:t>
            </w:r>
            <w:r>
              <w:rPr>
                <w:rFonts w:hint="eastAsia" w:ascii="宋体" w:hAnsi="宋体" w:eastAsia="宋体" w:cs="宋体"/>
                <w:color w:val="auto"/>
                <w:spacing w:val="-71"/>
                <w:u w:val="none" w:color="auto"/>
              </w:rPr>
              <w:t xml:space="preserve"> </w:t>
            </w:r>
            <w:r>
              <w:rPr>
                <w:rFonts w:hint="eastAsia" w:ascii="宋体" w:hAnsi="宋体" w:eastAsia="宋体" w:cs="宋体"/>
                <w:color w:val="auto"/>
                <w:spacing w:val="-32"/>
                <w:u w:val="none" w:color="auto"/>
              </w:rPr>
              <w:t>□</w:t>
            </w:r>
          </w:p>
        </w:tc>
      </w:tr>
      <w:tr w14:paraId="4FC50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1555" w:type="dxa"/>
            <w:vAlign w:val="center"/>
          </w:tcPr>
          <w:p w14:paraId="72F0B30D">
            <w:pPr>
              <w:pStyle w:val="14"/>
              <w:snapToGrid w:val="0"/>
              <w:spacing w:before="0" w:line="240" w:lineRule="auto"/>
              <w:ind w:left="0"/>
              <w:jc w:val="center"/>
              <w:rPr>
                <w:rFonts w:hint="eastAsia" w:ascii="宋体" w:hAnsi="宋体" w:eastAsia="宋体" w:cs="宋体"/>
                <w:color w:val="auto"/>
                <w:u w:val="none" w:color="auto"/>
              </w:rPr>
            </w:pPr>
            <w:r>
              <w:rPr>
                <w:rFonts w:hint="eastAsia" w:ascii="宋体" w:hAnsi="宋体" w:eastAsia="宋体" w:cs="宋体"/>
                <w:color w:val="auto"/>
                <w:spacing w:val="-4"/>
                <w:u w:val="none" w:color="auto"/>
              </w:rPr>
              <w:t>评估员数</w:t>
            </w:r>
          </w:p>
        </w:tc>
        <w:tc>
          <w:tcPr>
            <w:tcW w:w="2559" w:type="dxa"/>
            <w:gridSpan w:val="2"/>
            <w:vAlign w:val="center"/>
          </w:tcPr>
          <w:p w14:paraId="6B30D6D4">
            <w:pPr>
              <w:pStyle w:val="14"/>
              <w:snapToGrid w:val="0"/>
              <w:jc w:val="center"/>
              <w:rPr>
                <w:rFonts w:hint="eastAsia" w:ascii="宋体" w:hAnsi="宋体" w:eastAsia="宋体" w:cs="宋体"/>
                <w:color w:val="auto"/>
                <w:u w:val="none" w:color="auto"/>
              </w:rPr>
            </w:pPr>
          </w:p>
        </w:tc>
        <w:tc>
          <w:tcPr>
            <w:tcW w:w="2068" w:type="dxa"/>
            <w:vAlign w:val="center"/>
          </w:tcPr>
          <w:p w14:paraId="02C47218">
            <w:pPr>
              <w:pStyle w:val="14"/>
              <w:snapToGrid w:val="0"/>
              <w:spacing w:before="0" w:line="240" w:lineRule="auto"/>
              <w:ind w:left="0"/>
              <w:jc w:val="center"/>
              <w:rPr>
                <w:rFonts w:hint="eastAsia" w:ascii="宋体" w:hAnsi="宋体" w:eastAsia="宋体" w:cs="宋体"/>
                <w:color w:val="auto"/>
                <w:u w:val="none" w:color="auto"/>
              </w:rPr>
            </w:pPr>
            <w:r>
              <w:rPr>
                <w:rFonts w:hint="eastAsia" w:ascii="宋体" w:hAnsi="宋体" w:eastAsia="宋体" w:cs="宋体"/>
                <w:color w:val="auto"/>
                <w:spacing w:val="-4"/>
                <w:u w:val="none" w:color="auto"/>
              </w:rPr>
              <w:t>评估专家数</w:t>
            </w:r>
          </w:p>
        </w:tc>
        <w:tc>
          <w:tcPr>
            <w:tcW w:w="2684" w:type="dxa"/>
            <w:gridSpan w:val="2"/>
            <w:vAlign w:val="center"/>
          </w:tcPr>
          <w:p w14:paraId="600E13D0">
            <w:pPr>
              <w:pStyle w:val="14"/>
              <w:snapToGrid w:val="0"/>
              <w:jc w:val="center"/>
              <w:rPr>
                <w:rFonts w:hint="eastAsia" w:ascii="宋体" w:hAnsi="宋体" w:eastAsia="宋体" w:cs="宋体"/>
                <w:color w:val="auto"/>
                <w:u w:val="none" w:color="auto"/>
              </w:rPr>
            </w:pPr>
          </w:p>
        </w:tc>
      </w:tr>
      <w:tr w14:paraId="36E88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1555" w:type="dxa"/>
            <w:vAlign w:val="center"/>
          </w:tcPr>
          <w:p w14:paraId="468AFB8A">
            <w:pPr>
              <w:pStyle w:val="14"/>
              <w:snapToGrid w:val="0"/>
              <w:spacing w:before="0" w:line="240" w:lineRule="auto"/>
              <w:ind w:left="0"/>
              <w:jc w:val="center"/>
              <w:rPr>
                <w:rFonts w:hint="eastAsia" w:ascii="宋体" w:hAnsi="宋体" w:eastAsia="宋体" w:cs="宋体"/>
                <w:color w:val="auto"/>
                <w:u w:val="none" w:color="auto"/>
              </w:rPr>
            </w:pPr>
            <w:r>
              <w:rPr>
                <w:rFonts w:hint="eastAsia" w:ascii="宋体" w:hAnsi="宋体" w:eastAsia="宋体" w:cs="宋体"/>
                <w:color w:val="auto"/>
                <w:spacing w:val="-5"/>
                <w:u w:val="none" w:color="auto"/>
              </w:rPr>
              <w:t>专职管理</w:t>
            </w:r>
          </w:p>
        </w:tc>
        <w:tc>
          <w:tcPr>
            <w:tcW w:w="2559" w:type="dxa"/>
            <w:gridSpan w:val="2"/>
            <w:vAlign w:val="center"/>
          </w:tcPr>
          <w:p w14:paraId="35BB0188">
            <w:pPr>
              <w:pStyle w:val="14"/>
              <w:snapToGrid w:val="0"/>
              <w:jc w:val="center"/>
              <w:rPr>
                <w:rFonts w:hint="eastAsia" w:ascii="宋体" w:hAnsi="宋体" w:eastAsia="宋体" w:cs="宋体"/>
                <w:color w:val="auto"/>
                <w:u w:val="none" w:color="auto"/>
              </w:rPr>
            </w:pPr>
          </w:p>
        </w:tc>
        <w:tc>
          <w:tcPr>
            <w:tcW w:w="2068" w:type="dxa"/>
            <w:vAlign w:val="center"/>
          </w:tcPr>
          <w:p w14:paraId="39512CAC">
            <w:pPr>
              <w:pStyle w:val="14"/>
              <w:snapToGrid w:val="0"/>
              <w:spacing w:before="0" w:line="240" w:lineRule="auto"/>
              <w:ind w:left="0"/>
              <w:jc w:val="center"/>
              <w:rPr>
                <w:rFonts w:hint="eastAsia" w:ascii="宋体" w:hAnsi="宋体" w:eastAsia="宋体" w:cs="宋体"/>
                <w:color w:val="auto"/>
                <w:u w:val="none" w:color="auto"/>
              </w:rPr>
            </w:pPr>
            <w:r>
              <w:rPr>
                <w:rFonts w:hint="eastAsia" w:ascii="宋体" w:hAnsi="宋体" w:eastAsia="宋体" w:cs="宋体"/>
                <w:color w:val="auto"/>
                <w:spacing w:val="-3"/>
                <w:u w:val="none" w:color="auto"/>
              </w:rPr>
              <w:t>信息技术管理</w:t>
            </w:r>
          </w:p>
        </w:tc>
        <w:tc>
          <w:tcPr>
            <w:tcW w:w="2684" w:type="dxa"/>
            <w:gridSpan w:val="2"/>
            <w:vAlign w:val="center"/>
          </w:tcPr>
          <w:p w14:paraId="0C60008E">
            <w:pPr>
              <w:pStyle w:val="14"/>
              <w:snapToGrid w:val="0"/>
              <w:jc w:val="center"/>
              <w:rPr>
                <w:rFonts w:hint="eastAsia" w:ascii="宋体" w:hAnsi="宋体" w:eastAsia="宋体" w:cs="宋体"/>
                <w:color w:val="auto"/>
                <w:u w:val="none" w:color="auto"/>
              </w:rPr>
            </w:pPr>
          </w:p>
        </w:tc>
      </w:tr>
      <w:tr w14:paraId="068AB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1555" w:type="dxa"/>
            <w:shd w:val="clear" w:color="auto" w:fill="auto"/>
            <w:vAlign w:val="center"/>
          </w:tcPr>
          <w:p w14:paraId="090B4035">
            <w:pPr>
              <w:pStyle w:val="14"/>
              <w:spacing w:before="0" w:line="207" w:lineRule="auto"/>
              <w:ind w:left="0" w:leftChars="0"/>
              <w:jc w:val="center"/>
              <w:rPr>
                <w:rFonts w:hint="eastAsia" w:ascii="宋体" w:hAnsi="宋体" w:eastAsia="宋体" w:cs="宋体"/>
                <w:color w:val="auto"/>
                <w:kern w:val="2"/>
                <w:sz w:val="21"/>
                <w:szCs w:val="21"/>
                <w:u w:val="none" w:color="auto"/>
                <w:lang w:val="en-US" w:eastAsia="en-US" w:bidi="ar-SA"/>
              </w:rPr>
            </w:pPr>
            <w:r>
              <w:rPr>
                <w:rFonts w:hint="eastAsia" w:ascii="宋体" w:hAnsi="宋体" w:eastAsia="宋体" w:cs="宋体"/>
                <w:color w:val="auto"/>
                <w:spacing w:val="-4"/>
                <w:u w:val="none" w:color="auto"/>
              </w:rPr>
              <w:t>人员数</w:t>
            </w:r>
          </w:p>
        </w:tc>
        <w:tc>
          <w:tcPr>
            <w:tcW w:w="2559" w:type="dxa"/>
            <w:gridSpan w:val="2"/>
            <w:shd w:val="clear" w:color="auto" w:fill="auto"/>
            <w:vAlign w:val="center"/>
          </w:tcPr>
          <w:p w14:paraId="405BEA2C">
            <w:pPr>
              <w:pStyle w:val="14"/>
              <w:jc w:val="center"/>
              <w:rPr>
                <w:rFonts w:hint="eastAsia" w:ascii="宋体" w:hAnsi="宋体" w:eastAsia="宋体" w:cs="宋体"/>
                <w:color w:val="auto"/>
                <w:kern w:val="2"/>
                <w:sz w:val="21"/>
                <w:szCs w:val="21"/>
                <w:u w:val="none" w:color="auto"/>
                <w:lang w:val="en-US" w:eastAsia="en-US" w:bidi="ar-SA"/>
              </w:rPr>
            </w:pPr>
          </w:p>
        </w:tc>
        <w:tc>
          <w:tcPr>
            <w:tcW w:w="2068" w:type="dxa"/>
            <w:shd w:val="clear" w:color="auto" w:fill="auto"/>
            <w:vAlign w:val="center"/>
          </w:tcPr>
          <w:p w14:paraId="5FCB3740">
            <w:pPr>
              <w:pStyle w:val="14"/>
              <w:spacing w:before="237" w:line="207" w:lineRule="auto"/>
              <w:ind w:left="0" w:leftChars="0"/>
              <w:jc w:val="center"/>
              <w:rPr>
                <w:rFonts w:hint="eastAsia" w:ascii="宋体" w:hAnsi="宋体" w:eastAsia="宋体" w:cs="宋体"/>
                <w:color w:val="auto"/>
                <w:kern w:val="2"/>
                <w:sz w:val="21"/>
                <w:szCs w:val="21"/>
                <w:u w:val="none" w:color="auto"/>
                <w:lang w:val="en-US" w:eastAsia="en-US" w:bidi="ar-SA"/>
              </w:rPr>
            </w:pPr>
            <w:r>
              <w:rPr>
                <w:rFonts w:hint="eastAsia" w:ascii="宋体" w:hAnsi="宋体" w:eastAsia="宋体" w:cs="宋体"/>
                <w:color w:val="auto"/>
                <w:spacing w:val="-5"/>
                <w:u w:val="none" w:color="auto"/>
              </w:rPr>
              <w:t>维护人员数</w:t>
            </w:r>
          </w:p>
        </w:tc>
        <w:tc>
          <w:tcPr>
            <w:tcW w:w="2684" w:type="dxa"/>
            <w:gridSpan w:val="2"/>
            <w:vAlign w:val="center"/>
          </w:tcPr>
          <w:p w14:paraId="2159AF27">
            <w:pPr>
              <w:pStyle w:val="14"/>
              <w:snapToGrid w:val="0"/>
              <w:jc w:val="center"/>
              <w:rPr>
                <w:rFonts w:hint="eastAsia" w:ascii="宋体" w:hAnsi="宋体" w:eastAsia="宋体" w:cs="宋体"/>
                <w:color w:val="auto"/>
                <w:u w:val="none" w:color="auto"/>
              </w:rPr>
            </w:pPr>
          </w:p>
        </w:tc>
      </w:tr>
      <w:tr w14:paraId="26A1A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8866" w:type="dxa"/>
            <w:gridSpan w:val="6"/>
            <w:vAlign w:val="center"/>
          </w:tcPr>
          <w:p w14:paraId="298EBF03">
            <w:pPr>
              <w:snapToGrid/>
              <w:spacing w:before="0" w:line="240" w:lineRule="auto"/>
              <w:ind w:left="0"/>
              <w:rPr>
                <w:rFonts w:hint="eastAsia" w:ascii="宋体" w:hAnsi="宋体" w:eastAsia="宋体" w:cs="宋体"/>
                <w:color w:val="auto"/>
                <w:sz w:val="21"/>
                <w:szCs w:val="21"/>
                <w:u w:val="none" w:color="auto"/>
              </w:rPr>
            </w:pPr>
            <w:r>
              <w:rPr>
                <w:rFonts w:hint="eastAsia" w:ascii="宋体" w:hAnsi="宋体" w:eastAsia="宋体" w:cs="宋体"/>
                <w:b/>
                <w:bCs/>
                <w:color w:val="auto"/>
                <w:spacing w:val="-4"/>
                <w:sz w:val="21"/>
                <w:szCs w:val="21"/>
                <w:u w:val="none" w:color="auto"/>
              </w:rPr>
              <w:t>本机</w:t>
            </w:r>
            <w:r>
              <w:rPr>
                <w:rFonts w:hint="eastAsia" w:ascii="宋体" w:hAnsi="宋体" w:eastAsia="宋体" w:cs="宋体"/>
                <w:b w:val="0"/>
                <w:bCs w:val="0"/>
                <w:color w:val="auto"/>
                <w:spacing w:val="0"/>
                <w:sz w:val="21"/>
                <w:szCs w:val="21"/>
                <w:u w:val="none" w:color="auto"/>
              </w:rPr>
              <w:t>构承诺：</w:t>
            </w:r>
          </w:p>
          <w:p w14:paraId="328F0487">
            <w:pPr>
              <w:snapToGrid w:val="0"/>
              <w:spacing w:before="288"/>
              <w:ind w:left="0" w:right="102"/>
              <w:rPr>
                <w:rFonts w:hint="eastAsia" w:ascii="宋体" w:hAnsi="宋体" w:eastAsia="宋体" w:cs="宋体"/>
                <w:color w:val="auto"/>
                <w:spacing w:val="0"/>
                <w:sz w:val="21"/>
                <w:szCs w:val="21"/>
                <w:u w:val="none" w:color="auto"/>
                <w:lang w:eastAsia="zh-CN"/>
              </w:rPr>
            </w:pPr>
            <w:r>
              <w:rPr>
                <w:rFonts w:hint="eastAsia" w:ascii="宋体" w:hAnsi="宋体" w:eastAsia="宋体" w:cs="宋体"/>
                <w:color w:val="auto"/>
                <w:spacing w:val="0"/>
                <w:sz w:val="21"/>
                <w:szCs w:val="21"/>
                <w:u w:val="none" w:color="auto"/>
                <w:lang w:eastAsia="zh-CN"/>
              </w:rPr>
              <w:t>1.</w:t>
            </w:r>
            <w:r>
              <w:rPr>
                <w:rFonts w:hint="eastAsia" w:ascii="宋体" w:hAnsi="宋体" w:eastAsia="宋体" w:cs="宋体"/>
                <w:color w:val="auto"/>
                <w:spacing w:val="0"/>
                <w:sz w:val="21"/>
                <w:szCs w:val="21"/>
                <w:u w:val="none" w:color="auto"/>
              </w:rPr>
              <w:t xml:space="preserve">本机构法定代表人、主要负责人或实际控制人及评估人员无相关违法违规等不良记录。 </w:t>
            </w:r>
          </w:p>
          <w:p w14:paraId="3E5DE72C">
            <w:pPr>
              <w:snapToGrid w:val="0"/>
              <w:spacing w:before="288"/>
              <w:ind w:left="0" w:right="102"/>
              <w:rPr>
                <w:rFonts w:hint="eastAsia" w:ascii="宋体" w:hAnsi="宋体" w:eastAsia="宋体" w:cs="宋体"/>
                <w:color w:val="auto"/>
                <w:spacing w:val="0"/>
                <w:sz w:val="21"/>
                <w:szCs w:val="21"/>
                <w:u w:val="none" w:color="auto"/>
                <w:lang w:eastAsia="zh-CN"/>
              </w:rPr>
            </w:pPr>
            <w:r>
              <w:rPr>
                <w:rFonts w:hint="eastAsia" w:ascii="宋体" w:hAnsi="宋体" w:eastAsia="宋体" w:cs="宋体"/>
                <w:color w:val="auto"/>
                <w:spacing w:val="0"/>
                <w:sz w:val="21"/>
                <w:szCs w:val="21"/>
                <w:u w:val="none" w:color="auto"/>
              </w:rPr>
              <w:t>2</w:t>
            </w:r>
            <w:r>
              <w:rPr>
                <w:rFonts w:hint="eastAsia" w:ascii="宋体" w:hAnsi="宋体" w:eastAsia="宋体" w:cs="宋体"/>
                <w:color w:val="auto"/>
                <w:spacing w:val="0"/>
                <w:sz w:val="21"/>
                <w:szCs w:val="21"/>
                <w:u w:val="none" w:color="auto"/>
                <w:lang w:eastAsia="zh-CN"/>
              </w:rPr>
              <w:t>.</w:t>
            </w:r>
            <w:r>
              <w:rPr>
                <w:rFonts w:hint="eastAsia" w:ascii="宋体" w:hAnsi="宋体" w:eastAsia="宋体" w:cs="宋体"/>
                <w:color w:val="auto"/>
                <w:spacing w:val="0"/>
                <w:sz w:val="21"/>
                <w:szCs w:val="21"/>
                <w:u w:val="none" w:color="auto"/>
              </w:rPr>
              <w:t xml:space="preserve">本机构自愿申请长期护理保险定点评估机构， 本次提供的所有申请材料均真实有效， 如有虚假，愿意承担由此引起的一切责任和后果。 </w:t>
            </w:r>
          </w:p>
          <w:p w14:paraId="4A4F0ACA">
            <w:pPr>
              <w:snapToGrid w:val="0"/>
              <w:spacing w:before="288"/>
              <w:ind w:left="0" w:right="102"/>
              <w:rPr>
                <w:rFonts w:hint="eastAsia" w:ascii="宋体" w:hAnsi="宋体" w:eastAsia="宋体" w:cs="宋体"/>
                <w:color w:val="auto"/>
                <w:sz w:val="21"/>
                <w:szCs w:val="21"/>
                <w:u w:val="none" w:color="auto"/>
              </w:rPr>
            </w:pPr>
            <w:r>
              <w:rPr>
                <w:rFonts w:hint="eastAsia" w:ascii="宋体" w:hAnsi="宋体" w:eastAsia="宋体" w:cs="宋体"/>
                <w:color w:val="auto"/>
                <w:spacing w:val="0"/>
                <w:sz w:val="21"/>
                <w:szCs w:val="21"/>
                <w:u w:val="none" w:color="auto"/>
              </w:rPr>
              <w:t>3</w:t>
            </w:r>
            <w:r>
              <w:rPr>
                <w:rFonts w:hint="eastAsia" w:ascii="宋体" w:hAnsi="宋体" w:eastAsia="宋体" w:cs="宋体"/>
                <w:color w:val="auto"/>
                <w:spacing w:val="0"/>
                <w:sz w:val="21"/>
                <w:szCs w:val="21"/>
                <w:u w:val="none" w:color="auto"/>
                <w:lang w:eastAsia="zh-CN"/>
              </w:rPr>
              <w:t>.</w:t>
            </w:r>
            <w:r>
              <w:rPr>
                <w:rFonts w:hint="eastAsia" w:ascii="宋体" w:hAnsi="宋体" w:eastAsia="宋体" w:cs="宋体"/>
                <w:color w:val="auto"/>
                <w:spacing w:val="0"/>
                <w:sz w:val="21"/>
                <w:szCs w:val="21"/>
                <w:u w:val="none" w:color="auto"/>
              </w:rPr>
              <w:t>严格按照《</w:t>
            </w:r>
            <w:r>
              <w:rPr>
                <w:rFonts w:hint="eastAsia" w:ascii="宋体" w:hAnsi="宋体" w:eastAsia="宋体" w:cs="宋体"/>
                <w:color w:val="auto"/>
                <w:spacing w:val="0"/>
                <w:sz w:val="21"/>
                <w:szCs w:val="21"/>
                <w:u w:val="none" w:color="auto"/>
                <w:lang w:eastAsia="zh-CN"/>
              </w:rPr>
              <w:t>河北</w:t>
            </w:r>
            <w:r>
              <w:rPr>
                <w:rFonts w:hint="eastAsia" w:ascii="宋体" w:hAnsi="宋体" w:eastAsia="宋体" w:cs="宋体"/>
                <w:color w:val="auto"/>
                <w:spacing w:val="0"/>
                <w:sz w:val="21"/>
                <w:szCs w:val="21"/>
                <w:u w:val="none" w:color="auto"/>
              </w:rPr>
              <w:t>省长期护理保险失能等级评估机构定点管理实施细则（试行）》及有关规定， 承担长期护理保险评估服务工作。</w:t>
            </w:r>
          </w:p>
          <w:p w14:paraId="6E35704A">
            <w:pPr>
              <w:snapToGrid w:val="0"/>
              <w:rPr>
                <w:rFonts w:hint="eastAsia" w:ascii="宋体" w:hAnsi="宋体" w:eastAsia="宋体" w:cs="宋体"/>
                <w:color w:val="auto"/>
                <w:sz w:val="21"/>
                <w:szCs w:val="21"/>
                <w:u w:val="none" w:color="auto"/>
              </w:rPr>
            </w:pPr>
          </w:p>
          <w:p w14:paraId="0699A0A6">
            <w:pPr>
              <w:snapToGrid w:val="0"/>
              <w:spacing w:before="75"/>
              <w:ind w:left="0" w:right="1602" w:firstLine="4410" w:firstLineChars="2100"/>
              <w:jc w:val="left"/>
              <w:rPr>
                <w:rFonts w:hint="eastAsia" w:ascii="宋体" w:hAnsi="宋体" w:eastAsia="宋体" w:cs="宋体"/>
                <w:color w:val="auto"/>
                <w:spacing w:val="0"/>
                <w:sz w:val="21"/>
                <w:szCs w:val="21"/>
                <w:u w:val="none" w:color="auto"/>
              </w:rPr>
            </w:pPr>
            <w:r>
              <w:rPr>
                <w:rFonts w:hint="eastAsia" w:ascii="宋体" w:hAnsi="宋体" w:eastAsia="宋体" w:cs="宋体"/>
                <w:color w:val="auto"/>
                <w:spacing w:val="0"/>
                <w:sz w:val="21"/>
                <w:szCs w:val="21"/>
                <w:u w:val="none" w:color="auto"/>
              </w:rPr>
              <w:t>法人（负责人）代表签字：</w:t>
            </w:r>
          </w:p>
          <w:p w14:paraId="0F5983A5">
            <w:pPr>
              <w:snapToGrid w:val="0"/>
              <w:spacing w:before="75"/>
              <w:ind w:left="0" w:right="1602" w:firstLine="4410" w:firstLineChars="2100"/>
              <w:jc w:val="left"/>
              <w:rPr>
                <w:rFonts w:hint="eastAsia" w:ascii="宋体" w:hAnsi="宋体" w:eastAsia="宋体" w:cs="宋体"/>
                <w:color w:val="auto"/>
                <w:sz w:val="21"/>
                <w:szCs w:val="21"/>
                <w:u w:val="none" w:color="auto"/>
              </w:rPr>
            </w:pPr>
            <w:r>
              <w:rPr>
                <w:rFonts w:hint="eastAsia" w:ascii="宋体" w:hAnsi="宋体" w:eastAsia="宋体" w:cs="宋体"/>
                <w:color w:val="auto"/>
                <w:spacing w:val="0"/>
                <w:sz w:val="21"/>
                <w:szCs w:val="21"/>
                <w:u w:val="none" w:color="auto"/>
              </w:rPr>
              <w:t>单位（盖章）：</w:t>
            </w:r>
          </w:p>
          <w:p w14:paraId="07228856">
            <w:pPr>
              <w:pStyle w:val="14"/>
              <w:snapToGrid w:val="0"/>
              <w:jc w:val="left"/>
              <w:rPr>
                <w:rFonts w:hint="eastAsia" w:ascii="宋体" w:hAnsi="宋体" w:eastAsia="宋体" w:cs="宋体"/>
                <w:color w:val="auto"/>
                <w:u w:val="none" w:color="auto"/>
              </w:rPr>
            </w:pPr>
            <w:r>
              <w:rPr>
                <w:rFonts w:hint="eastAsia" w:ascii="宋体" w:hAnsi="宋体" w:eastAsia="宋体" w:cs="宋体"/>
                <w:color w:val="auto"/>
                <w:spacing w:val="-10"/>
                <w:sz w:val="21"/>
                <w:szCs w:val="21"/>
                <w:u w:val="none" w:color="auto"/>
                <w:lang w:val="en-US" w:eastAsia="zh-CN"/>
              </w:rPr>
              <w:t xml:space="preserve">                                                                      </w:t>
            </w:r>
            <w:r>
              <w:rPr>
                <w:rFonts w:hint="eastAsia" w:ascii="宋体" w:hAnsi="宋体" w:eastAsia="宋体" w:cs="宋体"/>
                <w:color w:val="auto"/>
                <w:spacing w:val="-10"/>
                <w:u w:val="none" w:color="auto"/>
              </w:rPr>
              <w:t>年</w:t>
            </w:r>
            <w:r>
              <w:rPr>
                <w:rFonts w:hint="eastAsia" w:ascii="宋体" w:hAnsi="宋体" w:eastAsia="宋体" w:cs="宋体"/>
                <w:color w:val="auto"/>
                <w:spacing w:val="3"/>
                <w:u w:val="none" w:color="auto"/>
              </w:rPr>
              <w:t xml:space="preserve">   </w:t>
            </w:r>
            <w:r>
              <w:rPr>
                <w:rFonts w:hint="eastAsia" w:ascii="宋体" w:hAnsi="宋体" w:eastAsia="宋体" w:cs="宋体"/>
                <w:color w:val="auto"/>
                <w:spacing w:val="-10"/>
                <w:u w:val="none" w:color="auto"/>
              </w:rPr>
              <w:t>月</w:t>
            </w:r>
            <w:r>
              <w:rPr>
                <w:rFonts w:hint="eastAsia" w:ascii="宋体" w:hAnsi="宋体" w:eastAsia="宋体" w:cs="宋体"/>
                <w:color w:val="auto"/>
                <w:spacing w:val="11"/>
                <w:u w:val="none" w:color="auto"/>
              </w:rPr>
              <w:t xml:space="preserve">   </w:t>
            </w:r>
            <w:r>
              <w:rPr>
                <w:rFonts w:hint="eastAsia" w:ascii="宋体" w:hAnsi="宋体" w:eastAsia="宋体" w:cs="宋体"/>
                <w:color w:val="auto"/>
                <w:spacing w:val="-10"/>
                <w:u w:val="none" w:color="auto"/>
              </w:rPr>
              <w:t>日</w:t>
            </w:r>
          </w:p>
        </w:tc>
      </w:tr>
    </w:tbl>
    <w:p w14:paraId="73E88406">
      <w:pPr>
        <w:pStyle w:val="3"/>
        <w:spacing w:before="224" w:line="204" w:lineRule="auto"/>
        <w:ind w:left="121"/>
        <w:rPr>
          <w:rFonts w:hint="eastAsia" w:ascii="楷体_GB2312" w:hAnsi="楷体_GB2312" w:eastAsia="楷体_GB2312" w:cs="楷体_GB2312"/>
          <w:color w:val="auto"/>
          <w:u w:val="none" w:color="auto"/>
        </w:rPr>
      </w:pPr>
      <w:r>
        <w:rPr>
          <w:rFonts w:hint="eastAsia" w:ascii="楷体_GB2312" w:hAnsi="楷体_GB2312" w:eastAsia="楷体_GB2312" w:cs="楷体_GB2312"/>
          <w:color w:val="auto"/>
          <w:spacing w:val="-16"/>
          <w:u w:val="none" w:color="auto"/>
        </w:rPr>
        <w:t>备注：</w:t>
      </w:r>
      <w:r>
        <w:rPr>
          <w:rFonts w:hint="eastAsia" w:ascii="楷体_GB2312" w:hAnsi="楷体_GB2312" w:eastAsia="楷体_GB2312" w:cs="楷体_GB2312"/>
          <w:color w:val="auto"/>
          <w:spacing w:val="-31"/>
          <w:u w:val="none" w:color="auto"/>
        </w:rPr>
        <w:t xml:space="preserve"> </w:t>
      </w:r>
      <w:r>
        <w:rPr>
          <w:rFonts w:hint="eastAsia" w:ascii="楷体_GB2312" w:hAnsi="楷体_GB2312" w:eastAsia="楷体_GB2312" w:cs="楷体_GB2312"/>
          <w:color w:val="auto"/>
          <w:spacing w:val="-16"/>
          <w:u w:val="none" w:color="auto"/>
        </w:rPr>
        <w:t>本表中现有机构所在地行政区划和意向</w:t>
      </w:r>
      <w:r>
        <w:rPr>
          <w:rFonts w:hint="eastAsia" w:ascii="楷体_GB2312" w:hAnsi="楷体_GB2312" w:eastAsia="楷体_GB2312" w:cs="楷体_GB2312"/>
          <w:color w:val="auto"/>
          <w:spacing w:val="-17"/>
          <w:u w:val="none" w:color="auto"/>
        </w:rPr>
        <w:t>服务范围可根据各统筹区实际情况进行调整和设定。</w:t>
      </w:r>
    </w:p>
    <w:p w14:paraId="3EB8336A">
      <w:pPr>
        <w:spacing w:line="222" w:lineRule="auto"/>
        <w:rPr>
          <w:rFonts w:hint="eastAsia" w:ascii="楷体_GB2312" w:hAnsi="楷体_GB2312" w:eastAsia="楷体_GB2312" w:cs="楷体_GB2312"/>
          <w:color w:val="auto"/>
          <w:sz w:val="31"/>
          <w:szCs w:val="31"/>
          <w:u w:val="none" w:color="auto"/>
        </w:rPr>
        <w:sectPr>
          <w:footerReference r:id="rId3" w:type="default"/>
          <w:pgSz w:w="11905" w:h="16838"/>
          <w:pgMar w:top="1440" w:right="1803" w:bottom="1440" w:left="1803" w:header="850" w:footer="992" w:gutter="0"/>
          <w:cols w:space="0" w:num="1"/>
          <w:rtlGutter w:val="0"/>
          <w:docGrid w:type="lines" w:linePitch="317" w:charSpace="0"/>
        </w:sectPr>
      </w:pPr>
    </w:p>
    <w:p w14:paraId="4D9B6F1F">
      <w:pPr>
        <w:pStyle w:val="3"/>
        <w:keepNext w:val="0"/>
        <w:keepLines w:val="0"/>
        <w:pageBreakBefore w:val="0"/>
        <w:widowControl w:val="0"/>
        <w:kinsoku/>
        <w:wordWrap/>
        <w:overflowPunct/>
        <w:topLinePunct w:val="0"/>
        <w:autoSpaceDE/>
        <w:autoSpaceDN/>
        <w:bidi w:val="0"/>
        <w:adjustRightInd/>
        <w:snapToGrid/>
        <w:spacing w:before="155" w:line="200" w:lineRule="auto"/>
        <w:ind w:left="0"/>
        <w:jc w:val="center"/>
        <w:textAlignment w:val="auto"/>
        <w:outlineLvl w:val="0"/>
        <w:rPr>
          <w:rFonts w:hint="eastAsia" w:ascii="方正小标宋简体" w:hAnsi="方正小标宋简体" w:eastAsia="方正小标宋简体" w:cs="方正小标宋简体"/>
          <w:color w:val="auto"/>
          <w:sz w:val="43"/>
          <w:szCs w:val="43"/>
          <w:u w:val="none" w:color="auto"/>
        </w:rPr>
      </w:pPr>
      <w:r>
        <w:rPr>
          <w:rFonts w:hint="eastAsia" w:ascii="方正小标宋简体" w:hAnsi="方正小标宋简体" w:eastAsia="方正小标宋简体" w:cs="方正小标宋简体"/>
          <w:color w:val="auto"/>
          <w:spacing w:val="4"/>
          <w:sz w:val="43"/>
          <w:szCs w:val="43"/>
          <w:u w:val="none" w:color="auto"/>
        </w:rPr>
        <w:t>长期护理保险定点评估机构综合审核表</w:t>
      </w:r>
    </w:p>
    <w:p w14:paraId="13583664">
      <w:pPr>
        <w:pStyle w:val="3"/>
        <w:spacing w:line="344" w:lineRule="auto"/>
        <w:rPr>
          <w:rFonts w:hint="eastAsia" w:ascii="楷体_GB2312" w:hAnsi="楷体_GB2312" w:eastAsia="楷体_GB2312" w:cs="楷体_GB2312"/>
          <w:color w:val="auto"/>
          <w:u w:val="none" w:color="auto"/>
        </w:rPr>
      </w:pPr>
    </w:p>
    <w:p w14:paraId="4107A5A3">
      <w:pPr>
        <w:pStyle w:val="3"/>
        <w:spacing w:before="76" w:line="202" w:lineRule="auto"/>
        <w:ind w:left="446"/>
        <w:rPr>
          <w:rFonts w:hint="eastAsia" w:ascii="楷体_GB2312" w:hAnsi="楷体_GB2312" w:eastAsia="楷体_GB2312" w:cs="楷体_GB2312"/>
          <w:color w:val="auto"/>
          <w:u w:val="none" w:color="auto"/>
        </w:rPr>
      </w:pPr>
      <w:r>
        <w:rPr>
          <w:rFonts w:hint="eastAsia" w:ascii="楷体_GB2312" w:hAnsi="楷体_GB2312" w:eastAsia="楷体_GB2312" w:cs="楷体_GB2312"/>
          <w:color w:val="auto"/>
          <w:spacing w:val="-5"/>
          <w:u w:val="none" w:color="auto"/>
        </w:rPr>
        <w:t>机构名称（盖章</w:t>
      </w:r>
      <w:r>
        <w:rPr>
          <w:rFonts w:hint="eastAsia" w:ascii="楷体_GB2312" w:hAnsi="楷体_GB2312" w:eastAsia="楷体_GB2312" w:cs="楷体_GB2312"/>
          <w:color w:val="auto"/>
          <w:spacing w:val="2"/>
          <w:u w:val="none" w:color="auto"/>
        </w:rPr>
        <w:t>）</w:t>
      </w:r>
      <w:r>
        <w:rPr>
          <w:rFonts w:hint="eastAsia" w:ascii="楷体_GB2312" w:hAnsi="楷体_GB2312" w:eastAsia="楷体_GB2312" w:cs="楷体_GB2312"/>
          <w:color w:val="auto"/>
          <w:spacing w:val="-68"/>
          <w:u w:val="none" w:color="auto"/>
        </w:rPr>
        <w:t xml:space="preserve"> </w:t>
      </w:r>
      <w:r>
        <w:rPr>
          <w:rFonts w:hint="eastAsia" w:ascii="楷体_GB2312" w:hAnsi="楷体_GB2312" w:eastAsia="楷体_GB2312" w:cs="楷体_GB2312"/>
          <w:color w:val="auto"/>
          <w:spacing w:val="2"/>
          <w:u w:val="none" w:color="auto"/>
        </w:rPr>
        <w:t>：</w:t>
      </w:r>
    </w:p>
    <w:p w14:paraId="6EE26F25">
      <w:pPr>
        <w:pStyle w:val="3"/>
        <w:spacing w:before="147" w:line="207" w:lineRule="auto"/>
        <w:ind w:left="446"/>
        <w:rPr>
          <w:rFonts w:hint="eastAsia" w:ascii="楷体_GB2312" w:hAnsi="楷体_GB2312" w:eastAsia="楷体_GB2312" w:cs="楷体_GB2312"/>
          <w:color w:val="auto"/>
          <w:u w:val="none" w:color="auto"/>
        </w:rPr>
      </w:pPr>
      <w:r>
        <w:rPr>
          <w:rFonts w:hint="eastAsia" w:ascii="楷体_GB2312" w:hAnsi="楷体_GB2312" w:eastAsia="楷体_GB2312" w:cs="楷体_GB2312"/>
          <w:color w:val="auto"/>
          <w:spacing w:val="-6"/>
          <w:u w:val="none" w:color="auto"/>
        </w:rPr>
        <w:t xml:space="preserve">地址：                   </w:t>
      </w:r>
      <w:r>
        <w:rPr>
          <w:rFonts w:hint="eastAsia" w:ascii="楷体_GB2312" w:hAnsi="楷体_GB2312" w:eastAsia="楷体_GB2312" w:cs="楷体_GB2312"/>
          <w:color w:val="auto"/>
          <w:spacing w:val="-7"/>
          <w:u w:val="none" w:color="auto"/>
        </w:rPr>
        <w:t xml:space="preserve">                     综合审核时间：</w:t>
      </w:r>
    </w:p>
    <w:tbl>
      <w:tblPr>
        <w:tblStyle w:val="15"/>
        <w:tblpPr w:leftFromText="180" w:rightFromText="180" w:vertAnchor="text" w:horzAnchor="page" w:tblpX="1278" w:tblpY="158"/>
        <w:tblOverlap w:val="never"/>
        <w:tblW w:w="93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320"/>
        <w:gridCol w:w="5808"/>
        <w:gridCol w:w="1620"/>
      </w:tblGrid>
      <w:tr w14:paraId="5C786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632" w:type="dxa"/>
            <w:vAlign w:val="center"/>
          </w:tcPr>
          <w:p w14:paraId="394C1AD8">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宋体" w:hAnsi="宋体" w:eastAsia="宋体" w:cs="宋体"/>
                <w:color w:val="auto"/>
                <w:sz w:val="21"/>
                <w:szCs w:val="21"/>
                <w:u w:val="none" w:color="auto"/>
              </w:rPr>
            </w:pPr>
            <w:r>
              <w:rPr>
                <w:rFonts w:hint="eastAsia" w:ascii="宋体" w:hAnsi="宋体" w:eastAsia="宋体" w:cs="宋体"/>
                <w:color w:val="auto"/>
                <w:sz w:val="21"/>
                <w:szCs w:val="21"/>
                <w:u w:val="none" w:color="auto"/>
              </w:rPr>
              <w:t>序号</w:t>
            </w:r>
          </w:p>
        </w:tc>
        <w:tc>
          <w:tcPr>
            <w:tcW w:w="1320" w:type="dxa"/>
            <w:vAlign w:val="center"/>
          </w:tcPr>
          <w:p w14:paraId="57C24AFF">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宋体" w:hAnsi="宋体" w:eastAsia="宋体" w:cs="宋体"/>
                <w:color w:val="auto"/>
                <w:sz w:val="21"/>
                <w:szCs w:val="21"/>
                <w:u w:val="none" w:color="auto"/>
              </w:rPr>
            </w:pPr>
            <w:r>
              <w:rPr>
                <w:rFonts w:hint="eastAsia" w:ascii="宋体" w:hAnsi="宋体" w:eastAsia="宋体" w:cs="宋体"/>
                <w:color w:val="auto"/>
                <w:spacing w:val="0"/>
                <w:sz w:val="21"/>
                <w:szCs w:val="21"/>
                <w:u w:val="none" w:color="auto"/>
              </w:rPr>
              <w:t>审核指标</w:t>
            </w:r>
          </w:p>
        </w:tc>
        <w:tc>
          <w:tcPr>
            <w:tcW w:w="5808" w:type="dxa"/>
            <w:vAlign w:val="center"/>
          </w:tcPr>
          <w:p w14:paraId="07493C8B">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宋体" w:hAnsi="宋体" w:eastAsia="宋体" w:cs="宋体"/>
                <w:color w:val="auto"/>
                <w:sz w:val="21"/>
                <w:szCs w:val="21"/>
                <w:u w:val="none" w:color="auto"/>
              </w:rPr>
            </w:pPr>
            <w:r>
              <w:rPr>
                <w:rFonts w:hint="eastAsia" w:ascii="宋体" w:hAnsi="宋体" w:eastAsia="宋体" w:cs="宋体"/>
                <w:color w:val="auto"/>
                <w:spacing w:val="0"/>
                <w:sz w:val="21"/>
                <w:szCs w:val="21"/>
                <w:u w:val="none" w:color="auto"/>
              </w:rPr>
              <w:t>审核标准</w:t>
            </w:r>
          </w:p>
        </w:tc>
        <w:tc>
          <w:tcPr>
            <w:tcW w:w="1620" w:type="dxa"/>
            <w:vAlign w:val="center"/>
          </w:tcPr>
          <w:p w14:paraId="0996E2F9">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宋体" w:hAnsi="宋体" w:eastAsia="宋体" w:cs="宋体"/>
                <w:color w:val="auto"/>
                <w:sz w:val="21"/>
                <w:szCs w:val="21"/>
                <w:u w:val="none" w:color="auto"/>
              </w:rPr>
            </w:pPr>
            <w:r>
              <w:rPr>
                <w:rFonts w:hint="eastAsia" w:ascii="宋体" w:hAnsi="宋体" w:eastAsia="宋体" w:cs="宋体"/>
                <w:color w:val="auto"/>
                <w:spacing w:val="0"/>
                <w:sz w:val="21"/>
                <w:szCs w:val="21"/>
                <w:u w:val="none" w:color="auto"/>
              </w:rPr>
              <w:t>综合审核情况</w:t>
            </w:r>
          </w:p>
        </w:tc>
      </w:tr>
      <w:tr w14:paraId="39FDB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632" w:type="dxa"/>
            <w:vAlign w:val="center"/>
          </w:tcPr>
          <w:p w14:paraId="6F4982D9">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宋体" w:hAnsi="宋体" w:eastAsia="宋体" w:cs="宋体"/>
                <w:color w:val="auto"/>
                <w:sz w:val="21"/>
                <w:szCs w:val="21"/>
                <w:u w:val="none" w:color="auto"/>
              </w:rPr>
            </w:pPr>
            <w:r>
              <w:rPr>
                <w:rFonts w:hint="eastAsia" w:ascii="宋体" w:hAnsi="宋体" w:eastAsia="宋体" w:cs="宋体"/>
                <w:color w:val="auto"/>
                <w:sz w:val="21"/>
                <w:szCs w:val="21"/>
                <w:u w:val="none" w:color="auto"/>
              </w:rPr>
              <w:t>1</w:t>
            </w:r>
          </w:p>
        </w:tc>
        <w:tc>
          <w:tcPr>
            <w:tcW w:w="1320" w:type="dxa"/>
            <w:vAlign w:val="center"/>
          </w:tcPr>
          <w:p w14:paraId="2B15F24F">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宋体" w:hAnsi="宋体" w:eastAsia="宋体" w:cs="宋体"/>
                <w:color w:val="auto"/>
                <w:sz w:val="21"/>
                <w:szCs w:val="21"/>
                <w:u w:val="none" w:color="auto"/>
              </w:rPr>
            </w:pPr>
            <w:r>
              <w:rPr>
                <w:rFonts w:hint="eastAsia" w:ascii="宋体" w:hAnsi="宋体" w:eastAsia="宋体" w:cs="宋体"/>
                <w:color w:val="auto"/>
                <w:spacing w:val="0"/>
                <w:sz w:val="21"/>
                <w:szCs w:val="21"/>
                <w:u w:val="none" w:color="auto"/>
              </w:rPr>
              <w:t>执业资格</w:t>
            </w:r>
          </w:p>
        </w:tc>
        <w:tc>
          <w:tcPr>
            <w:tcW w:w="5808" w:type="dxa"/>
            <w:vAlign w:val="center"/>
          </w:tcPr>
          <w:p w14:paraId="7B5A67C1">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宋体" w:hAnsi="宋体" w:eastAsia="宋体" w:cs="宋体"/>
                <w:color w:val="auto"/>
                <w:sz w:val="21"/>
                <w:szCs w:val="21"/>
                <w:u w:val="none" w:color="auto"/>
              </w:rPr>
            </w:pPr>
            <w:r>
              <w:rPr>
                <w:rFonts w:hint="eastAsia" w:ascii="宋体" w:hAnsi="宋体" w:eastAsia="宋体" w:cs="宋体"/>
                <w:color w:val="auto"/>
                <w:spacing w:val="0"/>
                <w:sz w:val="21"/>
                <w:szCs w:val="21"/>
                <w:u w:val="none" w:color="auto"/>
              </w:rPr>
              <w:t>是否具备营业执照、执业许可证、统一社会信用代码证书等相应材料。 “否”即为不合格。</w:t>
            </w:r>
          </w:p>
        </w:tc>
        <w:tc>
          <w:tcPr>
            <w:tcW w:w="1620" w:type="dxa"/>
            <w:vAlign w:val="center"/>
          </w:tcPr>
          <w:p w14:paraId="7CD12EA0">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宋体" w:hAnsi="宋体" w:eastAsia="宋体" w:cs="宋体"/>
                <w:color w:val="auto"/>
                <w:szCs w:val="21"/>
                <w:u w:val="none" w:color="auto"/>
              </w:rPr>
            </w:pPr>
          </w:p>
        </w:tc>
      </w:tr>
      <w:tr w14:paraId="27FF4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632" w:type="dxa"/>
            <w:vAlign w:val="center"/>
          </w:tcPr>
          <w:p w14:paraId="77AC7B49">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宋体" w:hAnsi="宋体" w:eastAsia="宋体" w:cs="宋体"/>
                <w:color w:val="auto"/>
                <w:sz w:val="21"/>
                <w:szCs w:val="21"/>
                <w:u w:val="none" w:color="auto"/>
              </w:rPr>
            </w:pPr>
            <w:r>
              <w:rPr>
                <w:rFonts w:hint="eastAsia" w:ascii="宋体" w:hAnsi="宋体" w:eastAsia="宋体" w:cs="宋体"/>
                <w:color w:val="auto"/>
                <w:sz w:val="21"/>
                <w:szCs w:val="21"/>
                <w:u w:val="none" w:color="auto"/>
              </w:rPr>
              <w:t>2</w:t>
            </w:r>
          </w:p>
        </w:tc>
        <w:tc>
          <w:tcPr>
            <w:tcW w:w="1320" w:type="dxa"/>
            <w:vAlign w:val="center"/>
          </w:tcPr>
          <w:p w14:paraId="03A100BF">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宋体" w:hAnsi="宋体" w:eastAsia="宋体" w:cs="宋体"/>
                <w:color w:val="auto"/>
                <w:sz w:val="21"/>
                <w:szCs w:val="21"/>
                <w:u w:val="none" w:color="auto"/>
              </w:rPr>
            </w:pPr>
            <w:r>
              <w:rPr>
                <w:rFonts w:hint="eastAsia" w:ascii="宋体" w:hAnsi="宋体" w:eastAsia="宋体" w:cs="宋体"/>
                <w:color w:val="auto"/>
                <w:spacing w:val="0"/>
                <w:sz w:val="21"/>
                <w:szCs w:val="21"/>
                <w:u w:val="none" w:color="auto"/>
              </w:rPr>
              <w:t>服务资质</w:t>
            </w:r>
          </w:p>
        </w:tc>
        <w:tc>
          <w:tcPr>
            <w:tcW w:w="5808" w:type="dxa"/>
            <w:vAlign w:val="center"/>
          </w:tcPr>
          <w:p w14:paraId="6677FE52">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宋体" w:hAnsi="宋体" w:eastAsia="宋体" w:cs="宋体"/>
                <w:color w:val="auto"/>
                <w:sz w:val="21"/>
                <w:szCs w:val="21"/>
                <w:u w:val="none" w:color="auto"/>
              </w:rPr>
            </w:pPr>
            <w:r>
              <w:rPr>
                <w:rFonts w:hint="eastAsia" w:ascii="宋体" w:hAnsi="宋体" w:eastAsia="宋体" w:cs="宋体"/>
                <w:color w:val="auto"/>
                <w:spacing w:val="0"/>
                <w:sz w:val="21"/>
                <w:szCs w:val="21"/>
                <w:u w:val="none" w:color="auto"/>
              </w:rPr>
              <w:t>是否具备并符合本实施细则第</w:t>
            </w:r>
            <w:r>
              <w:rPr>
                <w:rFonts w:hint="eastAsia" w:ascii="宋体" w:hAnsi="宋体" w:eastAsia="宋体" w:cs="宋体"/>
                <w:color w:val="auto"/>
                <w:spacing w:val="0"/>
                <w:sz w:val="21"/>
                <w:szCs w:val="21"/>
                <w:u w:val="none" w:color="auto"/>
                <w:lang w:eastAsia="zh-CN"/>
              </w:rPr>
              <w:t>六</w:t>
            </w:r>
            <w:r>
              <w:rPr>
                <w:rFonts w:hint="eastAsia" w:ascii="宋体" w:hAnsi="宋体" w:eastAsia="宋体" w:cs="宋体"/>
                <w:color w:val="auto"/>
                <w:spacing w:val="0"/>
                <w:sz w:val="21"/>
                <w:szCs w:val="21"/>
                <w:u w:val="none" w:color="auto"/>
              </w:rPr>
              <w:t>条第（一）点规定的相应类别机构的服务资质及运营时间规定。 “否”即为不合格。</w:t>
            </w:r>
          </w:p>
        </w:tc>
        <w:tc>
          <w:tcPr>
            <w:tcW w:w="1620" w:type="dxa"/>
            <w:vAlign w:val="center"/>
          </w:tcPr>
          <w:p w14:paraId="44064E21">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宋体" w:hAnsi="宋体" w:eastAsia="宋体" w:cs="宋体"/>
                <w:color w:val="auto"/>
                <w:szCs w:val="21"/>
                <w:u w:val="none" w:color="auto"/>
              </w:rPr>
            </w:pPr>
          </w:p>
        </w:tc>
      </w:tr>
      <w:tr w14:paraId="0E9E3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632" w:type="dxa"/>
            <w:vAlign w:val="center"/>
          </w:tcPr>
          <w:p w14:paraId="5A332D2D">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宋体" w:hAnsi="宋体" w:eastAsia="宋体" w:cs="宋体"/>
                <w:color w:val="auto"/>
                <w:sz w:val="21"/>
                <w:szCs w:val="21"/>
                <w:u w:val="none" w:color="auto"/>
              </w:rPr>
            </w:pPr>
            <w:r>
              <w:rPr>
                <w:rFonts w:hint="eastAsia" w:ascii="宋体" w:hAnsi="宋体" w:eastAsia="宋体" w:cs="宋体"/>
                <w:color w:val="auto"/>
                <w:sz w:val="21"/>
                <w:szCs w:val="21"/>
                <w:u w:val="none" w:color="auto"/>
              </w:rPr>
              <w:t>3</w:t>
            </w:r>
          </w:p>
        </w:tc>
        <w:tc>
          <w:tcPr>
            <w:tcW w:w="1320" w:type="dxa"/>
            <w:vAlign w:val="center"/>
          </w:tcPr>
          <w:p w14:paraId="3EA405DF">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宋体" w:hAnsi="宋体" w:eastAsia="宋体" w:cs="宋体"/>
                <w:color w:val="auto"/>
                <w:sz w:val="21"/>
                <w:szCs w:val="21"/>
                <w:u w:val="none" w:color="auto"/>
              </w:rPr>
            </w:pPr>
            <w:r>
              <w:rPr>
                <w:rFonts w:hint="eastAsia" w:ascii="宋体" w:hAnsi="宋体" w:eastAsia="宋体" w:cs="宋体"/>
                <w:color w:val="auto"/>
                <w:spacing w:val="0"/>
                <w:sz w:val="21"/>
                <w:szCs w:val="21"/>
                <w:u w:val="none" w:color="auto"/>
              </w:rPr>
              <w:t>正常经营</w:t>
            </w:r>
          </w:p>
        </w:tc>
        <w:tc>
          <w:tcPr>
            <w:tcW w:w="5808" w:type="dxa"/>
            <w:vAlign w:val="center"/>
          </w:tcPr>
          <w:p w14:paraId="5B420B93">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宋体" w:hAnsi="宋体" w:eastAsia="宋体" w:cs="宋体"/>
                <w:color w:val="auto"/>
                <w:sz w:val="21"/>
                <w:szCs w:val="21"/>
                <w:u w:val="none" w:color="auto"/>
              </w:rPr>
            </w:pPr>
            <w:r>
              <w:rPr>
                <w:rFonts w:hint="eastAsia" w:ascii="宋体" w:hAnsi="宋体" w:eastAsia="宋体" w:cs="宋体"/>
                <w:color w:val="auto"/>
                <w:spacing w:val="0"/>
                <w:sz w:val="21"/>
                <w:szCs w:val="21"/>
                <w:u w:val="none" w:color="auto"/>
              </w:rPr>
              <w:t>是否在现营业场所正常营业， 且经营用房以提交定点申请材料起算，剩余使用期限不少于两年， “否”即为不合格。</w:t>
            </w:r>
          </w:p>
        </w:tc>
        <w:tc>
          <w:tcPr>
            <w:tcW w:w="1620" w:type="dxa"/>
            <w:vAlign w:val="center"/>
          </w:tcPr>
          <w:p w14:paraId="47B21208">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宋体" w:hAnsi="宋体" w:eastAsia="宋体" w:cs="宋体"/>
                <w:color w:val="auto"/>
                <w:szCs w:val="21"/>
                <w:u w:val="none" w:color="auto"/>
              </w:rPr>
            </w:pPr>
          </w:p>
        </w:tc>
      </w:tr>
      <w:tr w14:paraId="5A54B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632" w:type="dxa"/>
            <w:vAlign w:val="center"/>
          </w:tcPr>
          <w:p w14:paraId="6C23588C">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宋体" w:hAnsi="宋体" w:eastAsia="宋体" w:cs="宋体"/>
                <w:color w:val="auto"/>
                <w:szCs w:val="21"/>
                <w:u w:val="none" w:color="auto"/>
              </w:rPr>
            </w:pPr>
          </w:p>
          <w:p w14:paraId="07E714D0">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宋体" w:hAnsi="宋体" w:eastAsia="宋体" w:cs="宋体"/>
                <w:color w:val="auto"/>
                <w:sz w:val="21"/>
                <w:szCs w:val="21"/>
                <w:u w:val="none" w:color="auto"/>
              </w:rPr>
            </w:pPr>
            <w:r>
              <w:rPr>
                <w:rFonts w:hint="eastAsia" w:ascii="宋体" w:hAnsi="宋体" w:eastAsia="宋体" w:cs="宋体"/>
                <w:color w:val="auto"/>
                <w:sz w:val="21"/>
                <w:szCs w:val="21"/>
                <w:u w:val="none" w:color="auto"/>
              </w:rPr>
              <w:t>4</w:t>
            </w:r>
          </w:p>
        </w:tc>
        <w:tc>
          <w:tcPr>
            <w:tcW w:w="1320" w:type="dxa"/>
            <w:vAlign w:val="center"/>
          </w:tcPr>
          <w:p w14:paraId="27D2D1A2">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宋体" w:hAnsi="宋体" w:eastAsia="宋体" w:cs="宋体"/>
                <w:color w:val="auto"/>
                <w:szCs w:val="21"/>
                <w:u w:val="none" w:color="auto"/>
              </w:rPr>
            </w:pPr>
          </w:p>
          <w:p w14:paraId="22066EDE">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宋体" w:hAnsi="宋体" w:eastAsia="宋体" w:cs="宋体"/>
                <w:color w:val="auto"/>
                <w:sz w:val="21"/>
                <w:szCs w:val="21"/>
                <w:u w:val="none" w:color="auto"/>
              </w:rPr>
            </w:pPr>
            <w:r>
              <w:rPr>
                <w:rFonts w:hint="eastAsia" w:ascii="宋体" w:hAnsi="宋体" w:eastAsia="宋体" w:cs="宋体"/>
                <w:color w:val="auto"/>
                <w:spacing w:val="0"/>
                <w:sz w:val="21"/>
                <w:szCs w:val="21"/>
                <w:u w:val="none" w:color="auto"/>
              </w:rPr>
              <w:t>人员队伍</w:t>
            </w:r>
          </w:p>
        </w:tc>
        <w:tc>
          <w:tcPr>
            <w:tcW w:w="5808" w:type="dxa"/>
            <w:vAlign w:val="center"/>
          </w:tcPr>
          <w:p w14:paraId="0A2E60EB">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宋体" w:hAnsi="宋体" w:eastAsia="宋体" w:cs="宋体"/>
                <w:color w:val="auto"/>
                <w:sz w:val="21"/>
                <w:szCs w:val="21"/>
                <w:u w:val="none" w:color="auto"/>
              </w:rPr>
            </w:pPr>
            <w:r>
              <w:rPr>
                <w:rFonts w:hint="eastAsia" w:ascii="宋体" w:hAnsi="宋体" w:eastAsia="宋体" w:cs="宋体"/>
                <w:color w:val="auto"/>
                <w:spacing w:val="0"/>
                <w:sz w:val="21"/>
                <w:szCs w:val="21"/>
                <w:u w:val="none" w:color="auto"/>
              </w:rPr>
              <w:t>评估人员总数、评估专家数、专职管理人员人数及信息技术管理维护人员人数是否同时符合实施细则第六条第（二）点规定数量， “否”</w:t>
            </w:r>
            <w:r>
              <w:rPr>
                <w:rFonts w:hint="eastAsia" w:ascii="宋体" w:hAnsi="宋体" w:eastAsia="宋体" w:cs="宋体"/>
                <w:color w:val="auto"/>
                <w:sz w:val="21"/>
                <w:szCs w:val="21"/>
                <w:u w:val="none" w:color="auto"/>
              </w:rPr>
              <w:t xml:space="preserve"> </w:t>
            </w:r>
            <w:r>
              <w:rPr>
                <w:rFonts w:hint="eastAsia" w:ascii="宋体" w:hAnsi="宋体" w:eastAsia="宋体" w:cs="宋体"/>
                <w:color w:val="auto"/>
                <w:spacing w:val="0"/>
                <w:sz w:val="21"/>
                <w:szCs w:val="21"/>
                <w:u w:val="none" w:color="auto"/>
              </w:rPr>
              <w:t>即为不合格。</w:t>
            </w:r>
          </w:p>
        </w:tc>
        <w:tc>
          <w:tcPr>
            <w:tcW w:w="1620" w:type="dxa"/>
            <w:vAlign w:val="center"/>
          </w:tcPr>
          <w:p w14:paraId="2C445DFF">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宋体" w:hAnsi="宋体" w:eastAsia="宋体" w:cs="宋体"/>
                <w:color w:val="auto"/>
                <w:szCs w:val="21"/>
                <w:u w:val="none" w:color="auto"/>
              </w:rPr>
            </w:pPr>
          </w:p>
        </w:tc>
      </w:tr>
      <w:tr w14:paraId="04839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632" w:type="dxa"/>
            <w:vAlign w:val="center"/>
          </w:tcPr>
          <w:p w14:paraId="08BFB322">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宋体" w:hAnsi="宋体" w:eastAsia="宋体" w:cs="宋体"/>
                <w:color w:val="auto"/>
                <w:szCs w:val="21"/>
                <w:u w:val="none" w:color="auto"/>
              </w:rPr>
            </w:pPr>
          </w:p>
          <w:p w14:paraId="0D129228">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宋体" w:hAnsi="宋体" w:eastAsia="宋体" w:cs="宋体"/>
                <w:color w:val="auto"/>
                <w:sz w:val="21"/>
                <w:szCs w:val="21"/>
                <w:u w:val="none" w:color="auto"/>
              </w:rPr>
            </w:pPr>
            <w:r>
              <w:rPr>
                <w:rFonts w:hint="eastAsia" w:ascii="宋体" w:hAnsi="宋体" w:eastAsia="宋体" w:cs="宋体"/>
                <w:color w:val="auto"/>
                <w:sz w:val="21"/>
                <w:szCs w:val="21"/>
                <w:u w:val="none" w:color="auto"/>
              </w:rPr>
              <w:t>5</w:t>
            </w:r>
          </w:p>
        </w:tc>
        <w:tc>
          <w:tcPr>
            <w:tcW w:w="1320" w:type="dxa"/>
            <w:vAlign w:val="center"/>
          </w:tcPr>
          <w:p w14:paraId="1D0819CD">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宋体" w:hAnsi="宋体" w:eastAsia="宋体" w:cs="宋体"/>
                <w:color w:val="auto"/>
                <w:szCs w:val="21"/>
                <w:u w:val="none" w:color="auto"/>
              </w:rPr>
            </w:pPr>
          </w:p>
          <w:p w14:paraId="01B9BBB8">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宋体" w:hAnsi="宋体" w:eastAsia="宋体" w:cs="宋体"/>
                <w:color w:val="auto"/>
                <w:sz w:val="21"/>
                <w:szCs w:val="21"/>
                <w:u w:val="none" w:color="auto"/>
              </w:rPr>
            </w:pPr>
            <w:r>
              <w:rPr>
                <w:rFonts w:hint="eastAsia" w:ascii="宋体" w:hAnsi="宋体" w:eastAsia="宋体" w:cs="宋体"/>
                <w:color w:val="auto"/>
                <w:spacing w:val="0"/>
                <w:sz w:val="21"/>
                <w:szCs w:val="21"/>
                <w:u w:val="none" w:color="auto"/>
              </w:rPr>
              <w:t>基础配置</w:t>
            </w:r>
          </w:p>
        </w:tc>
        <w:tc>
          <w:tcPr>
            <w:tcW w:w="5808" w:type="dxa"/>
            <w:vAlign w:val="center"/>
          </w:tcPr>
          <w:p w14:paraId="6F84A2E4">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宋体" w:hAnsi="宋体" w:eastAsia="宋体" w:cs="宋体"/>
                <w:color w:val="auto"/>
                <w:sz w:val="21"/>
                <w:szCs w:val="21"/>
                <w:u w:val="none" w:color="auto"/>
              </w:rPr>
            </w:pPr>
            <w:r>
              <w:rPr>
                <w:rFonts w:hint="eastAsia" w:ascii="宋体" w:hAnsi="宋体" w:eastAsia="宋体" w:cs="宋体"/>
                <w:color w:val="auto"/>
                <w:spacing w:val="0"/>
                <w:sz w:val="21"/>
                <w:szCs w:val="21"/>
                <w:u w:val="none" w:color="auto"/>
              </w:rPr>
              <w:t>是否具备使用全省统一的医保信息平台长期护理保险相关功能的条 件；是否具有固定的办公场所；是否配备符合评估服务协议要求的软、硬件设备和相应管理维护人员。其中一项为“否”即为不合格。</w:t>
            </w:r>
          </w:p>
        </w:tc>
        <w:tc>
          <w:tcPr>
            <w:tcW w:w="1620" w:type="dxa"/>
            <w:vAlign w:val="center"/>
          </w:tcPr>
          <w:p w14:paraId="1E6E1181">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宋体" w:hAnsi="宋体" w:eastAsia="宋体" w:cs="宋体"/>
                <w:color w:val="auto"/>
                <w:szCs w:val="21"/>
                <w:u w:val="none" w:color="auto"/>
              </w:rPr>
            </w:pPr>
          </w:p>
        </w:tc>
      </w:tr>
      <w:tr w14:paraId="0A05E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632" w:type="dxa"/>
            <w:vAlign w:val="center"/>
          </w:tcPr>
          <w:p w14:paraId="16FD4C6F">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宋体" w:hAnsi="宋体" w:eastAsia="宋体" w:cs="宋体"/>
                <w:color w:val="auto"/>
                <w:sz w:val="21"/>
                <w:szCs w:val="21"/>
                <w:u w:val="none" w:color="auto"/>
              </w:rPr>
            </w:pPr>
            <w:r>
              <w:rPr>
                <w:rFonts w:hint="eastAsia" w:ascii="宋体" w:hAnsi="宋体" w:eastAsia="宋体" w:cs="宋体"/>
                <w:color w:val="auto"/>
                <w:sz w:val="21"/>
                <w:szCs w:val="21"/>
                <w:u w:val="none" w:color="auto"/>
              </w:rPr>
              <w:t>6</w:t>
            </w:r>
          </w:p>
        </w:tc>
        <w:tc>
          <w:tcPr>
            <w:tcW w:w="1320" w:type="dxa"/>
            <w:vAlign w:val="center"/>
          </w:tcPr>
          <w:p w14:paraId="06BF2904">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宋体" w:hAnsi="宋体" w:eastAsia="宋体" w:cs="宋体"/>
                <w:color w:val="auto"/>
                <w:sz w:val="21"/>
                <w:szCs w:val="21"/>
                <w:u w:val="none" w:color="auto"/>
              </w:rPr>
            </w:pPr>
            <w:r>
              <w:rPr>
                <w:rFonts w:hint="eastAsia" w:ascii="宋体" w:hAnsi="宋体" w:eastAsia="宋体" w:cs="宋体"/>
                <w:color w:val="auto"/>
                <w:spacing w:val="0"/>
                <w:sz w:val="21"/>
                <w:szCs w:val="21"/>
                <w:u w:val="none" w:color="auto"/>
              </w:rPr>
              <w:t>制度建设</w:t>
            </w:r>
          </w:p>
        </w:tc>
        <w:tc>
          <w:tcPr>
            <w:tcW w:w="5808" w:type="dxa"/>
            <w:vAlign w:val="center"/>
          </w:tcPr>
          <w:p w14:paraId="732A7E50">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宋体" w:hAnsi="宋体" w:eastAsia="宋体" w:cs="宋体"/>
                <w:color w:val="auto"/>
                <w:sz w:val="21"/>
                <w:szCs w:val="21"/>
                <w:u w:val="none" w:color="auto"/>
              </w:rPr>
            </w:pPr>
            <w:r>
              <w:rPr>
                <w:rFonts w:hint="eastAsia" w:ascii="宋体" w:hAnsi="宋体" w:eastAsia="宋体" w:cs="宋体"/>
                <w:color w:val="auto"/>
                <w:spacing w:val="0"/>
                <w:sz w:val="21"/>
                <w:szCs w:val="21"/>
                <w:u w:val="none" w:color="auto"/>
              </w:rPr>
              <w:t>是否具有符合评估服务协议要求的服务管理、财务管理、信息统计、内控管理、人员管理、档案管理等制度， “否”即为不合格。</w:t>
            </w:r>
          </w:p>
        </w:tc>
        <w:tc>
          <w:tcPr>
            <w:tcW w:w="1620" w:type="dxa"/>
            <w:vAlign w:val="center"/>
          </w:tcPr>
          <w:p w14:paraId="47DCAE49">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宋体" w:hAnsi="宋体" w:eastAsia="宋体" w:cs="宋体"/>
                <w:color w:val="auto"/>
                <w:szCs w:val="21"/>
                <w:u w:val="none" w:color="auto"/>
              </w:rPr>
            </w:pPr>
          </w:p>
        </w:tc>
      </w:tr>
      <w:tr w14:paraId="59895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632" w:type="dxa"/>
            <w:vAlign w:val="center"/>
          </w:tcPr>
          <w:p w14:paraId="743554D6">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宋体" w:hAnsi="宋体" w:eastAsia="宋体" w:cs="宋体"/>
                <w:color w:val="auto"/>
                <w:sz w:val="21"/>
                <w:szCs w:val="21"/>
                <w:u w:val="none" w:color="auto"/>
              </w:rPr>
            </w:pPr>
            <w:r>
              <w:rPr>
                <w:rFonts w:hint="eastAsia" w:ascii="宋体" w:hAnsi="宋体" w:eastAsia="宋体" w:cs="宋体"/>
                <w:color w:val="auto"/>
                <w:sz w:val="21"/>
                <w:szCs w:val="21"/>
                <w:u w:val="none" w:color="auto"/>
              </w:rPr>
              <w:t>7</w:t>
            </w:r>
          </w:p>
        </w:tc>
        <w:tc>
          <w:tcPr>
            <w:tcW w:w="1320" w:type="dxa"/>
            <w:vAlign w:val="center"/>
          </w:tcPr>
          <w:p w14:paraId="315EB1A2">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宋体" w:hAnsi="宋体" w:eastAsia="宋体" w:cs="宋体"/>
                <w:color w:val="auto"/>
                <w:sz w:val="21"/>
                <w:szCs w:val="21"/>
                <w:u w:val="none" w:color="auto"/>
              </w:rPr>
            </w:pPr>
            <w:r>
              <w:rPr>
                <w:rFonts w:hint="eastAsia" w:ascii="宋体" w:hAnsi="宋体" w:eastAsia="宋体" w:cs="宋体"/>
                <w:color w:val="auto"/>
                <w:spacing w:val="0"/>
                <w:sz w:val="21"/>
                <w:szCs w:val="21"/>
                <w:u w:val="none" w:color="auto"/>
              </w:rPr>
              <w:t>规范经营</w:t>
            </w:r>
          </w:p>
        </w:tc>
        <w:tc>
          <w:tcPr>
            <w:tcW w:w="5808" w:type="dxa"/>
            <w:vAlign w:val="center"/>
          </w:tcPr>
          <w:p w14:paraId="6128D979">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宋体" w:hAnsi="宋体" w:eastAsia="宋体" w:cs="宋体"/>
                <w:color w:val="auto"/>
                <w:sz w:val="21"/>
                <w:szCs w:val="21"/>
                <w:u w:val="none" w:color="auto"/>
              </w:rPr>
            </w:pPr>
            <w:r>
              <w:rPr>
                <w:rFonts w:hint="eastAsia" w:ascii="宋体" w:hAnsi="宋体" w:eastAsia="宋体" w:cs="宋体"/>
                <w:color w:val="auto"/>
                <w:spacing w:val="0"/>
                <w:sz w:val="21"/>
                <w:szCs w:val="21"/>
                <w:u w:val="none" w:color="auto"/>
              </w:rPr>
              <w:t>本机构法定代表人、主要负责人或实际控制人及其他工作人员是否存</w:t>
            </w:r>
            <w:r>
              <w:rPr>
                <w:rFonts w:hint="eastAsia" w:ascii="宋体" w:hAnsi="宋体" w:eastAsia="宋体" w:cs="宋体"/>
                <w:color w:val="auto"/>
                <w:sz w:val="21"/>
                <w:szCs w:val="21"/>
                <w:u w:val="none" w:color="auto"/>
              </w:rPr>
              <w:t xml:space="preserve"> </w:t>
            </w:r>
            <w:r>
              <w:rPr>
                <w:rFonts w:hint="eastAsia" w:ascii="宋体" w:hAnsi="宋体" w:eastAsia="宋体" w:cs="宋体"/>
                <w:color w:val="auto"/>
                <w:spacing w:val="0"/>
                <w:sz w:val="21"/>
                <w:szCs w:val="21"/>
                <w:u w:val="none" w:color="auto"/>
              </w:rPr>
              <w:t>在违法犯罪或不良从业行为， “是”即为不合格。</w:t>
            </w:r>
          </w:p>
        </w:tc>
        <w:tc>
          <w:tcPr>
            <w:tcW w:w="1620" w:type="dxa"/>
            <w:vAlign w:val="center"/>
          </w:tcPr>
          <w:p w14:paraId="43633403">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宋体" w:hAnsi="宋体" w:eastAsia="宋体" w:cs="宋体"/>
                <w:color w:val="auto"/>
                <w:szCs w:val="21"/>
                <w:u w:val="none" w:color="auto"/>
              </w:rPr>
            </w:pPr>
          </w:p>
        </w:tc>
      </w:tr>
      <w:tr w14:paraId="07A45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632" w:type="dxa"/>
            <w:vAlign w:val="center"/>
          </w:tcPr>
          <w:p w14:paraId="29D4C247">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宋体" w:hAnsi="宋体" w:eastAsia="宋体" w:cs="宋体"/>
                <w:color w:val="auto"/>
                <w:sz w:val="21"/>
                <w:szCs w:val="21"/>
                <w:u w:val="none" w:color="auto"/>
              </w:rPr>
            </w:pPr>
            <w:r>
              <w:rPr>
                <w:rFonts w:hint="eastAsia" w:ascii="宋体" w:hAnsi="宋体" w:eastAsia="宋体" w:cs="宋体"/>
                <w:color w:val="auto"/>
                <w:sz w:val="21"/>
                <w:szCs w:val="21"/>
                <w:u w:val="none" w:color="auto"/>
              </w:rPr>
              <w:t>8</w:t>
            </w:r>
          </w:p>
        </w:tc>
        <w:tc>
          <w:tcPr>
            <w:tcW w:w="1320" w:type="dxa"/>
            <w:vAlign w:val="center"/>
          </w:tcPr>
          <w:p w14:paraId="57E6AD22">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宋体" w:hAnsi="宋体" w:eastAsia="宋体" w:cs="宋体"/>
                <w:color w:val="auto"/>
                <w:sz w:val="21"/>
                <w:szCs w:val="21"/>
                <w:u w:val="none" w:color="auto"/>
              </w:rPr>
            </w:pPr>
            <w:r>
              <w:rPr>
                <w:rFonts w:hint="eastAsia" w:ascii="宋体" w:hAnsi="宋体" w:eastAsia="宋体" w:cs="宋体"/>
                <w:color w:val="auto"/>
                <w:spacing w:val="0"/>
                <w:sz w:val="21"/>
                <w:szCs w:val="21"/>
                <w:u w:val="none" w:color="auto"/>
              </w:rPr>
              <w:t>不予受理</w:t>
            </w:r>
            <w:r>
              <w:rPr>
                <w:rFonts w:hint="eastAsia" w:ascii="宋体" w:hAnsi="宋体" w:eastAsia="宋体" w:cs="宋体"/>
                <w:color w:val="auto"/>
                <w:sz w:val="21"/>
                <w:szCs w:val="21"/>
                <w:u w:val="none" w:color="auto"/>
              </w:rPr>
              <w:t xml:space="preserve"> </w:t>
            </w:r>
            <w:r>
              <w:rPr>
                <w:rFonts w:hint="eastAsia" w:ascii="宋体" w:hAnsi="宋体" w:eastAsia="宋体" w:cs="宋体"/>
                <w:color w:val="auto"/>
                <w:spacing w:val="0"/>
                <w:sz w:val="21"/>
                <w:szCs w:val="21"/>
                <w:u w:val="none" w:color="auto"/>
              </w:rPr>
              <w:t>的情形</w:t>
            </w:r>
          </w:p>
        </w:tc>
        <w:tc>
          <w:tcPr>
            <w:tcW w:w="5808" w:type="dxa"/>
            <w:vAlign w:val="center"/>
          </w:tcPr>
          <w:p w14:paraId="0915694D">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宋体" w:hAnsi="宋体" w:eastAsia="宋体" w:cs="宋体"/>
                <w:color w:val="auto"/>
                <w:sz w:val="21"/>
                <w:szCs w:val="21"/>
                <w:u w:val="none" w:color="auto"/>
              </w:rPr>
            </w:pPr>
            <w:r>
              <w:rPr>
                <w:rFonts w:hint="eastAsia" w:ascii="宋体" w:hAnsi="宋体" w:eastAsia="宋体" w:cs="宋体"/>
                <w:color w:val="auto"/>
                <w:spacing w:val="0"/>
                <w:sz w:val="21"/>
                <w:szCs w:val="21"/>
                <w:u w:val="none" w:color="auto"/>
              </w:rPr>
              <w:t>是否存在本实施细则第十</w:t>
            </w:r>
            <w:r>
              <w:rPr>
                <w:rFonts w:hint="eastAsia" w:ascii="宋体" w:hAnsi="宋体" w:eastAsia="宋体" w:cs="宋体"/>
                <w:color w:val="auto"/>
                <w:spacing w:val="0"/>
                <w:sz w:val="21"/>
                <w:szCs w:val="21"/>
                <w:u w:val="none" w:color="auto"/>
                <w:lang w:eastAsia="zh-CN"/>
              </w:rPr>
              <w:t>二</w:t>
            </w:r>
            <w:r>
              <w:rPr>
                <w:rFonts w:hint="eastAsia" w:ascii="宋体" w:hAnsi="宋体" w:eastAsia="宋体" w:cs="宋体"/>
                <w:color w:val="auto"/>
                <w:spacing w:val="0"/>
                <w:sz w:val="21"/>
                <w:szCs w:val="21"/>
                <w:u w:val="none" w:color="auto"/>
              </w:rPr>
              <w:t>条所规定的不予受理的情形。如存在一项</w:t>
            </w:r>
            <w:r>
              <w:rPr>
                <w:rFonts w:hint="eastAsia" w:ascii="宋体" w:hAnsi="宋体" w:eastAsia="宋体" w:cs="宋体"/>
                <w:color w:val="auto"/>
                <w:sz w:val="21"/>
                <w:szCs w:val="21"/>
                <w:u w:val="none" w:color="auto"/>
              </w:rPr>
              <w:t xml:space="preserve"> </w:t>
            </w:r>
            <w:r>
              <w:rPr>
                <w:rFonts w:hint="eastAsia" w:ascii="宋体" w:hAnsi="宋体" w:eastAsia="宋体" w:cs="宋体"/>
                <w:color w:val="auto"/>
                <w:spacing w:val="0"/>
                <w:sz w:val="21"/>
                <w:szCs w:val="21"/>
                <w:u w:val="none" w:color="auto"/>
              </w:rPr>
              <w:t>不予受理的情形即为不合格。</w:t>
            </w:r>
          </w:p>
        </w:tc>
        <w:tc>
          <w:tcPr>
            <w:tcW w:w="1620" w:type="dxa"/>
            <w:vAlign w:val="center"/>
          </w:tcPr>
          <w:p w14:paraId="68E9181A">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宋体" w:hAnsi="宋体" w:eastAsia="宋体" w:cs="宋体"/>
                <w:color w:val="auto"/>
                <w:szCs w:val="21"/>
                <w:u w:val="none" w:color="auto"/>
              </w:rPr>
            </w:pPr>
          </w:p>
        </w:tc>
      </w:tr>
      <w:tr w14:paraId="4C2D8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1952" w:type="dxa"/>
            <w:gridSpan w:val="2"/>
            <w:vAlign w:val="center"/>
          </w:tcPr>
          <w:p w14:paraId="192DD872">
            <w:pPr>
              <w:keepNext w:val="0"/>
              <w:keepLines w:val="0"/>
              <w:pageBreakBefore w:val="0"/>
              <w:widowControl w:val="0"/>
              <w:kinsoku/>
              <w:wordWrap/>
              <w:overflowPunct/>
              <w:topLinePunct w:val="0"/>
              <w:autoSpaceDE/>
              <w:autoSpaceDN/>
              <w:bidi w:val="0"/>
              <w:adjustRightInd/>
              <w:snapToGrid w:val="0"/>
              <w:ind w:left="80"/>
              <w:jc w:val="center"/>
              <w:textAlignment w:val="auto"/>
              <w:rPr>
                <w:rFonts w:hint="eastAsia" w:ascii="宋体" w:hAnsi="宋体" w:eastAsia="宋体" w:cs="宋体"/>
                <w:color w:val="auto"/>
                <w:sz w:val="21"/>
                <w:szCs w:val="21"/>
                <w:u w:val="none" w:color="auto"/>
              </w:rPr>
            </w:pPr>
            <w:r>
              <w:rPr>
                <w:rFonts w:hint="eastAsia" w:ascii="宋体" w:hAnsi="宋体" w:eastAsia="宋体" w:cs="宋体"/>
                <w:color w:val="auto"/>
                <w:spacing w:val="0"/>
                <w:sz w:val="21"/>
                <w:szCs w:val="21"/>
                <w:u w:val="none" w:color="auto"/>
              </w:rPr>
              <w:t>审核小组意见</w:t>
            </w:r>
          </w:p>
        </w:tc>
        <w:tc>
          <w:tcPr>
            <w:tcW w:w="7428" w:type="dxa"/>
            <w:gridSpan w:val="2"/>
            <w:vAlign w:val="center"/>
          </w:tcPr>
          <w:p w14:paraId="3DD73F97">
            <w:pPr>
              <w:keepNext w:val="0"/>
              <w:keepLines w:val="0"/>
              <w:pageBreakBefore w:val="0"/>
              <w:widowControl w:val="0"/>
              <w:kinsoku/>
              <w:wordWrap/>
              <w:overflowPunct/>
              <w:topLinePunct w:val="0"/>
              <w:autoSpaceDE/>
              <w:autoSpaceDN/>
              <w:bidi w:val="0"/>
              <w:adjustRightInd/>
              <w:snapToGrid w:val="0"/>
              <w:ind w:left="3168"/>
              <w:jc w:val="center"/>
              <w:textAlignment w:val="auto"/>
              <w:rPr>
                <w:rFonts w:hint="eastAsia" w:ascii="宋体" w:hAnsi="宋体" w:eastAsia="宋体" w:cs="宋体"/>
                <w:color w:val="auto"/>
                <w:sz w:val="21"/>
                <w:szCs w:val="21"/>
                <w:u w:val="none" w:color="auto"/>
              </w:rPr>
            </w:pPr>
            <w:r>
              <w:rPr>
                <w:rFonts w:hint="eastAsia" w:ascii="宋体" w:hAnsi="宋体" w:eastAsia="宋体" w:cs="宋体"/>
                <w:color w:val="auto"/>
                <w:spacing w:val="0"/>
                <w:sz w:val="21"/>
                <w:szCs w:val="21"/>
                <w:u w:val="none" w:color="auto"/>
              </w:rPr>
              <w:t>审核小组成员签字</w:t>
            </w:r>
          </w:p>
        </w:tc>
      </w:tr>
      <w:tr w14:paraId="71FE7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1952" w:type="dxa"/>
            <w:gridSpan w:val="2"/>
            <w:vAlign w:val="center"/>
          </w:tcPr>
          <w:p w14:paraId="2B186B8C">
            <w:pPr>
              <w:keepNext w:val="0"/>
              <w:keepLines w:val="0"/>
              <w:pageBreakBefore w:val="0"/>
              <w:widowControl w:val="0"/>
              <w:kinsoku/>
              <w:wordWrap/>
              <w:overflowPunct/>
              <w:topLinePunct w:val="0"/>
              <w:autoSpaceDE/>
              <w:autoSpaceDN/>
              <w:bidi w:val="0"/>
              <w:adjustRightInd/>
              <w:snapToGrid w:val="0"/>
              <w:ind w:left="549" w:right="52"/>
              <w:jc w:val="center"/>
              <w:textAlignment w:val="auto"/>
              <w:rPr>
                <w:rFonts w:hint="eastAsia" w:ascii="宋体" w:hAnsi="宋体" w:eastAsia="宋体" w:cs="宋体"/>
                <w:color w:val="auto"/>
                <w:sz w:val="21"/>
                <w:szCs w:val="21"/>
                <w:u w:val="none" w:color="auto"/>
              </w:rPr>
            </w:pPr>
            <w:r>
              <w:rPr>
                <w:rFonts w:hint="eastAsia" w:ascii="宋体" w:hAnsi="宋体" w:eastAsia="宋体" w:cs="宋体"/>
                <w:color w:val="auto"/>
                <w:spacing w:val="0"/>
                <w:sz w:val="21"/>
                <w:szCs w:val="21"/>
                <w:u w:val="none" w:color="auto"/>
              </w:rPr>
              <w:t>医保经办机构 意见</w:t>
            </w:r>
          </w:p>
        </w:tc>
        <w:tc>
          <w:tcPr>
            <w:tcW w:w="7428" w:type="dxa"/>
            <w:gridSpan w:val="2"/>
            <w:vAlign w:val="center"/>
          </w:tcPr>
          <w:p w14:paraId="31243BBD">
            <w:pPr>
              <w:keepNext w:val="0"/>
              <w:keepLines w:val="0"/>
              <w:pageBreakBefore w:val="0"/>
              <w:widowControl w:val="0"/>
              <w:kinsoku/>
              <w:wordWrap/>
              <w:overflowPunct/>
              <w:topLinePunct w:val="0"/>
              <w:autoSpaceDE/>
              <w:autoSpaceDN/>
              <w:bidi w:val="0"/>
              <w:adjustRightInd/>
              <w:snapToGrid w:val="0"/>
              <w:ind w:left="3180"/>
              <w:jc w:val="center"/>
              <w:textAlignment w:val="auto"/>
              <w:rPr>
                <w:rFonts w:hint="eastAsia" w:ascii="宋体" w:hAnsi="宋体" w:eastAsia="宋体" w:cs="宋体"/>
                <w:color w:val="auto"/>
                <w:sz w:val="21"/>
                <w:szCs w:val="21"/>
                <w:u w:val="none" w:color="auto"/>
              </w:rPr>
            </w:pPr>
            <w:r>
              <w:rPr>
                <w:rFonts w:hint="eastAsia" w:ascii="宋体" w:hAnsi="宋体" w:eastAsia="宋体" w:cs="宋体"/>
                <w:color w:val="auto"/>
                <w:spacing w:val="0"/>
                <w:sz w:val="21"/>
                <w:szCs w:val="21"/>
                <w:u w:val="none" w:color="auto"/>
              </w:rPr>
              <w:t>医保经办机构印章</w:t>
            </w:r>
          </w:p>
        </w:tc>
      </w:tr>
    </w:tbl>
    <w:p w14:paraId="278660A5">
      <w:pPr>
        <w:spacing w:line="24" w:lineRule="auto"/>
        <w:rPr>
          <w:rFonts w:hint="eastAsia" w:ascii="楷体_GB2312" w:hAnsi="楷体_GB2312" w:eastAsia="楷体_GB2312" w:cs="楷体_GB2312"/>
          <w:color w:val="auto"/>
          <w:sz w:val="2"/>
          <w:u w:val="none" w:color="auto"/>
        </w:rPr>
      </w:pPr>
    </w:p>
    <w:p w14:paraId="59B0C78C">
      <w:pPr>
        <w:widowControl/>
        <w:pBdr>
          <w:top w:val="none" w:color="auto" w:sz="0" w:space="0"/>
          <w:left w:val="none" w:color="auto" w:sz="0" w:space="0"/>
          <w:right w:val="none" w:color="auto" w:sz="0" w:space="0"/>
        </w:pBdr>
        <w:shd w:val="clear" w:fill="FFFFFF"/>
        <w:ind w:firstLineChars="0"/>
        <w:rPr>
          <w:rFonts w:hint="eastAsia"/>
          <w:color w:val="auto"/>
          <w:u w:val="none" w:color="auto"/>
        </w:rPr>
      </w:pPr>
    </w:p>
    <w:sectPr>
      <w:footerReference r:id="rId4" w:type="default"/>
      <w:pgSz w:w="11905" w:h="16838"/>
      <w:pgMar w:top="1440" w:right="1803" w:bottom="1440" w:left="1803" w:header="850"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 PL UKai CN">
    <w:altName w:val="宋体"/>
    <w:panose1 w:val="02000503000000000000"/>
    <w:charset w:val="86"/>
    <w:family w:val="auto"/>
    <w:pitch w:val="default"/>
    <w:sig w:usb0="00000000" w:usb1="00000000" w:usb2="00000036" w:usb3="00000000" w:csb0="2016009F" w:csb1="DFD7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DBF7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9A578"/>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6813D8"/>
    <w:multiLevelType w:val="singleLevel"/>
    <w:tmpl w:val="426813D8"/>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32BBE"/>
    <w:rsid w:val="00133508"/>
    <w:rsid w:val="00246802"/>
    <w:rsid w:val="003714FA"/>
    <w:rsid w:val="014A4B87"/>
    <w:rsid w:val="01A7105E"/>
    <w:rsid w:val="01B71398"/>
    <w:rsid w:val="01CA1CC6"/>
    <w:rsid w:val="01CA2EE7"/>
    <w:rsid w:val="021224AA"/>
    <w:rsid w:val="021F4E94"/>
    <w:rsid w:val="026024D1"/>
    <w:rsid w:val="0278789B"/>
    <w:rsid w:val="029A4A3B"/>
    <w:rsid w:val="02AB5AF9"/>
    <w:rsid w:val="02B56EB2"/>
    <w:rsid w:val="03195A61"/>
    <w:rsid w:val="034F43FD"/>
    <w:rsid w:val="0360322E"/>
    <w:rsid w:val="036D73DA"/>
    <w:rsid w:val="03725F44"/>
    <w:rsid w:val="03773C2D"/>
    <w:rsid w:val="03CC74C8"/>
    <w:rsid w:val="03DD6A2A"/>
    <w:rsid w:val="04115B39"/>
    <w:rsid w:val="04CE5F64"/>
    <w:rsid w:val="04EB47D4"/>
    <w:rsid w:val="050E0722"/>
    <w:rsid w:val="05C23886"/>
    <w:rsid w:val="062B6E9A"/>
    <w:rsid w:val="06477FCF"/>
    <w:rsid w:val="065E1207"/>
    <w:rsid w:val="06A507B2"/>
    <w:rsid w:val="06D6021A"/>
    <w:rsid w:val="06E42523"/>
    <w:rsid w:val="06E92012"/>
    <w:rsid w:val="06F07F7E"/>
    <w:rsid w:val="072262F7"/>
    <w:rsid w:val="07C85257"/>
    <w:rsid w:val="07CD4764"/>
    <w:rsid w:val="07DC554D"/>
    <w:rsid w:val="080F0A3E"/>
    <w:rsid w:val="081E7BD5"/>
    <w:rsid w:val="082D7483"/>
    <w:rsid w:val="088024D0"/>
    <w:rsid w:val="08966904"/>
    <w:rsid w:val="08A84849"/>
    <w:rsid w:val="08AC6F5C"/>
    <w:rsid w:val="08B40674"/>
    <w:rsid w:val="08DD759B"/>
    <w:rsid w:val="09015A3B"/>
    <w:rsid w:val="091A64C4"/>
    <w:rsid w:val="09284FED"/>
    <w:rsid w:val="093443D0"/>
    <w:rsid w:val="09365AE0"/>
    <w:rsid w:val="09806C85"/>
    <w:rsid w:val="09B90977"/>
    <w:rsid w:val="09CE2D8D"/>
    <w:rsid w:val="09F849AB"/>
    <w:rsid w:val="0A513302"/>
    <w:rsid w:val="0B6A6643"/>
    <w:rsid w:val="0B8B28A0"/>
    <w:rsid w:val="0B914BB5"/>
    <w:rsid w:val="0B957EDF"/>
    <w:rsid w:val="0BEB71CD"/>
    <w:rsid w:val="0C80347F"/>
    <w:rsid w:val="0C8968EC"/>
    <w:rsid w:val="0CC07F17"/>
    <w:rsid w:val="0D4E3017"/>
    <w:rsid w:val="0D7C2C8F"/>
    <w:rsid w:val="0DA254EB"/>
    <w:rsid w:val="0DCA4D5F"/>
    <w:rsid w:val="0F101AE8"/>
    <w:rsid w:val="0F184516"/>
    <w:rsid w:val="0F5C08A7"/>
    <w:rsid w:val="0FE445A4"/>
    <w:rsid w:val="10105ACC"/>
    <w:rsid w:val="1063267D"/>
    <w:rsid w:val="10740EB2"/>
    <w:rsid w:val="10817D92"/>
    <w:rsid w:val="10C626F4"/>
    <w:rsid w:val="10C7129F"/>
    <w:rsid w:val="10CC32E8"/>
    <w:rsid w:val="10FB40F0"/>
    <w:rsid w:val="10FE14EA"/>
    <w:rsid w:val="117A3266"/>
    <w:rsid w:val="118B1402"/>
    <w:rsid w:val="11D34E9F"/>
    <w:rsid w:val="11DB2F47"/>
    <w:rsid w:val="120862FD"/>
    <w:rsid w:val="121E4CC9"/>
    <w:rsid w:val="12457C37"/>
    <w:rsid w:val="12AA1FA4"/>
    <w:rsid w:val="134F427F"/>
    <w:rsid w:val="13E31D68"/>
    <w:rsid w:val="13E37008"/>
    <w:rsid w:val="1412064F"/>
    <w:rsid w:val="141F6AD0"/>
    <w:rsid w:val="14290E79"/>
    <w:rsid w:val="14B00D4D"/>
    <w:rsid w:val="14ED4324"/>
    <w:rsid w:val="14FA3973"/>
    <w:rsid w:val="15243016"/>
    <w:rsid w:val="154E1FB9"/>
    <w:rsid w:val="155D4FDC"/>
    <w:rsid w:val="15B8610B"/>
    <w:rsid w:val="15E72EFB"/>
    <w:rsid w:val="164976AB"/>
    <w:rsid w:val="167E1999"/>
    <w:rsid w:val="16825BF4"/>
    <w:rsid w:val="16B25250"/>
    <w:rsid w:val="16C2039D"/>
    <w:rsid w:val="16D75F4E"/>
    <w:rsid w:val="17306818"/>
    <w:rsid w:val="17A51ACD"/>
    <w:rsid w:val="181C1A30"/>
    <w:rsid w:val="182A7068"/>
    <w:rsid w:val="183576B2"/>
    <w:rsid w:val="187F5606"/>
    <w:rsid w:val="189B1BF5"/>
    <w:rsid w:val="18CA4C1D"/>
    <w:rsid w:val="195C449A"/>
    <w:rsid w:val="19805B68"/>
    <w:rsid w:val="199C5D44"/>
    <w:rsid w:val="19A13379"/>
    <w:rsid w:val="19B47531"/>
    <w:rsid w:val="19BA7DAC"/>
    <w:rsid w:val="19BD16CC"/>
    <w:rsid w:val="19F9661C"/>
    <w:rsid w:val="1A1B623C"/>
    <w:rsid w:val="1A1D0D9B"/>
    <w:rsid w:val="1A6F55AB"/>
    <w:rsid w:val="1B244243"/>
    <w:rsid w:val="1B245FF1"/>
    <w:rsid w:val="1B2C6BA8"/>
    <w:rsid w:val="1B3345E2"/>
    <w:rsid w:val="1BA86144"/>
    <w:rsid w:val="1BAB04C0"/>
    <w:rsid w:val="1C3404B6"/>
    <w:rsid w:val="1C4732E8"/>
    <w:rsid w:val="1D847867"/>
    <w:rsid w:val="1D8D32A2"/>
    <w:rsid w:val="1DA90ACE"/>
    <w:rsid w:val="1DDA6E3B"/>
    <w:rsid w:val="1DF00C5C"/>
    <w:rsid w:val="1E4D2BBD"/>
    <w:rsid w:val="1E8D3DF5"/>
    <w:rsid w:val="1ECE19A5"/>
    <w:rsid w:val="1ED44E73"/>
    <w:rsid w:val="1F00319F"/>
    <w:rsid w:val="1F113097"/>
    <w:rsid w:val="1F356A1F"/>
    <w:rsid w:val="1F626796"/>
    <w:rsid w:val="1FAB4A14"/>
    <w:rsid w:val="1FB55DD1"/>
    <w:rsid w:val="1FE932A6"/>
    <w:rsid w:val="1FF424E5"/>
    <w:rsid w:val="201966C8"/>
    <w:rsid w:val="203973AC"/>
    <w:rsid w:val="203B62B7"/>
    <w:rsid w:val="206E7F33"/>
    <w:rsid w:val="20B22436"/>
    <w:rsid w:val="20D235FB"/>
    <w:rsid w:val="210A0BC8"/>
    <w:rsid w:val="21675FC1"/>
    <w:rsid w:val="21933ED0"/>
    <w:rsid w:val="2198776E"/>
    <w:rsid w:val="21A72C37"/>
    <w:rsid w:val="21D36222"/>
    <w:rsid w:val="21DF1E35"/>
    <w:rsid w:val="22146DBF"/>
    <w:rsid w:val="22221F7A"/>
    <w:rsid w:val="22284C58"/>
    <w:rsid w:val="223631D9"/>
    <w:rsid w:val="22651ABC"/>
    <w:rsid w:val="22941CAE"/>
    <w:rsid w:val="229E741D"/>
    <w:rsid w:val="22D2133F"/>
    <w:rsid w:val="23534223"/>
    <w:rsid w:val="23957943"/>
    <w:rsid w:val="239D61EB"/>
    <w:rsid w:val="23A47F73"/>
    <w:rsid w:val="23A97E99"/>
    <w:rsid w:val="23B516E3"/>
    <w:rsid w:val="23EC3E5F"/>
    <w:rsid w:val="241D3791"/>
    <w:rsid w:val="245E1D27"/>
    <w:rsid w:val="247F2934"/>
    <w:rsid w:val="24A90CD5"/>
    <w:rsid w:val="24C80F2C"/>
    <w:rsid w:val="24D00537"/>
    <w:rsid w:val="24D740D4"/>
    <w:rsid w:val="25861D82"/>
    <w:rsid w:val="25895B7B"/>
    <w:rsid w:val="25EB6F94"/>
    <w:rsid w:val="25F71AE3"/>
    <w:rsid w:val="260727D5"/>
    <w:rsid w:val="261D5950"/>
    <w:rsid w:val="262C5D6F"/>
    <w:rsid w:val="26306EAD"/>
    <w:rsid w:val="26322122"/>
    <w:rsid w:val="263A2B6C"/>
    <w:rsid w:val="26B65CAF"/>
    <w:rsid w:val="26D3765C"/>
    <w:rsid w:val="26F7280B"/>
    <w:rsid w:val="273E668C"/>
    <w:rsid w:val="27665953"/>
    <w:rsid w:val="276B626F"/>
    <w:rsid w:val="27764078"/>
    <w:rsid w:val="27794741"/>
    <w:rsid w:val="280C1E1C"/>
    <w:rsid w:val="281B2C23"/>
    <w:rsid w:val="285D307E"/>
    <w:rsid w:val="285E6FE6"/>
    <w:rsid w:val="28780C0A"/>
    <w:rsid w:val="287B25CD"/>
    <w:rsid w:val="28932204"/>
    <w:rsid w:val="29305D61"/>
    <w:rsid w:val="29CF7916"/>
    <w:rsid w:val="29E277A3"/>
    <w:rsid w:val="2A4A5026"/>
    <w:rsid w:val="2A7725E1"/>
    <w:rsid w:val="2ACB4670"/>
    <w:rsid w:val="2B165347"/>
    <w:rsid w:val="2B253B3A"/>
    <w:rsid w:val="2B25749C"/>
    <w:rsid w:val="2B342280"/>
    <w:rsid w:val="2B4226CD"/>
    <w:rsid w:val="2B547CCC"/>
    <w:rsid w:val="2B8F395A"/>
    <w:rsid w:val="2BAB7DC3"/>
    <w:rsid w:val="2C047EA4"/>
    <w:rsid w:val="2C077D19"/>
    <w:rsid w:val="2C39121E"/>
    <w:rsid w:val="2C622E1D"/>
    <w:rsid w:val="2CEA02B1"/>
    <w:rsid w:val="2D2D6F87"/>
    <w:rsid w:val="2D483DC1"/>
    <w:rsid w:val="2E1B74C0"/>
    <w:rsid w:val="2E5642BC"/>
    <w:rsid w:val="2EA846EB"/>
    <w:rsid w:val="2F053687"/>
    <w:rsid w:val="2F0E5FD6"/>
    <w:rsid w:val="2FBC6BB7"/>
    <w:rsid w:val="2FE36023"/>
    <w:rsid w:val="2FF975F4"/>
    <w:rsid w:val="30157776"/>
    <w:rsid w:val="302213B3"/>
    <w:rsid w:val="3049057C"/>
    <w:rsid w:val="30A026DD"/>
    <w:rsid w:val="30CB2D3F"/>
    <w:rsid w:val="30F62A82"/>
    <w:rsid w:val="31115856"/>
    <w:rsid w:val="31261819"/>
    <w:rsid w:val="313D472F"/>
    <w:rsid w:val="316045D6"/>
    <w:rsid w:val="31975317"/>
    <w:rsid w:val="31A4487B"/>
    <w:rsid w:val="31CD5838"/>
    <w:rsid w:val="31EA0443"/>
    <w:rsid w:val="32035783"/>
    <w:rsid w:val="325B00F2"/>
    <w:rsid w:val="32FC1609"/>
    <w:rsid w:val="33447CF9"/>
    <w:rsid w:val="336315EB"/>
    <w:rsid w:val="337551E4"/>
    <w:rsid w:val="33950966"/>
    <w:rsid w:val="33C543BD"/>
    <w:rsid w:val="33CD3146"/>
    <w:rsid w:val="34384AF9"/>
    <w:rsid w:val="343D45A0"/>
    <w:rsid w:val="3447392B"/>
    <w:rsid w:val="35097C1E"/>
    <w:rsid w:val="35364234"/>
    <w:rsid w:val="35895EA1"/>
    <w:rsid w:val="35912DA9"/>
    <w:rsid w:val="36321EB6"/>
    <w:rsid w:val="364B0698"/>
    <w:rsid w:val="36590462"/>
    <w:rsid w:val="3673397C"/>
    <w:rsid w:val="36B43F1A"/>
    <w:rsid w:val="36CE1FFC"/>
    <w:rsid w:val="36DF3D38"/>
    <w:rsid w:val="36EB0A23"/>
    <w:rsid w:val="37003071"/>
    <w:rsid w:val="370412E8"/>
    <w:rsid w:val="37197DFE"/>
    <w:rsid w:val="372756D3"/>
    <w:rsid w:val="373A7D92"/>
    <w:rsid w:val="381560AC"/>
    <w:rsid w:val="382E309D"/>
    <w:rsid w:val="38520DF8"/>
    <w:rsid w:val="38957B7A"/>
    <w:rsid w:val="38991974"/>
    <w:rsid w:val="38F23CEC"/>
    <w:rsid w:val="38F90C25"/>
    <w:rsid w:val="38FA3EAE"/>
    <w:rsid w:val="38FB45D2"/>
    <w:rsid w:val="390D2183"/>
    <w:rsid w:val="39565C45"/>
    <w:rsid w:val="39647FE9"/>
    <w:rsid w:val="39863C92"/>
    <w:rsid w:val="398E6FFF"/>
    <w:rsid w:val="39F07CBA"/>
    <w:rsid w:val="3A0C3C61"/>
    <w:rsid w:val="3A14459A"/>
    <w:rsid w:val="3A891350"/>
    <w:rsid w:val="3ADD715A"/>
    <w:rsid w:val="3AE10910"/>
    <w:rsid w:val="3AE528DD"/>
    <w:rsid w:val="3AF62D22"/>
    <w:rsid w:val="3AF910BE"/>
    <w:rsid w:val="3B141E04"/>
    <w:rsid w:val="3B193AD7"/>
    <w:rsid w:val="3B431143"/>
    <w:rsid w:val="3B6162CB"/>
    <w:rsid w:val="3B783AC3"/>
    <w:rsid w:val="3BAD594C"/>
    <w:rsid w:val="3BDB10B8"/>
    <w:rsid w:val="3BF6614D"/>
    <w:rsid w:val="3C137CB2"/>
    <w:rsid w:val="3C490F09"/>
    <w:rsid w:val="3C5E74FA"/>
    <w:rsid w:val="3C6876EC"/>
    <w:rsid w:val="3CA1620D"/>
    <w:rsid w:val="3CD37DF1"/>
    <w:rsid w:val="3CE66D82"/>
    <w:rsid w:val="3D1B0F1B"/>
    <w:rsid w:val="3D6960C1"/>
    <w:rsid w:val="3DA037A5"/>
    <w:rsid w:val="3DA11C8B"/>
    <w:rsid w:val="3DD44DB4"/>
    <w:rsid w:val="3DE80B36"/>
    <w:rsid w:val="3DFA4C63"/>
    <w:rsid w:val="3E174CFF"/>
    <w:rsid w:val="3E467C35"/>
    <w:rsid w:val="3E5E1696"/>
    <w:rsid w:val="3EB24239"/>
    <w:rsid w:val="3EF142B8"/>
    <w:rsid w:val="3F0044FB"/>
    <w:rsid w:val="3F0538C0"/>
    <w:rsid w:val="3F514D57"/>
    <w:rsid w:val="3F6A7BC7"/>
    <w:rsid w:val="3F750AFB"/>
    <w:rsid w:val="3F8B1315"/>
    <w:rsid w:val="3FFF3D68"/>
    <w:rsid w:val="400276A2"/>
    <w:rsid w:val="402B18A0"/>
    <w:rsid w:val="403C5A07"/>
    <w:rsid w:val="403D52DB"/>
    <w:rsid w:val="406E69AA"/>
    <w:rsid w:val="40846016"/>
    <w:rsid w:val="40D92C20"/>
    <w:rsid w:val="40F3211E"/>
    <w:rsid w:val="413277CA"/>
    <w:rsid w:val="413801C7"/>
    <w:rsid w:val="413C2182"/>
    <w:rsid w:val="414C1E2F"/>
    <w:rsid w:val="41673914"/>
    <w:rsid w:val="4168282C"/>
    <w:rsid w:val="41913ED7"/>
    <w:rsid w:val="41B8730F"/>
    <w:rsid w:val="41D473D9"/>
    <w:rsid w:val="41DD3282"/>
    <w:rsid w:val="41E13113"/>
    <w:rsid w:val="42042555"/>
    <w:rsid w:val="427822F7"/>
    <w:rsid w:val="42CA602A"/>
    <w:rsid w:val="433809AC"/>
    <w:rsid w:val="43465441"/>
    <w:rsid w:val="434966C0"/>
    <w:rsid w:val="4375638C"/>
    <w:rsid w:val="437A2709"/>
    <w:rsid w:val="437F7AF6"/>
    <w:rsid w:val="43875D2E"/>
    <w:rsid w:val="43E91D8A"/>
    <w:rsid w:val="43F62371"/>
    <w:rsid w:val="43FB7987"/>
    <w:rsid w:val="444F55DD"/>
    <w:rsid w:val="44626E27"/>
    <w:rsid w:val="44992387"/>
    <w:rsid w:val="44CB40C4"/>
    <w:rsid w:val="44F47823"/>
    <w:rsid w:val="45027796"/>
    <w:rsid w:val="452627E2"/>
    <w:rsid w:val="45297711"/>
    <w:rsid w:val="45A33E32"/>
    <w:rsid w:val="45E85CE9"/>
    <w:rsid w:val="462F542D"/>
    <w:rsid w:val="46841EB6"/>
    <w:rsid w:val="46954C3D"/>
    <w:rsid w:val="46A93A3F"/>
    <w:rsid w:val="46D347C3"/>
    <w:rsid w:val="46E2064E"/>
    <w:rsid w:val="46E91D19"/>
    <w:rsid w:val="46EC58D4"/>
    <w:rsid w:val="47193F81"/>
    <w:rsid w:val="47490A0A"/>
    <w:rsid w:val="478666B6"/>
    <w:rsid w:val="47C02A7A"/>
    <w:rsid w:val="47C862FC"/>
    <w:rsid w:val="47E879C9"/>
    <w:rsid w:val="480474EA"/>
    <w:rsid w:val="480F12E3"/>
    <w:rsid w:val="481847D6"/>
    <w:rsid w:val="482D5086"/>
    <w:rsid w:val="48304539"/>
    <w:rsid w:val="48483B33"/>
    <w:rsid w:val="487B1097"/>
    <w:rsid w:val="48AF74C5"/>
    <w:rsid w:val="48EE7ABB"/>
    <w:rsid w:val="49153299"/>
    <w:rsid w:val="49320442"/>
    <w:rsid w:val="49375FC0"/>
    <w:rsid w:val="493E5437"/>
    <w:rsid w:val="49AC3041"/>
    <w:rsid w:val="49D87F75"/>
    <w:rsid w:val="49DF7AF4"/>
    <w:rsid w:val="49FA168E"/>
    <w:rsid w:val="4A541B9F"/>
    <w:rsid w:val="4A9442C8"/>
    <w:rsid w:val="4A9F5C76"/>
    <w:rsid w:val="4B3544BD"/>
    <w:rsid w:val="4B3C6CC6"/>
    <w:rsid w:val="4B6E31D1"/>
    <w:rsid w:val="4B756930"/>
    <w:rsid w:val="4B890BFF"/>
    <w:rsid w:val="4BEA19F6"/>
    <w:rsid w:val="4BF44038"/>
    <w:rsid w:val="4C1248AE"/>
    <w:rsid w:val="4C41180F"/>
    <w:rsid w:val="4C4529BD"/>
    <w:rsid w:val="4C453CFD"/>
    <w:rsid w:val="4C4C2C53"/>
    <w:rsid w:val="4C963480"/>
    <w:rsid w:val="4C9925D5"/>
    <w:rsid w:val="4CFC209D"/>
    <w:rsid w:val="4D1758E2"/>
    <w:rsid w:val="4D2A5679"/>
    <w:rsid w:val="4D2A6BE7"/>
    <w:rsid w:val="4D7F0CE1"/>
    <w:rsid w:val="4DEA702F"/>
    <w:rsid w:val="4E380F43"/>
    <w:rsid w:val="4E3A1142"/>
    <w:rsid w:val="4E4C762D"/>
    <w:rsid w:val="4E8411CD"/>
    <w:rsid w:val="4EA71637"/>
    <w:rsid w:val="4ED10449"/>
    <w:rsid w:val="4F442177"/>
    <w:rsid w:val="4F4E4725"/>
    <w:rsid w:val="4FAA496A"/>
    <w:rsid w:val="4FBE28EB"/>
    <w:rsid w:val="4FCA1119"/>
    <w:rsid w:val="502D3DF8"/>
    <w:rsid w:val="50302767"/>
    <w:rsid w:val="50701F0B"/>
    <w:rsid w:val="50BF61EE"/>
    <w:rsid w:val="50C95A4C"/>
    <w:rsid w:val="50E44299"/>
    <w:rsid w:val="51033699"/>
    <w:rsid w:val="51325FDE"/>
    <w:rsid w:val="51A76A58"/>
    <w:rsid w:val="51B86EB8"/>
    <w:rsid w:val="51C623CD"/>
    <w:rsid w:val="51CD70D5"/>
    <w:rsid w:val="51D50F8B"/>
    <w:rsid w:val="51FF7392"/>
    <w:rsid w:val="52064694"/>
    <w:rsid w:val="523A79B4"/>
    <w:rsid w:val="52595B6C"/>
    <w:rsid w:val="52AB03D6"/>
    <w:rsid w:val="52DF776B"/>
    <w:rsid w:val="536D782E"/>
    <w:rsid w:val="53996C1D"/>
    <w:rsid w:val="53A35EBC"/>
    <w:rsid w:val="54185E47"/>
    <w:rsid w:val="542F1C2D"/>
    <w:rsid w:val="5455304A"/>
    <w:rsid w:val="54644068"/>
    <w:rsid w:val="54A625CC"/>
    <w:rsid w:val="54B54EAF"/>
    <w:rsid w:val="54B90AA4"/>
    <w:rsid w:val="54E65AEA"/>
    <w:rsid w:val="54F62E89"/>
    <w:rsid w:val="54F64071"/>
    <w:rsid w:val="552265B5"/>
    <w:rsid w:val="554A5E12"/>
    <w:rsid w:val="55642E8C"/>
    <w:rsid w:val="559B567C"/>
    <w:rsid w:val="55B564C0"/>
    <w:rsid w:val="55D41DE6"/>
    <w:rsid w:val="563958B2"/>
    <w:rsid w:val="56A06AF8"/>
    <w:rsid w:val="56B948C3"/>
    <w:rsid w:val="56D41BD3"/>
    <w:rsid w:val="571C1C97"/>
    <w:rsid w:val="57795F26"/>
    <w:rsid w:val="57844563"/>
    <w:rsid w:val="57905554"/>
    <w:rsid w:val="57E2396E"/>
    <w:rsid w:val="580E71E5"/>
    <w:rsid w:val="58313520"/>
    <w:rsid w:val="583A221C"/>
    <w:rsid w:val="585C67EF"/>
    <w:rsid w:val="587A159C"/>
    <w:rsid w:val="588C4237"/>
    <w:rsid w:val="588C70EE"/>
    <w:rsid w:val="58926FC6"/>
    <w:rsid w:val="58A24435"/>
    <w:rsid w:val="58A601FD"/>
    <w:rsid w:val="58C16652"/>
    <w:rsid w:val="58EA0B58"/>
    <w:rsid w:val="590D7AE9"/>
    <w:rsid w:val="5916409C"/>
    <w:rsid w:val="591E5852"/>
    <w:rsid w:val="592A5088"/>
    <w:rsid w:val="5A3A24C3"/>
    <w:rsid w:val="5A9D0951"/>
    <w:rsid w:val="5AB01550"/>
    <w:rsid w:val="5AB76B47"/>
    <w:rsid w:val="5AD703AE"/>
    <w:rsid w:val="5AE04D12"/>
    <w:rsid w:val="5B223F16"/>
    <w:rsid w:val="5B3D7D23"/>
    <w:rsid w:val="5B51560B"/>
    <w:rsid w:val="5BB3310E"/>
    <w:rsid w:val="5BC22E0D"/>
    <w:rsid w:val="5BC31F35"/>
    <w:rsid w:val="5BCB74E6"/>
    <w:rsid w:val="5C1C45FE"/>
    <w:rsid w:val="5C221AFD"/>
    <w:rsid w:val="5C802540"/>
    <w:rsid w:val="5C915DBC"/>
    <w:rsid w:val="5CBD369A"/>
    <w:rsid w:val="5D055FED"/>
    <w:rsid w:val="5D106A09"/>
    <w:rsid w:val="5D213B63"/>
    <w:rsid w:val="5D2260B3"/>
    <w:rsid w:val="5D470038"/>
    <w:rsid w:val="5D51568E"/>
    <w:rsid w:val="5D597D8F"/>
    <w:rsid w:val="5D5B2B0C"/>
    <w:rsid w:val="5D605503"/>
    <w:rsid w:val="5D8D744A"/>
    <w:rsid w:val="5DBF417D"/>
    <w:rsid w:val="5DCF6F5C"/>
    <w:rsid w:val="5DD15F68"/>
    <w:rsid w:val="5DE11544"/>
    <w:rsid w:val="5E122AE4"/>
    <w:rsid w:val="5E7B3C02"/>
    <w:rsid w:val="5E9B2E43"/>
    <w:rsid w:val="5ED036D2"/>
    <w:rsid w:val="5EF808F3"/>
    <w:rsid w:val="5F09639B"/>
    <w:rsid w:val="5F412CC2"/>
    <w:rsid w:val="5F64242D"/>
    <w:rsid w:val="5F834DD4"/>
    <w:rsid w:val="5F904230"/>
    <w:rsid w:val="5FF90DC7"/>
    <w:rsid w:val="600F7AAB"/>
    <w:rsid w:val="60351C6F"/>
    <w:rsid w:val="60516ACE"/>
    <w:rsid w:val="605B7CCA"/>
    <w:rsid w:val="60786190"/>
    <w:rsid w:val="60C05316"/>
    <w:rsid w:val="614766DE"/>
    <w:rsid w:val="616634E5"/>
    <w:rsid w:val="61B9240A"/>
    <w:rsid w:val="6281084F"/>
    <w:rsid w:val="62F83726"/>
    <w:rsid w:val="63343EC4"/>
    <w:rsid w:val="63541865"/>
    <w:rsid w:val="63626DC1"/>
    <w:rsid w:val="638D5337"/>
    <w:rsid w:val="63951859"/>
    <w:rsid w:val="63AE011A"/>
    <w:rsid w:val="63B50CB9"/>
    <w:rsid w:val="63B70D7D"/>
    <w:rsid w:val="642312D7"/>
    <w:rsid w:val="64304675"/>
    <w:rsid w:val="645A795A"/>
    <w:rsid w:val="64B8597C"/>
    <w:rsid w:val="64CF321D"/>
    <w:rsid w:val="64DA3654"/>
    <w:rsid w:val="64DC7109"/>
    <w:rsid w:val="651F3899"/>
    <w:rsid w:val="6533227E"/>
    <w:rsid w:val="656E232E"/>
    <w:rsid w:val="658A05B5"/>
    <w:rsid w:val="65D10FAB"/>
    <w:rsid w:val="66261858"/>
    <w:rsid w:val="663A49AB"/>
    <w:rsid w:val="66487605"/>
    <w:rsid w:val="6651040A"/>
    <w:rsid w:val="665A2456"/>
    <w:rsid w:val="66A74EA1"/>
    <w:rsid w:val="66B33247"/>
    <w:rsid w:val="671C260C"/>
    <w:rsid w:val="67473459"/>
    <w:rsid w:val="676B3D84"/>
    <w:rsid w:val="677F383D"/>
    <w:rsid w:val="678A67A9"/>
    <w:rsid w:val="678D5407"/>
    <w:rsid w:val="67E53843"/>
    <w:rsid w:val="68115B14"/>
    <w:rsid w:val="684221C7"/>
    <w:rsid w:val="685A0483"/>
    <w:rsid w:val="689A2F0D"/>
    <w:rsid w:val="68C61A62"/>
    <w:rsid w:val="68F06D6F"/>
    <w:rsid w:val="68F11669"/>
    <w:rsid w:val="69A65FD4"/>
    <w:rsid w:val="69D87C9F"/>
    <w:rsid w:val="69DA3A17"/>
    <w:rsid w:val="69E66D34"/>
    <w:rsid w:val="69F541A4"/>
    <w:rsid w:val="6A0740E0"/>
    <w:rsid w:val="6A437EE0"/>
    <w:rsid w:val="6A5B404F"/>
    <w:rsid w:val="6A9E4398"/>
    <w:rsid w:val="6ABB42E9"/>
    <w:rsid w:val="6AD1141B"/>
    <w:rsid w:val="6B2C2051"/>
    <w:rsid w:val="6B321631"/>
    <w:rsid w:val="6B6B77A0"/>
    <w:rsid w:val="6B9D4848"/>
    <w:rsid w:val="6B9E0A74"/>
    <w:rsid w:val="6BC11EE9"/>
    <w:rsid w:val="6C0E1392"/>
    <w:rsid w:val="6C4B5DA8"/>
    <w:rsid w:val="6CB542C8"/>
    <w:rsid w:val="6D147D17"/>
    <w:rsid w:val="6D6D109E"/>
    <w:rsid w:val="6D7158E3"/>
    <w:rsid w:val="6D9B170F"/>
    <w:rsid w:val="6DCC0119"/>
    <w:rsid w:val="6E7926F7"/>
    <w:rsid w:val="6EDE1966"/>
    <w:rsid w:val="6F156EC4"/>
    <w:rsid w:val="6F193D8B"/>
    <w:rsid w:val="6F2C610D"/>
    <w:rsid w:val="6F302529"/>
    <w:rsid w:val="6F8561D3"/>
    <w:rsid w:val="6FA75111"/>
    <w:rsid w:val="708F5F48"/>
    <w:rsid w:val="709D624E"/>
    <w:rsid w:val="70B74582"/>
    <w:rsid w:val="70E926D2"/>
    <w:rsid w:val="70F20081"/>
    <w:rsid w:val="715A41F5"/>
    <w:rsid w:val="71995F66"/>
    <w:rsid w:val="71BE59CD"/>
    <w:rsid w:val="71C47AD6"/>
    <w:rsid w:val="71E36D29"/>
    <w:rsid w:val="720346C8"/>
    <w:rsid w:val="72D76045"/>
    <w:rsid w:val="72EF2748"/>
    <w:rsid w:val="72F24D0E"/>
    <w:rsid w:val="730A2DE0"/>
    <w:rsid w:val="73EB27F0"/>
    <w:rsid w:val="74055139"/>
    <w:rsid w:val="74565E00"/>
    <w:rsid w:val="74595AED"/>
    <w:rsid w:val="74675EA7"/>
    <w:rsid w:val="748650DC"/>
    <w:rsid w:val="74DE27D6"/>
    <w:rsid w:val="7535244A"/>
    <w:rsid w:val="756F7E8D"/>
    <w:rsid w:val="75C81250"/>
    <w:rsid w:val="76197675"/>
    <w:rsid w:val="762A0684"/>
    <w:rsid w:val="765F770C"/>
    <w:rsid w:val="76657609"/>
    <w:rsid w:val="76665AF9"/>
    <w:rsid w:val="768C6951"/>
    <w:rsid w:val="76A514F4"/>
    <w:rsid w:val="76DC5B5D"/>
    <w:rsid w:val="76E069CF"/>
    <w:rsid w:val="76E81FEE"/>
    <w:rsid w:val="76EF03D6"/>
    <w:rsid w:val="77024D33"/>
    <w:rsid w:val="77201348"/>
    <w:rsid w:val="77342046"/>
    <w:rsid w:val="776F0098"/>
    <w:rsid w:val="779C230C"/>
    <w:rsid w:val="78497004"/>
    <w:rsid w:val="792164D3"/>
    <w:rsid w:val="793A5135"/>
    <w:rsid w:val="79504B57"/>
    <w:rsid w:val="79632592"/>
    <w:rsid w:val="79650AA5"/>
    <w:rsid w:val="796C21B2"/>
    <w:rsid w:val="797D67C9"/>
    <w:rsid w:val="798412AA"/>
    <w:rsid w:val="7A465A47"/>
    <w:rsid w:val="7A4E42C3"/>
    <w:rsid w:val="7AD10F94"/>
    <w:rsid w:val="7B2A3D31"/>
    <w:rsid w:val="7B357A21"/>
    <w:rsid w:val="7B503B39"/>
    <w:rsid w:val="7B5D5152"/>
    <w:rsid w:val="7B8C6B3B"/>
    <w:rsid w:val="7BBC1090"/>
    <w:rsid w:val="7BD018B5"/>
    <w:rsid w:val="7C2C639F"/>
    <w:rsid w:val="7C2E3131"/>
    <w:rsid w:val="7C3F426C"/>
    <w:rsid w:val="7C8E3C33"/>
    <w:rsid w:val="7CD10221"/>
    <w:rsid w:val="7CFD7896"/>
    <w:rsid w:val="7D11554A"/>
    <w:rsid w:val="7D385FFD"/>
    <w:rsid w:val="7D734D87"/>
    <w:rsid w:val="7D7F3834"/>
    <w:rsid w:val="7D9C75F7"/>
    <w:rsid w:val="7DAC5273"/>
    <w:rsid w:val="7DC04E30"/>
    <w:rsid w:val="7DE1742A"/>
    <w:rsid w:val="7E153995"/>
    <w:rsid w:val="7F1B4A79"/>
    <w:rsid w:val="7F36116E"/>
    <w:rsid w:val="7F473CA9"/>
    <w:rsid w:val="7F780FFA"/>
    <w:rsid w:val="7F8C0E1F"/>
    <w:rsid w:val="7FA00746"/>
    <w:rsid w:val="7FDD5259"/>
    <w:rsid w:val="DCCD30E7"/>
    <w:rsid w:val="EE792EB0"/>
    <w:rsid w:val="F699C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link w:val="11"/>
    <w:qFormat/>
    <w:uiPriority w:val="0"/>
    <w:pPr>
      <w:spacing w:afterLines="0" w:afterAutospacing="0"/>
      <w:ind w:firstLine="0" w:firstLineChars="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link w:val="12"/>
    <w:qFormat/>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 w:type="character" w:styleId="9">
    <w:name w:val="Strong"/>
    <w:basedOn w:val="8"/>
    <w:qFormat/>
    <w:uiPriority w:val="0"/>
    <w:rPr>
      <w:b/>
    </w:rPr>
  </w:style>
  <w:style w:type="paragraph" w:customStyle="1" w:styleId="10">
    <w:name w:val="正文 New"/>
    <w:link w:val="13"/>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1">
    <w:name w:val="正文文本 Char"/>
    <w:link w:val="3"/>
    <w:qFormat/>
    <w:uiPriority w:val="0"/>
  </w:style>
  <w:style w:type="character" w:customStyle="1" w:styleId="12">
    <w:name w:val="普通(网站) Char"/>
    <w:link w:val="6"/>
    <w:qFormat/>
    <w:uiPriority w:val="0"/>
    <w:rPr>
      <w:rFonts w:hint="default" w:ascii="Calibri" w:hAnsi="Calibri" w:eastAsia="宋体" w:cs="Times New Roman"/>
      <w:kern w:val="0"/>
      <w:sz w:val="24"/>
      <w:szCs w:val="24"/>
      <w:lang w:val="en-US" w:eastAsia="zh-CN" w:bidi="ar"/>
    </w:rPr>
  </w:style>
  <w:style w:type="character" w:customStyle="1" w:styleId="13">
    <w:name w:val="正文 New Char"/>
    <w:link w:val="10"/>
    <w:qFormat/>
    <w:uiPriority w:val="0"/>
    <w:rPr>
      <w:rFonts w:ascii="Times New Roman" w:hAnsi="Times New Roman" w:eastAsia="宋体" w:cs="Times New Roman"/>
      <w:kern w:val="2"/>
      <w:sz w:val="21"/>
      <w:szCs w:val="22"/>
      <w:lang w:val="en-US" w:eastAsia="zh-CN" w:bidi="ar-SA"/>
    </w:rPr>
  </w:style>
  <w:style w:type="paragraph" w:customStyle="1" w:styleId="14">
    <w:name w:val="Table Text"/>
    <w:basedOn w:val="1"/>
    <w:semiHidden/>
    <w:qFormat/>
    <w:uiPriority w:val="0"/>
    <w:rPr>
      <w:rFonts w:ascii="AR PL UKai CN" w:hAnsi="AR PL UKai CN" w:eastAsia="AR PL UKai CN" w:cs="AR PL UKai CN"/>
      <w:sz w:val="21"/>
      <w:szCs w:val="21"/>
      <w:lang w:val="en-US" w:eastAsia="en-US" w:bidi="ar-SA"/>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5251d1a6-5542-498a-b4b0-5c130c7e7d77}">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6189</Words>
  <Characters>6209</Characters>
  <Lines>0</Lines>
  <Paragraphs>0</Paragraphs>
  <TotalTime>1</TotalTime>
  <ScaleCrop>false</ScaleCrop>
  <LinksUpToDate>false</LinksUpToDate>
  <CharactersWithSpaces>6488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2025-10-23T02:53:00Z</dcterms:created>
  <dc:creator>lenovo</dc:creator>
  <cp:lastModifiedBy>E.G</cp:lastModifiedBy>
  <cp:lastPrinted>2025-12-12T02:01:00Z</cp:lastPrinted>
  <dcterms:modified xsi:type="dcterms:W3CDTF">2025-12-12T07:51:09Z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eyJoZGlkIjoiZjU3NmQwMGZmNWYxMjM4YTllMWFjNDI1Zjk2Y2IyZTgiLCJ1c2VySWQiOiIyNDE3NTM3NDYifQ==</vt:lpwstr>
  </property>
  <property fmtid="{D5CDD505-2E9C-101B-9397-08002B2CF9AE}" pid="4" name="ICV">
    <vt:lpwstr>60F974EA329E4B93BAF7580D7CAA5960_13</vt:lpwstr>
  </property>
</Properties>
</file>