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74368">
      <w:pPr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0000" w:rsidRDefault="00274368">
      <w:pPr>
        <w:rPr>
          <w:rFonts w:ascii="黑体" w:eastAsia="黑体" w:hAnsi="黑体" w:cs="黑体" w:hint="eastAsia"/>
          <w:sz w:val="32"/>
          <w:szCs w:val="32"/>
        </w:rPr>
      </w:pPr>
    </w:p>
    <w:p w:rsidR="00000000" w:rsidRDefault="00274368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《药品检查管理办法（试行）》部分条款</w:t>
      </w:r>
    </w:p>
    <w:p w:rsidR="00000000" w:rsidRDefault="00274368">
      <w:pPr>
        <w:spacing w:line="64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修订对照表</w:t>
      </w:r>
    </w:p>
    <w:p w:rsidR="00000000" w:rsidRDefault="00274368"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a8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75"/>
        <w:gridCol w:w="6297"/>
        <w:gridCol w:w="6512"/>
      </w:tblGrid>
      <w:tr w:rsidR="00000000">
        <w:trPr>
          <w:cantSplit/>
          <w:trHeight w:val="534"/>
          <w:tblHeader/>
          <w:jc w:val="center"/>
        </w:trPr>
        <w:tc>
          <w:tcPr>
            <w:tcW w:w="1575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条款</w:t>
            </w:r>
          </w:p>
        </w:tc>
        <w:tc>
          <w:tcPr>
            <w:tcW w:w="6297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原</w:t>
            </w:r>
            <w:r>
              <w:rPr>
                <w:rFonts w:ascii="黑体" w:eastAsia="黑体" w:hAnsi="黑体" w:cs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文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内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容</w:t>
            </w:r>
          </w:p>
        </w:tc>
        <w:tc>
          <w:tcPr>
            <w:tcW w:w="6512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修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订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后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内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容</w:t>
            </w:r>
          </w:p>
        </w:tc>
      </w:tr>
      <w:tr w:rsidR="00000000">
        <w:trPr>
          <w:trHeight w:val="1460"/>
          <w:jc w:val="center"/>
        </w:trPr>
        <w:tc>
          <w:tcPr>
            <w:tcW w:w="1575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第十五条</w:t>
            </w:r>
          </w:p>
        </w:tc>
        <w:tc>
          <w:tcPr>
            <w:tcW w:w="6297" w:type="dxa"/>
            <w:vAlign w:val="center"/>
          </w:tcPr>
          <w:p w:rsidR="00000000" w:rsidRDefault="0027436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检查组中执法人员不足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名的，应当由负责该被检查单位监管工作的药品监督管理部门派出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名以上执法人员参与检查工作。</w:t>
            </w:r>
          </w:p>
        </w:tc>
        <w:tc>
          <w:tcPr>
            <w:tcW w:w="6512" w:type="dxa"/>
            <w:vAlign w:val="center"/>
          </w:tcPr>
          <w:p w:rsidR="00000000" w:rsidRDefault="0027436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现场检查过程中，涉及需要进行监督抽样、</w:t>
            </w:r>
            <w:r>
              <w:rPr>
                <w:rFonts w:eastAsia="仿宋_GB2312"/>
                <w:sz w:val="24"/>
              </w:rPr>
              <w:t>固定相关证据</w:t>
            </w:r>
            <w:r>
              <w:rPr>
                <w:rFonts w:eastAsia="仿宋_GB2312"/>
                <w:sz w:val="24"/>
              </w:rPr>
              <w:t>等执法行为活动时，</w:t>
            </w:r>
            <w:r>
              <w:rPr>
                <w:rFonts w:eastAsia="仿宋_GB2312"/>
                <w:sz w:val="24"/>
              </w:rPr>
              <w:t>检查组中执法人员不足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名的，应当由负责该被检查单位监管工作的药品监督管理部门派出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名以上执法人员参与检查工作。</w:t>
            </w:r>
          </w:p>
        </w:tc>
      </w:tr>
      <w:tr w:rsidR="00000000">
        <w:trPr>
          <w:jc w:val="center"/>
        </w:trPr>
        <w:tc>
          <w:tcPr>
            <w:tcW w:w="1575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eastAsia="仿宋_GB2312"/>
              </w:rPr>
            </w:pPr>
            <w:r>
              <w:rPr>
                <w:rFonts w:eastAsia="仿宋_GB2312"/>
                <w:lang w:val="zh-TW" w:eastAsia="zh-TW"/>
              </w:rPr>
              <w:t>第十</w:t>
            </w:r>
            <w:r>
              <w:rPr>
                <w:rFonts w:eastAsia="仿宋_GB2312"/>
              </w:rPr>
              <w:t>六</w:t>
            </w:r>
            <w:r>
              <w:rPr>
                <w:rFonts w:eastAsia="仿宋_GB2312"/>
                <w:lang w:val="zh-TW" w:eastAsia="zh-TW"/>
              </w:rPr>
              <w:t>条</w:t>
            </w:r>
          </w:p>
        </w:tc>
        <w:tc>
          <w:tcPr>
            <w:tcW w:w="6297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派出检查单位在实施检查前，应当根据检查任务制定检查方案，明确检查事项、时间和检</w:t>
            </w:r>
            <w:r>
              <w:rPr>
                <w:rFonts w:eastAsia="仿宋_GB2312"/>
              </w:rPr>
              <w:t>查方式等，必要时，参加检查的检查员应当参与检查方案的制定。检查组应当按照检查方案实施现场检查。检查员应当提前熟悉检查资料等内容。</w:t>
            </w:r>
          </w:p>
        </w:tc>
        <w:tc>
          <w:tcPr>
            <w:tcW w:w="6512" w:type="dxa"/>
            <w:vAlign w:val="center"/>
          </w:tcPr>
          <w:p w:rsidR="00000000" w:rsidRDefault="00274368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val="zh-TW"/>
              </w:rPr>
              <w:t>派出检查单位</w:t>
            </w:r>
            <w:r>
              <w:rPr>
                <w:rFonts w:eastAsia="仿宋_GB2312"/>
                <w:spacing w:val="-6"/>
                <w:sz w:val="24"/>
                <w:lang w:val="zh-TW" w:eastAsia="zh-TW"/>
              </w:rPr>
              <w:t>在实施检查前，</w:t>
            </w:r>
            <w:r>
              <w:rPr>
                <w:rFonts w:eastAsia="仿宋_GB2312"/>
                <w:spacing w:val="-6"/>
                <w:sz w:val="24"/>
                <w:lang w:val="zh-TW"/>
              </w:rPr>
              <w:t>应当</w:t>
            </w:r>
            <w:r>
              <w:rPr>
                <w:rFonts w:eastAsia="仿宋_GB2312"/>
                <w:spacing w:val="-6"/>
                <w:sz w:val="24"/>
              </w:rPr>
              <w:t>基于</w:t>
            </w:r>
            <w:r>
              <w:rPr>
                <w:rFonts w:eastAsia="仿宋_GB2312"/>
                <w:spacing w:val="-6"/>
                <w:sz w:val="24"/>
                <w:lang w:val="zh-TW" w:eastAsia="zh-TW"/>
              </w:rPr>
              <w:t>检查任务</w:t>
            </w:r>
            <w:r>
              <w:rPr>
                <w:rFonts w:eastAsia="仿宋_GB2312"/>
                <w:spacing w:val="-6"/>
                <w:sz w:val="24"/>
                <w:lang w:val="zh-TW"/>
              </w:rPr>
              <w:t>，</w:t>
            </w:r>
            <w:r>
              <w:rPr>
                <w:rFonts w:eastAsia="仿宋_GB2312"/>
                <w:spacing w:val="-6"/>
                <w:sz w:val="24"/>
              </w:rPr>
              <w:t>结合</w:t>
            </w:r>
            <w:r>
              <w:rPr>
                <w:rFonts w:eastAsia="仿宋_GB2312"/>
                <w:spacing w:val="-6"/>
                <w:sz w:val="24"/>
                <w:lang w:val="zh-TW"/>
              </w:rPr>
              <w:t>被检查单位</w:t>
            </w:r>
            <w:r>
              <w:rPr>
                <w:rFonts w:eastAsia="仿宋_GB2312"/>
                <w:spacing w:val="-6"/>
                <w:sz w:val="24"/>
              </w:rPr>
              <w:t>既往接受检查情况</w:t>
            </w:r>
            <w:r>
              <w:rPr>
                <w:rFonts w:eastAsia="仿宋_GB2312"/>
                <w:spacing w:val="-6"/>
                <w:sz w:val="24"/>
                <w:lang w:val="zh-TW"/>
              </w:rPr>
              <w:t>、</w:t>
            </w:r>
            <w:r>
              <w:rPr>
                <w:rFonts w:eastAsia="仿宋_GB2312"/>
                <w:spacing w:val="-6"/>
                <w:sz w:val="24"/>
              </w:rPr>
              <w:t>生产场地情况、剂型品种特点及生产工艺</w:t>
            </w:r>
            <w:r>
              <w:rPr>
                <w:rFonts w:eastAsia="仿宋_GB2312"/>
                <w:spacing w:val="-6"/>
                <w:sz w:val="24"/>
                <w:lang w:val="zh-TW" w:eastAsia="zh-TW"/>
              </w:rPr>
              <w:t>情况</w:t>
            </w:r>
            <w:r>
              <w:rPr>
                <w:rFonts w:eastAsia="仿宋_GB2312"/>
                <w:spacing w:val="-6"/>
                <w:sz w:val="24"/>
              </w:rPr>
              <w:t>等</w:t>
            </w:r>
            <w:r>
              <w:rPr>
                <w:rFonts w:eastAsia="仿宋_GB2312"/>
                <w:spacing w:val="-6"/>
                <w:sz w:val="24"/>
                <w:lang w:val="zh-TW" w:eastAsia="zh-TW"/>
              </w:rPr>
              <w:t>制定检查方案，明确检查事项、时间和检查方式等</w:t>
            </w:r>
            <w:r>
              <w:rPr>
                <w:rFonts w:eastAsia="仿宋_GB2312"/>
                <w:spacing w:val="-6"/>
                <w:sz w:val="24"/>
                <w:lang w:val="zh-TW"/>
              </w:rPr>
              <w:t>，</w:t>
            </w:r>
            <w:r>
              <w:rPr>
                <w:rFonts w:eastAsia="仿宋_GB2312"/>
                <w:spacing w:val="-6"/>
                <w:sz w:val="24"/>
                <w:lang w:val="zh-TW" w:eastAsia="zh-TW"/>
              </w:rPr>
              <w:t>必要时，参加检查的检查员应</w:t>
            </w:r>
            <w:r>
              <w:rPr>
                <w:rFonts w:eastAsia="仿宋_GB2312"/>
                <w:spacing w:val="-6"/>
                <w:sz w:val="24"/>
                <w:lang w:val="zh-TW"/>
              </w:rPr>
              <w:t>当</w:t>
            </w:r>
            <w:r>
              <w:rPr>
                <w:rFonts w:eastAsia="仿宋_GB2312"/>
                <w:spacing w:val="-6"/>
                <w:sz w:val="24"/>
                <w:lang w:val="zh-TW" w:eastAsia="zh-TW"/>
              </w:rPr>
              <w:t>参与检查方案的制定。检查员</w:t>
            </w:r>
            <w:r>
              <w:rPr>
                <w:rFonts w:eastAsia="仿宋_GB2312"/>
                <w:spacing w:val="-6"/>
                <w:sz w:val="24"/>
                <w:lang w:val="zh-TW"/>
              </w:rPr>
              <w:t>应当</w:t>
            </w:r>
            <w:r>
              <w:rPr>
                <w:rFonts w:eastAsia="仿宋_GB2312"/>
                <w:spacing w:val="-6"/>
                <w:sz w:val="24"/>
                <w:lang w:val="zh-TW" w:eastAsia="zh-TW"/>
              </w:rPr>
              <w:t>提前熟悉检查资料等</w:t>
            </w:r>
            <w:r>
              <w:rPr>
                <w:rFonts w:eastAsia="仿宋_GB2312"/>
                <w:spacing w:val="-6"/>
                <w:sz w:val="24"/>
                <w:lang w:val="zh-TW"/>
              </w:rPr>
              <w:t>内容。</w:t>
            </w:r>
          </w:p>
        </w:tc>
      </w:tr>
      <w:tr w:rsidR="00000000">
        <w:trPr>
          <w:trHeight w:val="813"/>
          <w:jc w:val="center"/>
        </w:trPr>
        <w:tc>
          <w:tcPr>
            <w:tcW w:w="1575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第二十六条</w:t>
            </w:r>
          </w:p>
        </w:tc>
        <w:tc>
          <w:tcPr>
            <w:tcW w:w="6297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现场检查结论和综合评定结论分为符合要求、基本符合要求、不符合要求。</w:t>
            </w:r>
          </w:p>
        </w:tc>
        <w:tc>
          <w:tcPr>
            <w:tcW w:w="6512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现场检查结论分为符合要求、待整改后评定、不符合要求。</w:t>
            </w:r>
            <w:r>
              <w:rPr>
                <w:rFonts w:eastAsia="仿宋_GB2312"/>
              </w:rPr>
              <w:t>综合评定结论分为符合要求、不符合要求。</w:t>
            </w:r>
          </w:p>
        </w:tc>
      </w:tr>
      <w:tr w:rsidR="00000000">
        <w:trPr>
          <w:jc w:val="center"/>
        </w:trPr>
        <w:tc>
          <w:tcPr>
            <w:tcW w:w="1575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第二十七条</w:t>
            </w:r>
          </w:p>
        </w:tc>
        <w:tc>
          <w:tcPr>
            <w:tcW w:w="6297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药品生产企业现场检查结论和综合评定结论的评定标准：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（一）未发现缺陷或者缺陷质量安全风险轻微、质量管理体系比较健全的，检查结论为符合要求。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（二）发现缺陷有一定质量安全风险，但质量管理体系基</w:t>
            </w:r>
            <w:r>
              <w:rPr>
                <w:rFonts w:eastAsia="仿宋_GB2312"/>
                <w:spacing w:val="-6"/>
              </w:rPr>
              <w:t>本健全，检查结论为基本符合要求，包含但不限于以下情形：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eastAsia="仿宋_GB2312"/>
              </w:rPr>
              <w:t>与《药品生产质量管理规范》（以下简称</w:t>
            </w:r>
            <w:r>
              <w:rPr>
                <w:rFonts w:eastAsia="仿宋_GB2312"/>
              </w:rPr>
              <w:t>GMP</w:t>
            </w:r>
            <w:r>
              <w:rPr>
                <w:rFonts w:eastAsia="仿宋_GB2312"/>
              </w:rPr>
              <w:t>）要求有</w:t>
            </w:r>
            <w:r>
              <w:rPr>
                <w:rFonts w:eastAsia="仿宋_GB2312"/>
              </w:rPr>
              <w:lastRenderedPageBreak/>
              <w:t>偏离，可能给产品质量带来一定风险；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eastAsia="仿宋_GB2312"/>
              </w:rPr>
              <w:t>发现主要缺陷或者多项关联一般缺陷，经综合分析表明质量管理体系中某一系统不完善。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（三）发现缺陷为严重质量安全风险，质量</w:t>
            </w:r>
            <w:r>
              <w:rPr>
                <w:rFonts w:eastAsia="仿宋_GB2312"/>
              </w:rPr>
              <w:t>体系不能有效运行，检查结论为不符合要求，包含但不限于以下情形：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eastAsia="仿宋_GB2312"/>
              </w:rPr>
              <w:t>对使用者造成危害或者存在健康风险；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eastAsia="仿宋_GB2312"/>
              </w:rPr>
              <w:t>与</w:t>
            </w:r>
            <w:r>
              <w:rPr>
                <w:rFonts w:eastAsia="仿宋_GB2312"/>
              </w:rPr>
              <w:t>GMP</w:t>
            </w:r>
            <w:r>
              <w:rPr>
                <w:rFonts w:eastAsia="仿宋_GB2312"/>
              </w:rPr>
              <w:t>要求有严重偏离，给产品质量带来严重风险；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eastAsia="仿宋_GB2312"/>
              </w:rPr>
              <w:t>有编造生产、检验记录，药品生产过程控制、质量控制的记录和数据不真实；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eastAsia="仿宋_GB2312"/>
              </w:rPr>
              <w:t>发现严重缺陷或者多项关联主要缺陷，经综合分析表明质量管理体系中某一系统不能有效运行。</w:t>
            </w:r>
          </w:p>
        </w:tc>
        <w:tc>
          <w:tcPr>
            <w:tcW w:w="6512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lastRenderedPageBreak/>
              <w:t>药品生产企业现场检查结论的评定标准：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（一）未发现缺陷或者缺陷质量安全风险轻微、质量管理体系比较健全的，检查结论为符合要求。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（二）发现缺陷有一定质量安全风险，但质量管理体系基本健全，检查结</w:t>
            </w:r>
            <w:r>
              <w:rPr>
                <w:rFonts w:eastAsia="仿宋_GB2312"/>
              </w:rPr>
              <w:t>论为待整改后评定，包含但不限于以下情形：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eastAsia="仿宋_GB2312"/>
              </w:rPr>
              <w:t>与《药品生产质量管理规范》（以下简称</w:t>
            </w:r>
            <w:r>
              <w:rPr>
                <w:rFonts w:eastAsia="仿宋_GB2312"/>
              </w:rPr>
              <w:t>GMP</w:t>
            </w:r>
            <w:r>
              <w:rPr>
                <w:rFonts w:eastAsia="仿宋_GB2312"/>
              </w:rPr>
              <w:t>）要求有偏</w:t>
            </w:r>
            <w:r>
              <w:rPr>
                <w:rFonts w:eastAsia="仿宋_GB2312"/>
              </w:rPr>
              <w:lastRenderedPageBreak/>
              <w:t>离，可能给产品质量带来一定风险；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eastAsia="仿宋_GB2312"/>
              </w:rPr>
              <w:t>发现主要缺陷或者多项关联一般缺陷，经综合分析表明质量管理体系中某一系统不完善。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（三）发现缺陷为严重质量安全风险，质量体系不能有效运行，检查结论为不符合要求，包含但不限于以下情形：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eastAsia="仿宋_GB2312"/>
              </w:rPr>
              <w:t>对使用者造成危害或者存在健康风险；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eastAsia="仿宋_GB2312"/>
              </w:rPr>
              <w:t>与</w:t>
            </w:r>
            <w:r>
              <w:rPr>
                <w:rFonts w:eastAsia="仿宋_GB2312"/>
              </w:rPr>
              <w:t>GMP</w:t>
            </w:r>
            <w:r>
              <w:rPr>
                <w:rFonts w:eastAsia="仿宋_GB2312"/>
              </w:rPr>
              <w:t>要求有严重偏离，给产品质量带来严重风险；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eastAsia="仿宋_GB2312"/>
              </w:rPr>
              <w:t>有编造生产、检验记录，药品生产过程控制、质量控制的记录和数据不真实；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eastAsia="仿宋_GB2312"/>
              </w:rPr>
              <w:t>发现严重缺陷或者多项关</w:t>
            </w:r>
            <w:r>
              <w:rPr>
                <w:rFonts w:eastAsia="仿宋_GB2312"/>
              </w:rPr>
              <w:t>联主要缺陷，经综合分析表明质量管理体系中某一系统不能有效运行。</w:t>
            </w:r>
          </w:p>
        </w:tc>
      </w:tr>
      <w:tr w:rsidR="00000000">
        <w:trPr>
          <w:trHeight w:val="5373"/>
          <w:jc w:val="center"/>
        </w:trPr>
        <w:tc>
          <w:tcPr>
            <w:tcW w:w="1575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第二十八条</w:t>
            </w:r>
          </w:p>
        </w:tc>
        <w:tc>
          <w:tcPr>
            <w:tcW w:w="6297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药品经营企业现场检查结论和综合评定结论的评定标准：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（一）未发现缺陷的，检查结论为符合要求。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（二）发现一般缺陷或者主要缺陷，但不影响整体药品质量管理体系运行，不对药品经营环节药品质量造成影响，检查结论为基本符合要求，包含但不限于以下情形：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eastAsia="仿宋_GB2312"/>
              </w:rPr>
              <w:t>与《药品经营质量管理规范》（以下简称</w:t>
            </w:r>
            <w:r>
              <w:rPr>
                <w:rFonts w:eastAsia="仿宋_GB2312"/>
              </w:rPr>
              <w:t>GSP</w:t>
            </w:r>
            <w:r>
              <w:rPr>
                <w:rFonts w:eastAsia="仿宋_GB2312"/>
              </w:rPr>
              <w:t>）有偏离，会引发低等级质量安全风险，但不影响药品质量的行为；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eastAsia="仿宋_GB2312"/>
              </w:rPr>
              <w:t>计算机系统、质量管理体系文件不完善，结合实际经综合分析判定只对药品质量管理体系运</w:t>
            </w:r>
            <w:r>
              <w:rPr>
                <w:rFonts w:eastAsia="仿宋_GB2312"/>
              </w:rPr>
              <w:t>行产生一般影响。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（三）发现严重缺陷，或者发现的主要缺陷和一般缺陷涉及企业质量管理体系运行，可能引发较严重质量安全风险，检查结论为不符合要求，包含但不限于以下情况：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eastAsia="仿宋_GB2312"/>
              </w:rPr>
              <w:t>企业质量负责人、质量管理部门负责人未负责药品质量管理工作，不能正常履行职责；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eastAsia="仿宋_GB2312"/>
              </w:rPr>
              <w:t>企业一直未按</w:t>
            </w:r>
            <w:r>
              <w:rPr>
                <w:rFonts w:eastAsia="仿宋_GB2312"/>
              </w:rPr>
              <w:t>GSP</w:t>
            </w:r>
            <w:r>
              <w:rPr>
                <w:rFonts w:eastAsia="仿宋_GB2312"/>
              </w:rPr>
              <w:t>要求使用计算机系统；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eastAsia="仿宋_GB2312"/>
              </w:rPr>
              <w:t>储存、运输过程中存在对药品质量产生影响的行为。</w:t>
            </w:r>
          </w:p>
        </w:tc>
        <w:tc>
          <w:tcPr>
            <w:tcW w:w="6512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药品经营企业现场检查结论的评定标准：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（一）未发现缺陷的，检查结论为符合要求。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（二）发现一般缺陷或者主要缺陷，但不影响整体药品质量管理体系运行，不对药品经营环节药品质</w:t>
            </w:r>
            <w:r>
              <w:rPr>
                <w:rFonts w:eastAsia="仿宋_GB2312"/>
              </w:rPr>
              <w:t>量造成影响，检查结论为待整改后评定，包含但不限于以下情形：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eastAsia="仿宋_GB2312"/>
              </w:rPr>
              <w:t>与《药品经营质量管理规范》（以下简称</w:t>
            </w:r>
            <w:r>
              <w:rPr>
                <w:rFonts w:eastAsia="仿宋_GB2312"/>
              </w:rPr>
              <w:t>GSP</w:t>
            </w:r>
            <w:r>
              <w:rPr>
                <w:rFonts w:eastAsia="仿宋_GB2312"/>
              </w:rPr>
              <w:t>）有偏离，会引发低等级质量安全风险，但不影响药品质量的行为；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eastAsia="仿宋_GB2312"/>
              </w:rPr>
              <w:t>计算机系统、质量管理体系文件不完善，结合实际经综合分析判定只对药品质量管理体系运行产生一般影响。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（三）发现严重缺陷，或者发现的主要缺陷和一般缺陷涉及企业质量管理体系运行，可能引发较严重质量安全风险，检查结论为不符合要求，包含但不限于以下情况：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eastAsia="仿宋_GB2312"/>
              </w:rPr>
              <w:t>企业质量负责人、质量管理部门负责人未负责药品质量管理工作，不能正常履行职责；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eastAsia="仿宋_GB2312"/>
              </w:rPr>
              <w:t>企业一直</w:t>
            </w:r>
            <w:r>
              <w:rPr>
                <w:rFonts w:eastAsia="仿宋_GB2312"/>
              </w:rPr>
              <w:t>未按</w:t>
            </w:r>
            <w:r>
              <w:rPr>
                <w:rFonts w:eastAsia="仿宋_GB2312"/>
              </w:rPr>
              <w:t>GSP</w:t>
            </w:r>
            <w:r>
              <w:rPr>
                <w:rFonts w:eastAsia="仿宋_GB2312"/>
              </w:rPr>
              <w:t>要求使用计算机系统；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eastAsia="仿宋_GB2312"/>
              </w:rPr>
              <w:t>储存、运输过程中存在对药品质量产生影响的行为。</w:t>
            </w:r>
          </w:p>
        </w:tc>
      </w:tr>
      <w:tr w:rsidR="00000000">
        <w:trPr>
          <w:trHeight w:val="2902"/>
          <w:jc w:val="center"/>
        </w:trPr>
        <w:tc>
          <w:tcPr>
            <w:tcW w:w="1575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新增</w:t>
            </w:r>
            <w:r>
              <w:rPr>
                <w:rFonts w:eastAsia="仿宋_GB2312"/>
              </w:rPr>
              <w:t>第二十九条</w:t>
            </w:r>
          </w:p>
        </w:tc>
        <w:tc>
          <w:tcPr>
            <w:tcW w:w="6297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/</w:t>
            </w:r>
          </w:p>
        </w:tc>
        <w:tc>
          <w:tcPr>
            <w:tcW w:w="6512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综合评定结论的评定标准：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（一）未发现缺陷或者缺陷质量安全风险轻微、质量管理体系比较健全的，或者发现缺陷有一定质量安全风险，但质量管理体系基本健全，企业整改后质量管理体系能够有效运行的，评定结论为符合要求。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（二）发现缺陷有严重质量安全风险，质量管理体系不能有效运行的，或发现缺陷有一定质量安全风险，但企业整改后质量管理体系仍不能有效运行的，评定结论为不符合要求。</w:t>
            </w:r>
          </w:p>
        </w:tc>
      </w:tr>
      <w:tr w:rsidR="00000000">
        <w:trPr>
          <w:trHeight w:val="4535"/>
          <w:jc w:val="center"/>
        </w:trPr>
        <w:tc>
          <w:tcPr>
            <w:tcW w:w="1575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第三十条（</w:t>
            </w:r>
            <w:r>
              <w:rPr>
                <w:rFonts w:eastAsia="仿宋_GB2312"/>
              </w:rPr>
              <w:t>原第</w:t>
            </w:r>
            <w:r>
              <w:rPr>
                <w:rFonts w:eastAsia="仿宋_GB2312"/>
              </w:rPr>
              <w:t>二十九</w:t>
            </w:r>
            <w:r>
              <w:rPr>
                <w:rFonts w:eastAsia="仿宋_GB2312"/>
              </w:rPr>
              <w:t>条</w:t>
            </w:r>
            <w:r>
              <w:rPr>
                <w:rFonts w:eastAsia="仿宋_GB2312" w:hint="eastAsia"/>
              </w:rPr>
              <w:t>）</w:t>
            </w:r>
          </w:p>
        </w:tc>
        <w:tc>
          <w:tcPr>
            <w:tcW w:w="6297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派出检查单位</w:t>
            </w:r>
            <w:r>
              <w:rPr>
                <w:rFonts w:eastAsia="仿宋_GB2312"/>
              </w:rPr>
              <w:t>应当在自收到现场检查报告后</w:t>
            </w:r>
            <w:r>
              <w:rPr>
                <w:rFonts w:eastAsia="仿宋_GB2312"/>
              </w:rPr>
              <w:t>规定时限内完成审核</w:t>
            </w:r>
            <w:r>
              <w:rPr>
                <w:rFonts w:eastAsia="仿宋_GB2312"/>
              </w:rPr>
              <w:t>，形成综合评定结论。药品检查机构根据综合评定结论出具《药品检查综合评定报告书》报药品监督管理部门。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药品监督管理部门应当及时将综合评定结论告知被检查单位。</w:t>
            </w:r>
          </w:p>
        </w:tc>
        <w:tc>
          <w:tcPr>
            <w:tcW w:w="6512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派出检查单位应当在自收到现场检查报告后</w:t>
            </w:r>
            <w:r>
              <w:rPr>
                <w:rFonts w:eastAsia="仿宋_GB2312"/>
              </w:rPr>
              <w:t>15</w:t>
            </w:r>
            <w:r>
              <w:rPr>
                <w:rFonts w:eastAsia="仿宋_GB2312"/>
              </w:rPr>
              <w:t>个工作日内对现场检查报告进行审核，并形成审核意见。必要时可对缺陷项目和检查结论进行重新调整和认定，并及时将调整后的缺陷项目提供给被检查单位。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  <w:lang w:val="en"/>
              </w:rPr>
            </w:pPr>
            <w:r>
              <w:rPr>
                <w:rFonts w:eastAsia="仿宋_GB2312"/>
              </w:rPr>
              <w:t>审核后检查结论为待整改后评定的，派出检查单位应当在自收到整改报告后</w:t>
            </w:r>
            <w:r>
              <w:rPr>
                <w:rFonts w:eastAsia="仿宋_GB2312"/>
              </w:rPr>
              <w:t>20</w:t>
            </w:r>
            <w:r>
              <w:rPr>
                <w:rFonts w:eastAsia="仿宋_GB2312"/>
              </w:rPr>
              <w:t>个工作日内，形成综合评定结论，出具《药品检查综合评定报告书</w:t>
            </w:r>
            <w:r>
              <w:rPr>
                <w:rFonts w:eastAsia="仿宋_GB2312"/>
              </w:rPr>
              <w:t>》，并报送药品监督管理部门；审核后检查结论为符合要求或不符合要求的，派出检查单位应当自结论认定之日起</w:t>
            </w:r>
            <w:r>
              <w:rPr>
                <w:rFonts w:eastAsia="仿宋_GB2312"/>
              </w:rPr>
              <w:t>5</w:t>
            </w:r>
            <w:r>
              <w:rPr>
                <w:rFonts w:eastAsia="仿宋_GB2312"/>
              </w:rPr>
              <w:t>个工作日内，形成综合评定结论，出具《药品检查综合评定报告书》，并报送药品监督管理部门。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  <w:lang w:val="en"/>
              </w:rPr>
            </w:pPr>
            <w:r>
              <w:rPr>
                <w:rFonts w:eastAsia="仿宋_GB2312"/>
              </w:rPr>
              <w:t>药品监督管理部门应当根据《药品检查综合评定报告书》及相关证据材料，出具《药品</w:t>
            </w:r>
            <w:r>
              <w:rPr>
                <w:rFonts w:eastAsia="仿宋_GB2312"/>
              </w:rPr>
              <w:t>GMP</w:t>
            </w:r>
            <w:r>
              <w:rPr>
                <w:rFonts w:eastAsia="仿宋_GB2312"/>
                <w:lang w:val="en"/>
              </w:rPr>
              <w:t>/GSP</w:t>
            </w:r>
            <w:r>
              <w:rPr>
                <w:rFonts w:eastAsia="仿宋_GB2312"/>
              </w:rPr>
              <w:t>符合性检查告知书》，并及时提供给被检查单位。</w:t>
            </w:r>
          </w:p>
        </w:tc>
      </w:tr>
      <w:tr w:rsidR="00000000">
        <w:trPr>
          <w:trHeight w:val="1422"/>
          <w:jc w:val="center"/>
        </w:trPr>
        <w:tc>
          <w:tcPr>
            <w:tcW w:w="1575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第三十二条（原</w:t>
            </w:r>
            <w:r>
              <w:rPr>
                <w:rFonts w:eastAsia="仿宋_GB2312"/>
              </w:rPr>
              <w:t>第三十一条</w:t>
            </w:r>
            <w:r>
              <w:rPr>
                <w:rFonts w:eastAsia="仿宋_GB2312" w:hint="eastAsia"/>
              </w:rPr>
              <w:t>）</w:t>
            </w:r>
          </w:p>
        </w:tc>
        <w:tc>
          <w:tcPr>
            <w:tcW w:w="6297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药品检查机构组织的检查按照本程序执行。药品监督管理部门自行开展的检查，除本办法第十五条、第十六条、第十七条、第十九条、第二十一条、第二十三条程序外，根据实际</w:t>
            </w:r>
            <w:r>
              <w:rPr>
                <w:rFonts w:eastAsia="仿宋_GB2312"/>
              </w:rPr>
              <w:t>需要可以简化其他程序。</w:t>
            </w:r>
          </w:p>
        </w:tc>
        <w:tc>
          <w:tcPr>
            <w:tcW w:w="6512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药品常规检查按照本程序执行。</w:t>
            </w:r>
            <w:r>
              <w:rPr>
                <w:rFonts w:eastAsia="仿宋_GB2312"/>
              </w:rPr>
              <w:t>许可检查、有因检查和其他检查，根据实际需要可以简化其他程序，本办法第十五条、第十六条、第十七条、第十九条、第二十一条、第二十三条程序除外。</w:t>
            </w:r>
          </w:p>
        </w:tc>
      </w:tr>
      <w:tr w:rsidR="00000000">
        <w:trPr>
          <w:trHeight w:val="2602"/>
          <w:jc w:val="center"/>
        </w:trPr>
        <w:tc>
          <w:tcPr>
            <w:tcW w:w="1575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第三十三条（原</w:t>
            </w:r>
            <w:r>
              <w:rPr>
                <w:rFonts w:eastAsia="仿宋_GB2312"/>
              </w:rPr>
              <w:t>第三十二条</w:t>
            </w:r>
            <w:r>
              <w:rPr>
                <w:rFonts w:eastAsia="仿宋_GB2312" w:hint="eastAsia"/>
              </w:rPr>
              <w:t>）</w:t>
            </w:r>
          </w:p>
        </w:tc>
        <w:tc>
          <w:tcPr>
            <w:tcW w:w="6297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现场检查结束后，被检查单位应当在</w:t>
            </w:r>
            <w:r>
              <w:rPr>
                <w:rFonts w:eastAsia="仿宋_GB2312"/>
              </w:rPr>
              <w:t>20</w:t>
            </w:r>
            <w:r>
              <w:rPr>
                <w:rFonts w:eastAsia="仿宋_GB2312"/>
              </w:rPr>
              <w:t>个工作日内针对缺陷项目进行整改；无法按期完成整改的，应当制定切实可行的整改计划，并作为对应缺陷的整改完成情况列入整改报告，整改报告应当提交给派出检查单位。</w:t>
            </w:r>
          </w:p>
        </w:tc>
        <w:tc>
          <w:tcPr>
            <w:tcW w:w="6512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现场检查结束后，被检查单位应当在</w:t>
            </w:r>
            <w:r>
              <w:rPr>
                <w:rFonts w:eastAsia="仿宋_GB2312"/>
              </w:rPr>
              <w:t>20</w:t>
            </w:r>
            <w:r>
              <w:rPr>
                <w:rFonts w:eastAsia="仿宋_GB2312"/>
              </w:rPr>
              <w:t>个工作日内针对缺陷项目进行整改；</w:t>
            </w:r>
            <w:r>
              <w:rPr>
                <w:rFonts w:eastAsia="仿宋_GB2312" w:hint="eastAsia"/>
              </w:rPr>
              <w:t>缺陷</w:t>
            </w:r>
            <w:r>
              <w:rPr>
                <w:rFonts w:eastAsia="仿宋_GB2312"/>
              </w:rPr>
              <w:t>项目经派出检查单位审核后作</w:t>
            </w:r>
            <w:r>
              <w:rPr>
                <w:rFonts w:eastAsia="仿宋_GB2312"/>
              </w:rPr>
              <w:t>出调整重新发放的，整改时限可延长</w:t>
            </w:r>
            <w:r>
              <w:rPr>
                <w:rFonts w:eastAsia="仿宋_GB2312"/>
              </w:rPr>
              <w:t>10</w:t>
            </w:r>
            <w:r>
              <w:rPr>
                <w:rFonts w:eastAsia="仿宋_GB2312"/>
              </w:rPr>
              <w:t>个工作日；</w:t>
            </w:r>
            <w:r>
              <w:rPr>
                <w:rFonts w:eastAsia="仿宋_GB2312"/>
              </w:rPr>
              <w:t>无法按期完成整改的，应当制定切实可行的整改计划，并作为对应缺陷的整改完成情况列入整改报告，整改报告应当提交给派出检查单位。被检查单位在整改期间应当主动结合发现的缺陷和风险，采取必要的风险防控措施。</w:t>
            </w:r>
          </w:p>
        </w:tc>
      </w:tr>
      <w:tr w:rsidR="00000000">
        <w:trPr>
          <w:jc w:val="center"/>
        </w:trPr>
        <w:tc>
          <w:tcPr>
            <w:tcW w:w="1575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第六十</w:t>
            </w:r>
            <w:r>
              <w:rPr>
                <w:rFonts w:eastAsia="仿宋_GB2312" w:hint="eastAsia"/>
              </w:rPr>
              <w:t>三</w:t>
            </w:r>
            <w:r>
              <w:rPr>
                <w:rFonts w:eastAsia="仿宋_GB2312"/>
              </w:rPr>
              <w:t>条</w:t>
            </w:r>
            <w:r>
              <w:rPr>
                <w:rFonts w:eastAsia="仿宋_GB2312" w:hint="eastAsia"/>
              </w:rPr>
              <w:t>（原</w:t>
            </w:r>
            <w:r>
              <w:rPr>
                <w:rFonts w:eastAsia="仿宋_GB2312"/>
              </w:rPr>
              <w:t>第六十二条</w:t>
            </w:r>
            <w:r>
              <w:rPr>
                <w:rFonts w:eastAsia="仿宋_GB2312" w:hint="eastAsia"/>
              </w:rPr>
              <w:t>）</w:t>
            </w:r>
          </w:p>
        </w:tc>
        <w:tc>
          <w:tcPr>
            <w:tcW w:w="6297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药品监督管理部门根据《药品检查综合评定报告书》或者综合评定结论，作出相应处理。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综合评定结论为符合要求的，药品监督管理部门或者药品检查机构应当将现场检查报告、《药品检查综合评定报告书》及相关证据材料、整改报告等进行整理归档保存。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综合评定</w:t>
            </w:r>
            <w:r>
              <w:rPr>
                <w:rFonts w:eastAsia="仿宋_GB2312"/>
              </w:rPr>
              <w:t>结论为基本符合要求的，药品监督管理部门应当按照《中华人民共和国药品管理法》第九十九条的规定采取相应的行政处理和风险控制措施，并将现场检查报告、《药品检查综合评定报告书》及相关证据材料、整改报告、行政处理和风险控制措施相关资料等进行整理归档保存。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综合评定结论为不符合要求的，药品监督管理部门应当第一时间采取暂停生产、销售、使用、进口等风险控制措施，消除安全隐患。除首次申请相关许可证的情形外，药品监督管理部门应当按照《中华人民共和国药品管理法》第一百二十六条等相关规定进行处理，并将现场检查报告、《药品检查综合评</w:t>
            </w:r>
            <w:r>
              <w:rPr>
                <w:rFonts w:eastAsia="仿宋_GB2312"/>
              </w:rPr>
              <w:t>定报告书》及相关证据材料、行政处理相关案卷资料等进行整理归档保存。</w:t>
            </w:r>
          </w:p>
        </w:tc>
        <w:tc>
          <w:tcPr>
            <w:tcW w:w="6512" w:type="dxa"/>
            <w:vAlign w:val="center"/>
          </w:tcPr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药品监督管理部门根据《药品检查综合评定报告书》</w:t>
            </w:r>
            <w:r>
              <w:rPr>
                <w:rFonts w:eastAsia="仿宋_GB2312" w:hint="eastAsia"/>
              </w:rPr>
              <w:t>及相关证据材料</w:t>
            </w:r>
            <w:r>
              <w:rPr>
                <w:rFonts w:eastAsia="仿宋_GB2312"/>
              </w:rPr>
              <w:t>，作出相应处理</w:t>
            </w:r>
            <w:r>
              <w:rPr>
                <w:rFonts w:eastAsia="仿宋_GB2312" w:hint="eastAsia"/>
              </w:rPr>
              <w:t>，并及时将监督检查信息更新到药品安全信用档案中</w:t>
            </w:r>
            <w:r>
              <w:rPr>
                <w:rFonts w:eastAsia="仿宋_GB2312"/>
              </w:rPr>
              <w:t>。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药品监督管理部门应当将现场检查报告、整改报告、《药品检查综合评定报告书》及相关证据材料、风险控制措施和行政处理相关案卷资料等进行整理归档保存。</w:t>
            </w:r>
          </w:p>
          <w:p w:rsidR="00000000" w:rsidRDefault="00274368">
            <w:pPr>
              <w:pStyle w:val="a7"/>
              <w:widowControl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eastAsia="仿宋_GB2312"/>
              </w:rPr>
              <w:t>对于现场检查时发现缺陷有一定质量风险，经整改后综合评定结论为符合要求的，药品监督管理部门必要时还应采取告诫、约谈、限期整改等风险控制措施。对于综合评定结论为不符合要求的，药品监</w:t>
            </w:r>
            <w:r>
              <w:rPr>
                <w:rFonts w:eastAsia="仿宋_GB2312"/>
              </w:rPr>
              <w:t>督管理部门应当第一时间采取暂停生产、销售、使用、进口等风险控制措施，消除安全隐患。除首次申请相关许可证的情形外，药品监督管理部门应当按照《中华人民共和国药品管理法》第一百二十六条等相关规定进行处理。</w:t>
            </w:r>
          </w:p>
        </w:tc>
      </w:tr>
    </w:tbl>
    <w:p w:rsidR="00274368" w:rsidRDefault="00274368">
      <w:pPr>
        <w:rPr>
          <w:rFonts w:ascii="黑体" w:eastAsia="黑体" w:hAnsi="黑体" w:cs="黑体" w:hint="eastAsia"/>
          <w:sz w:val="32"/>
          <w:szCs w:val="32"/>
        </w:rPr>
      </w:pPr>
    </w:p>
    <w:sectPr w:rsidR="00274368">
      <w:footerReference w:type="even" r:id="rId6"/>
      <w:footerReference w:type="default" r:id="rId7"/>
      <w:pgSz w:w="16838" w:h="11906" w:orient="landscape"/>
      <w:pgMar w:top="1134" w:right="1134" w:bottom="1134" w:left="1134" w:header="851" w:footer="567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368" w:rsidRDefault="00274368">
      <w:r>
        <w:separator/>
      </w:r>
    </w:p>
  </w:endnote>
  <w:endnote w:type="continuationSeparator" w:id="0">
    <w:p w:rsidR="00274368" w:rsidRDefault="0027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74368">
    <w:pPr>
      <w:pStyle w:val="a5"/>
      <w:ind w:firstLineChars="100" w:firstLine="28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74368">
    <w:pPr>
      <w:pStyle w:val="a5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0C3B39" w:rsidRPr="000C3B39">
      <w:rPr>
        <w:noProof/>
        <w:sz w:val="28"/>
        <w:szCs w:val="28"/>
        <w:lang w:val="zh-CN" w:eastAsia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368" w:rsidRDefault="00274368">
      <w:r>
        <w:separator/>
      </w:r>
    </w:p>
  </w:footnote>
  <w:footnote w:type="continuationSeparator" w:id="0">
    <w:p w:rsidR="00274368" w:rsidRDefault="00274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9"/>
  <w:drawingGridVerticalSpacing w:val="158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0C3B39"/>
    <w:rsid w:val="00101F08"/>
    <w:rsid w:val="00104873"/>
    <w:rsid w:val="00143BFB"/>
    <w:rsid w:val="001666C7"/>
    <w:rsid w:val="00171D86"/>
    <w:rsid w:val="001723F7"/>
    <w:rsid w:val="00172AF5"/>
    <w:rsid w:val="001754B2"/>
    <w:rsid w:val="00175EF6"/>
    <w:rsid w:val="001A0347"/>
    <w:rsid w:val="001B13F7"/>
    <w:rsid w:val="001D04AF"/>
    <w:rsid w:val="00203EBB"/>
    <w:rsid w:val="0024221B"/>
    <w:rsid w:val="00261AD8"/>
    <w:rsid w:val="00266D2D"/>
    <w:rsid w:val="00270EF4"/>
    <w:rsid w:val="00274368"/>
    <w:rsid w:val="00283CBF"/>
    <w:rsid w:val="002A0CC3"/>
    <w:rsid w:val="002A354F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3B0E"/>
    <w:rsid w:val="0035031B"/>
    <w:rsid w:val="003547ED"/>
    <w:rsid w:val="0036326B"/>
    <w:rsid w:val="00365874"/>
    <w:rsid w:val="003761E7"/>
    <w:rsid w:val="00381E57"/>
    <w:rsid w:val="00383A74"/>
    <w:rsid w:val="0039075A"/>
    <w:rsid w:val="003A10DE"/>
    <w:rsid w:val="003F5153"/>
    <w:rsid w:val="00400BB6"/>
    <w:rsid w:val="00406655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603683"/>
    <w:rsid w:val="00614407"/>
    <w:rsid w:val="00620134"/>
    <w:rsid w:val="0062209B"/>
    <w:rsid w:val="00626117"/>
    <w:rsid w:val="00627297"/>
    <w:rsid w:val="00632B3B"/>
    <w:rsid w:val="006349DE"/>
    <w:rsid w:val="00646140"/>
    <w:rsid w:val="0064664B"/>
    <w:rsid w:val="00660670"/>
    <w:rsid w:val="0067409E"/>
    <w:rsid w:val="00683227"/>
    <w:rsid w:val="006B6A1D"/>
    <w:rsid w:val="006C20D6"/>
    <w:rsid w:val="006C50E4"/>
    <w:rsid w:val="006E0A51"/>
    <w:rsid w:val="006F7A06"/>
    <w:rsid w:val="007045D9"/>
    <w:rsid w:val="00724899"/>
    <w:rsid w:val="00727597"/>
    <w:rsid w:val="00754F98"/>
    <w:rsid w:val="00766D9A"/>
    <w:rsid w:val="007A3E48"/>
    <w:rsid w:val="007B051B"/>
    <w:rsid w:val="007C3B60"/>
    <w:rsid w:val="007C77DD"/>
    <w:rsid w:val="007C7949"/>
    <w:rsid w:val="00810BF8"/>
    <w:rsid w:val="00834B83"/>
    <w:rsid w:val="00843985"/>
    <w:rsid w:val="00871284"/>
    <w:rsid w:val="008717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910D69"/>
    <w:rsid w:val="00926229"/>
    <w:rsid w:val="00935839"/>
    <w:rsid w:val="00944679"/>
    <w:rsid w:val="00953CE3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362BC"/>
    <w:rsid w:val="00B45F6B"/>
    <w:rsid w:val="00B7175F"/>
    <w:rsid w:val="00B83185"/>
    <w:rsid w:val="00B92DE4"/>
    <w:rsid w:val="00BA76F9"/>
    <w:rsid w:val="00BC5211"/>
    <w:rsid w:val="00BE381C"/>
    <w:rsid w:val="00BF0CAE"/>
    <w:rsid w:val="00BF3902"/>
    <w:rsid w:val="00C0026F"/>
    <w:rsid w:val="00C04F7F"/>
    <w:rsid w:val="00C31370"/>
    <w:rsid w:val="00C334E0"/>
    <w:rsid w:val="00C42C13"/>
    <w:rsid w:val="00C475A9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67D7"/>
    <w:rsid w:val="00D45436"/>
    <w:rsid w:val="00D63096"/>
    <w:rsid w:val="00D669CB"/>
    <w:rsid w:val="00D76928"/>
    <w:rsid w:val="00D91F9F"/>
    <w:rsid w:val="00DA5A22"/>
    <w:rsid w:val="00DD3744"/>
    <w:rsid w:val="00DE7F37"/>
    <w:rsid w:val="00E035B9"/>
    <w:rsid w:val="00E05A99"/>
    <w:rsid w:val="00E23786"/>
    <w:rsid w:val="00E23894"/>
    <w:rsid w:val="00E25F5E"/>
    <w:rsid w:val="00E352DB"/>
    <w:rsid w:val="00E42913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09993055"/>
    <w:rsid w:val="1FFF650A"/>
    <w:rsid w:val="26D734E3"/>
    <w:rsid w:val="2D507037"/>
    <w:rsid w:val="2F5FDE3A"/>
    <w:rsid w:val="311F20B3"/>
    <w:rsid w:val="334D7CFE"/>
    <w:rsid w:val="33B5E3D2"/>
    <w:rsid w:val="3EAF5E1C"/>
    <w:rsid w:val="3FECE644"/>
    <w:rsid w:val="47BED3A6"/>
    <w:rsid w:val="4BB23EAA"/>
    <w:rsid w:val="4F5B9563"/>
    <w:rsid w:val="57CE6FC3"/>
    <w:rsid w:val="5F9FA9C4"/>
    <w:rsid w:val="5FF35187"/>
    <w:rsid w:val="61DFA605"/>
    <w:rsid w:val="669678F9"/>
    <w:rsid w:val="66B0CD5A"/>
    <w:rsid w:val="67FE0242"/>
    <w:rsid w:val="6B1E93C3"/>
    <w:rsid w:val="6C95179E"/>
    <w:rsid w:val="6ED415F7"/>
    <w:rsid w:val="75E7FA71"/>
    <w:rsid w:val="75FF2103"/>
    <w:rsid w:val="778061B1"/>
    <w:rsid w:val="77E4F76A"/>
    <w:rsid w:val="77F7D412"/>
    <w:rsid w:val="78F823E7"/>
    <w:rsid w:val="7AED6C11"/>
    <w:rsid w:val="7B4E21E4"/>
    <w:rsid w:val="7C491389"/>
    <w:rsid w:val="7CFD6FF9"/>
    <w:rsid w:val="7F43E69E"/>
    <w:rsid w:val="7FCFC2A0"/>
    <w:rsid w:val="7FF16356"/>
    <w:rsid w:val="7FF7EF21"/>
    <w:rsid w:val="7FF97263"/>
    <w:rsid w:val="7FFF2519"/>
    <w:rsid w:val="7FFF7944"/>
    <w:rsid w:val="8DFED6DD"/>
    <w:rsid w:val="ADFE1404"/>
    <w:rsid w:val="AEEE9D24"/>
    <w:rsid w:val="B4B61980"/>
    <w:rsid w:val="B5AFB4E2"/>
    <w:rsid w:val="B82D6ED4"/>
    <w:rsid w:val="BE8B53DE"/>
    <w:rsid w:val="CAAB620E"/>
    <w:rsid w:val="CFEFF2C3"/>
    <w:rsid w:val="CFF50C78"/>
    <w:rsid w:val="D397F320"/>
    <w:rsid w:val="DDA5E420"/>
    <w:rsid w:val="DF0FCF83"/>
    <w:rsid w:val="DF6D5E3F"/>
    <w:rsid w:val="DFE7578F"/>
    <w:rsid w:val="EE6764E0"/>
    <w:rsid w:val="EFEE062D"/>
    <w:rsid w:val="EFFB4855"/>
    <w:rsid w:val="EFFF3B21"/>
    <w:rsid w:val="F6BEA868"/>
    <w:rsid w:val="F7BF1F79"/>
    <w:rsid w:val="F7EF6E44"/>
    <w:rsid w:val="F96D8513"/>
    <w:rsid w:val="FBFF5F5B"/>
    <w:rsid w:val="FD7A6512"/>
    <w:rsid w:val="FF4FF698"/>
    <w:rsid w:val="FFEA6A44"/>
    <w:rsid w:val="FFF5127C"/>
    <w:rsid w:val="FFFA9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72528-64A4-459B-B07A-442DAC66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</w:style>
  <w:style w:type="character" w:styleId="aa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3347</Characters>
  <Application>Microsoft Office Word</Application>
  <DocSecurity>0</DocSecurity>
  <Lines>27</Lines>
  <Paragraphs>7</Paragraphs>
  <ScaleCrop>false</ScaleCrop>
  <Company>Xtzj.Com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2023-07-01T08:35:00Z</cp:lastPrinted>
  <dcterms:created xsi:type="dcterms:W3CDTF">2023-06-30T07:04:00Z</dcterms:created>
  <dcterms:modified xsi:type="dcterms:W3CDTF">2023-06-30T07:04:00Z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8D11254CACC0690BC8369E646D4F0BC4</vt:lpwstr>
  </property>
</Properties>
</file>