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D5F75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00000" w:rsidRDefault="007D5F75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7D5F75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盐酸哌替啶注射液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说明书修订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要求</w:t>
      </w:r>
    </w:p>
    <w:p w:rsidR="00000000" w:rsidRDefault="007D5F75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000000" w:rsidRDefault="007D5F75">
      <w:pPr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</w:t>
      </w:r>
      <w:r>
        <w:rPr>
          <w:rFonts w:ascii="黑体" w:eastAsia="黑体" w:hAnsi="黑体" w:hint="eastAsia"/>
          <w:color w:val="000000"/>
          <w:sz w:val="32"/>
          <w:szCs w:val="32"/>
        </w:rPr>
        <w:t>、增加警示语，包括以下内容：</w:t>
      </w:r>
    </w:p>
    <w:p w:rsidR="00000000" w:rsidRDefault="007D5F75">
      <w:pPr>
        <w:spacing w:line="540" w:lineRule="exact"/>
        <w:ind w:firstLineChars="200" w:firstLine="640"/>
        <w:rPr>
          <w:rFonts w:ascii="Times New Roman" w:eastAsia="仿宋_GB2312" w:hAnsi="Times New Roman"/>
          <w:i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使用本品存在成瘾、滥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用和误用的风险，可能</w:t>
      </w:r>
      <w:r>
        <w:rPr>
          <w:rFonts w:ascii="Times New Roman" w:eastAsia="仿宋_GB2312" w:hAnsi="Times New Roman"/>
          <w:color w:val="000000"/>
          <w:sz w:val="32"/>
          <w:szCs w:val="32"/>
        </w:rPr>
        <w:t>导致用药过量和死亡。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用药前应对患者进行评估并在</w:t>
      </w:r>
      <w:r>
        <w:rPr>
          <w:rFonts w:ascii="Times New Roman" w:eastAsia="仿宋_GB2312" w:hAnsi="Times New Roman"/>
          <w:color w:val="000000"/>
          <w:sz w:val="32"/>
          <w:szCs w:val="32"/>
        </w:rPr>
        <w:t>使用本品过程中进行定期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监测。</w:t>
      </w:r>
    </w:p>
    <w:p w:rsidR="00000000" w:rsidRDefault="007D5F75">
      <w:pPr>
        <w:spacing w:line="540" w:lineRule="exact"/>
        <w:ind w:firstLineChars="200" w:firstLine="640"/>
        <w:rPr>
          <w:rFonts w:ascii="Times New Roman" w:eastAsia="仿宋_GB2312" w:hAnsi="Times New Roman"/>
          <w:i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本品可能导致严重的呼吸抑制，危及生命甚至死亡，应密切监护。</w:t>
      </w:r>
    </w:p>
    <w:p w:rsidR="00000000" w:rsidRDefault="007D5F75">
      <w:pPr>
        <w:spacing w:line="540" w:lineRule="exact"/>
        <w:ind w:firstLineChars="250" w:firstLine="80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>
        <w:rPr>
          <w:rFonts w:ascii="黑体" w:eastAsia="黑体" w:hAnsi="黑体" w:hint="eastAsia"/>
          <w:color w:val="000000"/>
          <w:sz w:val="32"/>
          <w:szCs w:val="32"/>
        </w:rPr>
        <w:t>、【不良反应】项下应包含以下内容</w:t>
      </w:r>
    </w:p>
    <w:tbl>
      <w:tblPr>
        <w:tblStyle w:val="a4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4253"/>
      </w:tblGrid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系统器官分类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常见（≥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/100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至＜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1/10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）</w:t>
            </w: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未知（无法从已知数据中估算频率）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胃肠道疾病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恶心、呕吐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尤其是在快速静脉注射后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)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、便秘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胃肠道平滑肌收缩，尤其是在长时间用药后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)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、口干、腹痛、腹泻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神经系统疾病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镇静、眩晕</w:t>
            </w: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震颤、不自主肌肉收缩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例如肌肉抽搐、肌阵孪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)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、癫痫发作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尤其在高剂量情况下、肾功能受损和癫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痫发作风险增加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)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、头晕、嗜睡、头痛、昏迷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皮肤及皮下组织类</w:t>
            </w:r>
          </w:p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疾病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多汗、瘙痒、皮疹、红斑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全身及给药部位各种反应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注射部位疼痛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 xml:space="preserve"> </w:t>
            </w:r>
          </w:p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静脉注射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沿注射静脉皮肤发红、出现丘疹（荨麻疹）</w:t>
            </w:r>
          </w:p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肌肉注射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肌肉坏死、神经损伤</w:t>
            </w:r>
          </w:p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乏力、寒战、发热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心脏疾病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心肌梗塞（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Kounis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综合征症状），心动过速、心动过缓、心悸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血管疾病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低血压、静脉炎、潮红、苍白</w:t>
            </w:r>
            <w:r>
              <w:rPr>
                <w:rFonts w:ascii="Times New Roman" w:eastAsia="仿宋_GB2312" w:hAnsi="Times New Roman" w:hint="eastAsia"/>
                <w:i/>
                <w:color w:val="000000"/>
                <w:sz w:val="22"/>
              </w:rPr>
              <w:t>、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高血压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呼吸道、胸腔和纵隔疾病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呼吸抑制</w:t>
            </w: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支气管痉挛、呃逆（尤其是在快速静脉注射后）、呼吸困难、呼吸急促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免疫系统疾病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过敏反应、类过敏反应、过敏性休克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、超敏反应、因组胺释放引起的瘙痒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lastRenderedPageBreak/>
              <w:t>精神疾病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精神错乱、情绪改变（主要为欣快感、烦躁不安）、认知和感觉障碍（例如决策和感知方面）。在这种情况下可能会出现兴奋、妄想、幻觉等。</w:t>
            </w: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定向障碍、谵妄、药物成瘾、戒断综合症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眼部疾病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瞳孔缩小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尤其是在快速静脉注射后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)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、视物模糊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肝胆疾病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胆管收缩</w:t>
            </w:r>
          </w:p>
        </w:tc>
      </w:tr>
      <w:tr w:rsidR="00000000">
        <w:trPr>
          <w:jc w:val="center"/>
        </w:trPr>
        <w:tc>
          <w:tcPr>
            <w:tcW w:w="2268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肾脏和泌尿系统疾病</w:t>
            </w:r>
          </w:p>
        </w:tc>
        <w:tc>
          <w:tcPr>
            <w:tcW w:w="2977" w:type="dxa"/>
          </w:tcPr>
          <w:p w:rsidR="00000000" w:rsidRDefault="007D5F75">
            <w:pPr>
              <w:spacing w:line="310" w:lineRule="exact"/>
              <w:jc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  <w:tc>
          <w:tcPr>
            <w:tcW w:w="4253" w:type="dxa"/>
          </w:tcPr>
          <w:p w:rsidR="00000000" w:rsidRDefault="007D5F75">
            <w:pPr>
              <w:spacing w:line="310" w:lineRule="exact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排尿不适（如尿潴留）（由于尿道平滑肌收缩，尤其是在长时间用药后）</w:t>
            </w:r>
          </w:p>
        </w:tc>
      </w:tr>
    </w:tbl>
    <w:p w:rsidR="00000000" w:rsidRDefault="007D5F75">
      <w:pPr>
        <w:spacing w:line="280" w:lineRule="exact"/>
        <w:ind w:firstLineChars="200" w:firstLine="480"/>
        <w:rPr>
          <w:rFonts w:ascii="Times New Roman" w:eastAsia="仿宋_GB2312" w:hAnsi="Times New Roman"/>
          <w:color w:val="000000"/>
          <w:sz w:val="24"/>
          <w:szCs w:val="32"/>
        </w:rPr>
      </w:pPr>
      <w:r>
        <w:rPr>
          <w:rFonts w:ascii="Times New Roman" w:eastAsia="仿宋_GB2312" w:hAnsi="Times New Roman" w:hint="eastAsia"/>
          <w:color w:val="000000"/>
          <w:sz w:val="24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24"/>
          <w:szCs w:val="32"/>
        </w:rPr>
        <w:t>）个体心理不良反应在强度和类型上有所不同（取决于性格和用药时长）。</w:t>
      </w:r>
    </w:p>
    <w:p w:rsidR="00000000" w:rsidRDefault="007D5F75">
      <w:pPr>
        <w:spacing w:line="280" w:lineRule="exact"/>
        <w:ind w:firstLineChars="200" w:firstLine="480"/>
        <w:rPr>
          <w:rFonts w:ascii="Times New Roman" w:eastAsia="仿宋_GB2312" w:hAnsi="Times New Roman"/>
          <w:color w:val="000000"/>
          <w:sz w:val="24"/>
          <w:szCs w:val="32"/>
        </w:rPr>
      </w:pPr>
      <w:r>
        <w:rPr>
          <w:rFonts w:ascii="Times New Roman" w:eastAsia="仿宋_GB2312" w:hAnsi="Times New Roman" w:hint="eastAsia"/>
          <w:color w:val="000000"/>
          <w:sz w:val="24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24"/>
          <w:szCs w:val="32"/>
        </w:rPr>
        <w:t>）在同等镇痛剂量下，哌替啶引起的呼吸抑制程度与吗啡相</w:t>
      </w:r>
      <w:r>
        <w:rPr>
          <w:rFonts w:ascii="Times New Roman" w:eastAsia="仿宋_GB2312" w:hAnsi="Times New Roman" w:hint="eastAsia"/>
          <w:color w:val="000000"/>
          <w:sz w:val="24"/>
          <w:szCs w:val="32"/>
        </w:rPr>
        <w:t>同，可导致</w:t>
      </w:r>
      <w:r>
        <w:rPr>
          <w:rFonts w:ascii="Times New Roman" w:eastAsia="仿宋_GB2312" w:hAnsi="Times New Roman" w:hint="eastAsia"/>
          <w:color w:val="000000"/>
          <w:sz w:val="24"/>
          <w:szCs w:val="32"/>
        </w:rPr>
        <w:t>CO</w:t>
      </w:r>
      <w:r>
        <w:rPr>
          <w:rFonts w:ascii="Times New Roman" w:eastAsia="仿宋_GB2312" w:hAnsi="Times New Roman" w:hint="eastAsia"/>
          <w:color w:val="000000"/>
          <w:sz w:val="24"/>
          <w:szCs w:val="32"/>
          <w:vertAlign w:val="subscript"/>
        </w:rPr>
        <w:t>2</w:t>
      </w:r>
      <w:r>
        <w:rPr>
          <w:rFonts w:ascii="Times New Roman" w:eastAsia="仿宋_GB2312" w:hAnsi="Times New Roman" w:hint="eastAsia"/>
          <w:color w:val="000000"/>
          <w:sz w:val="24"/>
          <w:szCs w:val="32"/>
        </w:rPr>
        <w:t>浓度升高和颅内压升高，故在颅内压增高时不宜使用哌替啶。</w:t>
      </w:r>
    </w:p>
    <w:p w:rsidR="00000000" w:rsidRDefault="007D5F75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三、【禁忌】项下应包含以下内容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i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对哌替啶或本品任何成份过敏的患者，有严重呼吸抑制</w:t>
      </w:r>
      <w:r>
        <w:rPr>
          <w:rFonts w:ascii="Times New Roman" w:eastAsia="仿宋_GB2312" w:hAnsi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严重呼吸衰竭、急性</w:t>
      </w:r>
      <w:r>
        <w:rPr>
          <w:rFonts w:ascii="Times New Roman" w:eastAsia="仿宋_GB2312" w:hAnsi="Times New Roman"/>
          <w:color w:val="000000"/>
          <w:sz w:val="32"/>
          <w:szCs w:val="32"/>
        </w:rPr>
        <w:t>或重度支气管哮喘、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严重胃肠道梗阻（包括麻痹性肠梗阻）的患者禁用。严禁与单胺氧化酶抑制剂同用或单胺氧化酶抑制剂停用不足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天的患者禁用。</w:t>
      </w:r>
    </w:p>
    <w:p w:rsidR="00000000" w:rsidRDefault="007D5F75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四、【注意事项】项下应包含以下内容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）药物滥用与成瘾风险：①本品为国家特殊管理的麻醉药品，务必严格遵守国家对麻醉药品的管理条例，医院和病室的贮药处均须加锁，处方颜色应与其他药处方区别开。各级负责保管人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员均应遵守交接班制度，不可稍有疏忽。使用该药医生处方量每次不应超过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常用量。处方留存三年备查。②哌替啶可能导致药物成瘾。在长期用药的情况下，会产生快速耐受性以及心理和生理依赖性。对其他阿片类药物有交叉耐受性。长期用药过程中突然停药时可能会出现戒断综合征。其症状包括心理症状（如躁动不安、焦虑、易怒、沮丧）和生理症状（如出汗、腹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绞痛、呕吐、循环衰竭）等。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）未明确诊断的疼痛，尽可能不用本品，以免掩盖病情贻误诊治。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）肝功能损伤、甲状腺功能不全者、颅脑损伤或颅内压升高者、血容量不足者、肾上腺功能不全者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、有室上性心动过速者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有前列腺疾病（如前列腺肥大）和尿道疾病（如尿道狭窄）的患者（尿潴留风险）、急性腹部不适者慎用。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）注射相关信息：静脉注射后可出现外周血管扩张，血压下降，尤其与酚噻嗪类药物（如氯丙嗪等）以及中枢抑制药并用时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;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静脉注射可能会导致呼吸抑制发作频率增加及加重呼吸抑制，对于老年患者，静脉注射推荐给药剂量后可能会出现严重的低血压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;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胃肠外注射高剂量本品后，导致中枢神经系统的兴奋作用（震颤，不自主的肌肉抽搐等）频率增加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;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已有多次肌肉注射后出现纤维肌病的病例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;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不宜用于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PCA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，特别不能做皮下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PCA;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意勿将药液注射到外周神经干附近，否则产生局麻或神经阻滞。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）本品务必在单胺氧化酶抑制药（如呋喃唑酮、丙卡巴肼等）停用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天以上方可给药，而且应先试用小剂量（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1/4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常用量），否则会发生难以预料的、严重的并发症，临床表现为多汗、肌肉僵直、血压先升高后剧降、呼吸抑制、紫钳、昏迷、高热、惊厥，终致循环虚脱而死亡。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）本品与中枢神经抑制剂合并使用会出现镇静、呼吸抑制、昏迷甚至死亡等风险，仅限于无其他合适替代治疗方案时，才能合并使用，并尽可能减少给药剂量和给药时间，同时密切监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测患者的呼吸抑制和镇静症状及体征。不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建议在本品治疗期间饮酒。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）本品不应与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5-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羟色胺能药物合并使用，否则可能导致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5-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羟色胺综合征。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）本品长期或大剂量使用，会导致哌替啶代谢产物（去甲哌替啶）在体内蓄积，可能减弱其镇痛作用，增加毒性风险。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）有癫痫病史的患者应谨慎使用。若同时患有肾功能不全，则应延长给药间隔或减少给药剂量，否则可能由于代谢产物去甲哌替啶的蓄积而引起癫痫发作。癫痫患者仅可在同时服用抗惊厥药的情况下使用哌替啶。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i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）同其他阿片类药物一样，本品可能导致睡眠相关呼吸障碍，包括中枢性睡眠呼吸暂停（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CSA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）和睡眠相关低氧血症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，呈剂量依赖性，对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CSA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患者应考虑减量使用。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）使用本品期间请勿驾车或操作机器。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）运动员慎用。</w:t>
      </w:r>
    </w:p>
    <w:p w:rsidR="00000000" w:rsidRDefault="007D5F75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五、【孕期及哺乳期妇女用药】项下应包含以下内容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本品能通过胎盘屏障，妊娠期妇女长期使用阿片类药物可能导致新生儿阿片类戒断综合征，严重者可危及新生儿生命，如妊娠期间须持续用药，应告知患者相关风险并密切监测。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本品能分泌入乳汁，哺乳期间应监测其婴儿是否有过度镇静和呼吸抑制。长期使用阿片类药物的母亲停止使用本品或停止母乳喂养时，母乳喂养的婴儿可能出现戒断症状。</w:t>
      </w:r>
    </w:p>
    <w:p w:rsidR="00000000" w:rsidRDefault="007D5F75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六、【儿童用药】项下应包含以下内容</w:t>
      </w:r>
    </w:p>
    <w:p w:rsidR="00000000" w:rsidRDefault="007D5F75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文献报道</w:t>
      </w:r>
      <w:r>
        <w:rPr>
          <w:rFonts w:ascii="仿宋_GB2312" w:eastAsia="仿宋_GB2312" w:hint="eastAsia"/>
          <w:color w:val="000000"/>
          <w:sz w:val="32"/>
          <w:szCs w:val="32"/>
        </w:rPr>
        <w:t>表明，本品在婴幼儿中的清除速度较慢，不良反应风险增加，应权衡利弊使用。</w:t>
      </w:r>
    </w:p>
    <w:p w:rsidR="00000000" w:rsidRDefault="007D5F75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七、【药物相互作用】项下应包含以下内容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CYP3A4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抑制剂和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CYP2B6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抑制剂，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可增加哌替啶的血药浓度，导致药物作用增强或延长。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 xml:space="preserve">CYP3A4 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诱导剂和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 xml:space="preserve">CYP2B6 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诱导剂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可降低哌替啶的血药浓度，导致对哌替啶依赖的患者疗效降低或出现戒断综合征。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利托那韦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利托那韦会导致血浆中代谢物去甲哌替啶的浓度上升，合并使用时应谨慎。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阿昔洛韦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阿昔洛韦会增加哌替啶及其代谢产物去甲哌替啶的血药浓度。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苯妥英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苯妥英可以增强哌替啶在肝脏中的代谢，合并使用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时可能会导致哌替啶的半衰期缩短和生物利用度降低，同时</w:t>
      </w:r>
      <w:r>
        <w:rPr>
          <w:rFonts w:ascii="Times New Roman" w:eastAsia="仿宋_GB2312" w:hAnsi="Times New Roman"/>
          <w:color w:val="000000"/>
          <w:sz w:val="32"/>
          <w:szCs w:val="32"/>
        </w:rPr>
        <w:t>哌替啶的清除率增加，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并导致去甲哌替啶的浓度升高，合并使用时应谨慎。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西咪替丁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西咪替丁会减少哌替啶的清除和分布容积，并减少代谢物去甲哌替啶的生成，合并使用时应谨慎。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苯巴比妥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长期使用苯巴比妥的患者在使用哌替啶时，会导致哌替啶的代谢增加，可能会增加中枢神经系统</w:t>
      </w:r>
      <w:r>
        <w:rPr>
          <w:rFonts w:ascii="Times New Roman" w:eastAsia="仿宋_GB2312" w:hAnsi="Times New Roman"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不良反应。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lastRenderedPageBreak/>
        <w:t>MAO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抑制剂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天内使用过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MAO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抑制剂的患者使用阿片类药物时，可能会出现危及生命的中枢神经系统、呼吸和循环系统的药物相互作用：已有报道，合并用药出现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5-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羟色胺综合征伴有躁动、体温过高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、腹泻、心动过速、出汗、震颤和意识障碍，以及与使用阿片类药物过量时类似的症状，伴有昏迷、严重的呼吸抑制和低血压。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5-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羟色胺药物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哌替啶与其他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5-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羟色胺能药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物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例如选择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性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5-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羟色胺再摄取抑制剂（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SSRIs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5-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羟色胺去甲肾上腺素再摄取抑制剂（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SNRIs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）或圣约翰草制剂（贯叶连翘）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合并使用时，已出现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5-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羟色胺综合征的病例。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中枢神经系统抑制剂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镇静药物（如苯二氮卓类药物或相关药物）和阿片类药物合并使用时，由于中枢抑制作用的相互增强，会增加镇静、呼吸抑制、昏迷甚至死亡的风险。因此应限制其给药剂量和给药时间。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与巴比妥类药物和其他中枢抑制类药物合并使用时，由于中枢神经系统抑制作用增强，可能会出现意识状态下降或呼吸抑制的情况，合并使用时应谨慎。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酒精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酒精和阿片类药物合并使用时，由于中枢抑制作用的相互增强，会增加镇静、呼吸抑制、昏迷甚至死亡的风险。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吩噻嗪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哌替啶和吩噻嗪合并使用时，会增加发生低血压的风险。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阿片受体混合激动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-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拮抗剂类的阿片类镇痛药；部分阿片激动剂类的阿片类镇痛药（如喷他佐辛和丁丙诺啡）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i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可能降低哌替啶的镇痛效果和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或加剧戒断症状。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肌肉松弛药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哌替啶可增强肌肉松弛药的神经肌肉阻滞作用，并加深呼吸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抑制的程度。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利尿剂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同其他阿片类药物一样，哌替啶可通过诱导抗利尿激素的释放而降低利尿药物的疗效。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抗胆碱药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与哌替啶合用可能增加尿潴留和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或严重便秘的风险，还可能导致麻痹性肠梗阻。</w:t>
      </w:r>
    </w:p>
    <w:p w:rsidR="00000000" w:rsidRDefault="007D5F75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其他</w:t>
      </w:r>
    </w:p>
    <w:p w:rsidR="00000000" w:rsidRDefault="007D5F7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应谨慎与其他强效镇痛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药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降低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癫痫发作阈值的药物合并使用。</w:t>
      </w:r>
    </w:p>
    <w:p w:rsidR="00000000" w:rsidRDefault="007D5F75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注：如原批准说明书的安全性内容较本修订要求内容更全面或更严格的，应保留原批准内容。说明书其他内容如与上述修订要求不一致的，应当一并进行修订。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000000" w:rsidRDefault="007D5F75">
      <w:pPr>
        <w:spacing w:line="200" w:lineRule="exact"/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7D5F75">
      <w:pPr>
        <w:spacing w:line="240" w:lineRule="exact"/>
        <w:rPr>
          <w:rFonts w:ascii="仿宋_GB2312" w:eastAsia="仿宋_GB2312" w:hAnsi="华文仿宋" w:hint="eastAsia"/>
          <w:sz w:val="18"/>
          <w:szCs w:val="18"/>
        </w:rPr>
      </w:pPr>
    </w:p>
    <w:p w:rsidR="007D5F75" w:rsidRDefault="007D5F75">
      <w:pPr>
        <w:spacing w:line="240" w:lineRule="exact"/>
        <w:rPr>
          <w:rFonts w:ascii="仿宋_GB2312" w:eastAsia="仿宋_GB2312" w:hAnsi="华文仿宋" w:hint="eastAsia"/>
          <w:sz w:val="18"/>
          <w:szCs w:val="18"/>
        </w:rPr>
      </w:pPr>
    </w:p>
    <w:sectPr w:rsidR="007D5F75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75" w:rsidRDefault="007D5F75">
      <w:r>
        <w:separator/>
      </w:r>
    </w:p>
  </w:endnote>
  <w:endnote w:type="continuationSeparator" w:id="0">
    <w:p w:rsidR="007D5F75" w:rsidRDefault="007D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D7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D5F7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wg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6Yc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BUwg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7D5F7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D7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9340" cy="230505"/>
              <wp:effectExtent l="1905" t="3810" r="0" b="381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D5F7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15FDC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33pt;margin-top:0;width:84.2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" filled="f" stroked="f">
              <v:textbox style="mso-fit-shape-to-text:t" inset="0,0,0,0">
                <w:txbxContent>
                  <w:p w:rsidR="00000000" w:rsidRDefault="007D5F75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15FDC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75" w:rsidRDefault="007D5F75">
      <w:r>
        <w:separator/>
      </w:r>
    </w:p>
  </w:footnote>
  <w:footnote w:type="continuationSeparator" w:id="0">
    <w:p w:rsidR="007D5F75" w:rsidRDefault="007D5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84"/>
    <w:rsid w:val="3EAB0813"/>
    <w:rsid w:val="B3E7955F"/>
    <w:rsid w:val="F5DB32E5"/>
    <w:rsid w:val="00015FDC"/>
    <w:rsid w:val="006D7A3C"/>
    <w:rsid w:val="007D5F75"/>
    <w:rsid w:val="008E08CF"/>
    <w:rsid w:val="00F1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7D0D2D-2540-4EB4-9838-F9F9C11C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2022-12-29T09:01:00Z</dcterms:created>
  <dcterms:modified xsi:type="dcterms:W3CDTF">2022-12-29T09:01:00Z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