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/>
        <w:adjustRightInd w:val="0"/>
        <w:snapToGrid w:val="0"/>
        <w:spacing w:line="594" w:lineRule="exact"/>
        <w:jc w:val="center"/>
        <w:rPr>
          <w:rFonts w:hint="eastAsia" w:ascii="Times New Roman" w:hAnsi="Times New Roman" w:eastAsia="方正小标宋简体" w:cs="方正小标宋简体"/>
          <w:kern w:val="0"/>
          <w:sz w:val="44"/>
          <w:szCs w:val="44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市场监管总局关于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shd w:val="clear" w:color="auto" w:fill="FFFFFF"/>
          <w:lang w:eastAsia="zh-CN" w:bidi="ar"/>
        </w:rPr>
        <w:t>加强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保健食品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shd w:val="clear" w:color="auto" w:fill="FFFFFF"/>
          <w:lang w:eastAsia="zh-CN" w:bidi="ar"/>
        </w:rPr>
        <w:t>标志</w:t>
      </w:r>
    </w:p>
    <w:p>
      <w:pPr>
        <w:widowControl/>
        <w:adjustRightInd w:val="0"/>
        <w:snapToGrid w:val="0"/>
        <w:spacing w:line="594" w:lineRule="exact"/>
        <w:jc w:val="center"/>
        <w:rPr>
          <w:rFonts w:hint="eastAsia" w:ascii="Times New Roman" w:hAnsi="Times New Roman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管理的公告</w:t>
      </w:r>
    </w:p>
    <w:p>
      <w:pPr>
        <w:widowControl/>
        <w:jc w:val="center"/>
        <w:rPr>
          <w:rFonts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>（征求意见稿）</w:t>
      </w:r>
    </w:p>
    <w:p>
      <w:pPr>
        <w:ind w:firstLine="3200" w:firstLineChars="10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2022年第  号</w:t>
      </w:r>
    </w:p>
    <w:p>
      <w:pPr>
        <w:widowControl/>
        <w:adjustRightInd w:val="0"/>
        <w:snapToGrid w:val="0"/>
        <w:spacing w:line="594" w:lineRule="exact"/>
        <w:jc w:val="center"/>
        <w:rPr>
          <w:rFonts w:hint="eastAsia" w:ascii="Times New Roman" w:hAnsi="Times New Roman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为进一步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保健食品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标志</w:t>
      </w:r>
      <w:r>
        <w:rPr>
          <w:rFonts w:hint="eastAsia" w:ascii="Times New Roman" w:hAnsi="Times New Roman" w:eastAsia="仿宋_GB2312" w:cs="仿宋_GB2312"/>
          <w:sz w:val="32"/>
          <w:szCs w:val="32"/>
        </w:rPr>
        <w:t>管理，依据《中华人民共和国食品安全法》及其实施条例等规定，现就有关事项公告如下：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 w:cs="方正仿宋简体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保健食品标志为依法经注册或备案的保健食品的专有标志，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保健食品最小销售包装应当标注保健食品标志。</w:t>
      </w:r>
    </w:p>
    <w:p>
      <w:pPr>
        <w:topLinePunct/>
        <w:spacing w:line="594" w:lineRule="exact"/>
        <w:ind w:firstLine="642"/>
        <w:rPr>
          <w:rFonts w:hint="eastAsia" w:ascii="Times New Roman" w:hAnsi="Times New Roman" w:eastAsia="仿宋_GB2312" w:cs="方正仿宋简体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方正仿宋简体"/>
          <w:kern w:val="0"/>
          <w:sz w:val="32"/>
          <w:szCs w:val="32"/>
          <w:lang w:eastAsia="zh-CN" w:bidi="ar"/>
        </w:rPr>
        <w:t>二、</w:t>
      </w:r>
      <w:r>
        <w:rPr>
          <w:rFonts w:hint="eastAsia" w:ascii="Times New Roman" w:hAnsi="Times New Roman" w:eastAsia="仿宋_GB2312" w:cs="方正仿宋简体"/>
          <w:kern w:val="0"/>
          <w:sz w:val="32"/>
          <w:szCs w:val="32"/>
          <w:lang w:bidi="ar"/>
        </w:rPr>
        <w:t>保健食品标志应当为国家市场监督管理总局规定的图案，按照等比例标注在主要展示版面的左上方，清晰易识别。</w:t>
      </w:r>
    </w:p>
    <w:p>
      <w:pPr>
        <w:topLinePunct/>
        <w:spacing w:line="594" w:lineRule="exact"/>
        <w:ind w:firstLine="642"/>
        <w:rPr>
          <w:rFonts w:hint="eastAsia" w:ascii="Times New Roman" w:hAnsi="Times New Roman" w:eastAsia="仿宋_GB2312" w:cs="方正仿宋简体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方正仿宋简体"/>
          <w:kern w:val="0"/>
          <w:sz w:val="32"/>
          <w:szCs w:val="32"/>
          <w:lang w:bidi="ar"/>
        </w:rPr>
        <w:t>当主要展示版面的表面积大于100平方厘米时，保健食品标志最宽处的宽度不得小于2厘米。当</w:t>
      </w:r>
      <w:r>
        <w:rPr>
          <w:rFonts w:hint="eastAsia" w:ascii="Times New Roman" w:hAnsi="Times New Roman" w:eastAsia="仿宋_GB2312" w:cs="方正仿宋简体"/>
          <w:kern w:val="0"/>
          <w:sz w:val="32"/>
          <w:szCs w:val="32"/>
          <w:lang w:eastAsia="zh-CN" w:bidi="ar"/>
        </w:rPr>
        <w:t>主要展示</w:t>
      </w:r>
      <w:r>
        <w:rPr>
          <w:rFonts w:hint="eastAsia" w:ascii="Times New Roman" w:hAnsi="Times New Roman" w:eastAsia="仿宋_GB2312" w:cs="方正仿宋简体"/>
          <w:kern w:val="0"/>
          <w:sz w:val="32"/>
          <w:szCs w:val="32"/>
          <w:lang w:bidi="ar"/>
        </w:rPr>
        <w:t>版面的表面积小于</w:t>
      </w:r>
      <w:r>
        <w:rPr>
          <w:rFonts w:hint="eastAsia" w:ascii="Times New Roman" w:hAnsi="Times New Roman" w:eastAsia="仿宋_GB2312" w:cs="方正仿宋简体"/>
          <w:kern w:val="0"/>
          <w:sz w:val="32"/>
          <w:szCs w:val="32"/>
          <w:lang w:eastAsia="zh-CN" w:bidi="ar"/>
        </w:rPr>
        <w:t>或</w:t>
      </w:r>
      <w:r>
        <w:rPr>
          <w:rFonts w:hint="eastAsia" w:ascii="Times New Roman" w:hAnsi="Times New Roman" w:eastAsia="仿宋_GB2312" w:cs="方正仿宋简体"/>
          <w:kern w:val="0"/>
          <w:sz w:val="32"/>
          <w:szCs w:val="32"/>
          <w:lang w:bidi="ar"/>
        </w:rPr>
        <w:t>等于100平方厘米时，保健食品标志最宽处的宽度不得小于1厘米。</w:t>
      </w:r>
    </w:p>
    <w:p>
      <w:pPr>
        <w:pStyle w:val="2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cs="方正仿宋简体"/>
          <w:kern w:val="0"/>
          <w:sz w:val="32"/>
          <w:szCs w:val="32"/>
          <w:lang w:eastAsia="zh-CN" w:bidi="ar"/>
        </w:rPr>
        <w:t>三、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保健食品标志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整体比例12</w:t>
      </w:r>
      <w:r>
        <w:rPr>
          <w:rFonts w:hint="eastAsia" w:ascii="Times New Roman" w:hAnsi="Times New Roman" w:cs="仿宋_GB2312"/>
          <w:sz w:val="32"/>
          <w:szCs w:val="32"/>
          <w:lang w:val="en-US" w:eastAsia="zh-CN" w:bidi="ar"/>
        </w:rPr>
        <w:t>: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10（高</w:t>
      </w:r>
      <w:r>
        <w:rPr>
          <w:rFonts w:hint="eastAsia" w:ascii="Times New Roman" w:hAnsi="Times New Roman" w:cs="仿宋_GB2312"/>
          <w:sz w:val="32"/>
          <w:szCs w:val="32"/>
          <w:lang w:val="en-US" w:eastAsia="zh-CN" w:bidi="ar"/>
        </w:rPr>
        <w:t>: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宽 6</w:t>
      </w:r>
      <w:r>
        <w:rPr>
          <w:rFonts w:hint="eastAsia" w:ascii="Times New Roman" w:hAnsi="Times New Roman" w:cs="仿宋_GB2312"/>
          <w:sz w:val="32"/>
          <w:szCs w:val="32"/>
          <w:lang w:val="en-US" w:eastAsia="zh-CN" w:bidi="ar"/>
        </w:rPr>
        <w:t>: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5），帽形图案整体高度：7.1比例尺，宽度</w:t>
      </w:r>
      <w:r>
        <w:rPr>
          <w:rFonts w:hint="eastAsia" w:ascii="Times New Roman" w:hAnsi="Times New Roman" w:cs="仿宋_GB2312"/>
          <w:sz w:val="32"/>
          <w:szCs w:val="32"/>
          <w:lang w:eastAsia="zh-CN" w:bidi="ar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10比例尺，中间球形直径：3.7比例尺，“保健食品”字样高度及宽度：2.4比例尺。印刷标准色CMYK色值：C100 M40 Y0 K15，屏幕标准色RGB色值：R0 G106 B176。字体为黑体。</w:t>
      </w:r>
    </w:p>
    <w:p>
      <w:pPr>
        <w:ind w:firstLine="640" w:firstLineChars="200"/>
        <w:jc w:val="center"/>
        <w:rPr>
          <w:rFonts w:hint="eastAsia" w:ascii="Times New Roman" w:hAnsi="Times New Roman" w:eastAsia="仿宋_GB2312" w:cs="方正仿宋简体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方正仿宋简体"/>
          <w:kern w:val="0"/>
          <w:sz w:val="32"/>
          <w:szCs w:val="32"/>
          <w:lang w:bidi="ar"/>
        </w:rPr>
        <w:drawing>
          <wp:inline distT="0" distB="0" distL="114300" distR="114300">
            <wp:extent cx="3409315" cy="2360930"/>
            <wp:effectExtent l="0" t="0" r="635" b="1270"/>
            <wp:docPr id="1" name="图片 1" descr="36592923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5929235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9315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adjustRightInd w:val="0"/>
        <w:snapToGrid w:val="0"/>
        <w:spacing w:line="594" w:lineRule="exact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四、保健食品生产经营者可以在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生产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经营场所、专区专柜等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位置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使用保健食品标志。保健食品标志可根据实际需要按样式等比例变化，但不得变形、变色。非保健食品不得冒用、盗用保健食品标志。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94" w:lineRule="exact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保健食品批准证书和备案凭证持有人、保健食品生产经营者应当保证上市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保健食品按要求标注保健食品标志。各级市场监督管理部门应加强保健食品标志监督管理。</w:t>
      </w:r>
    </w:p>
    <w:p>
      <w:pPr>
        <w:widowControl/>
        <w:adjustRightInd w:val="0"/>
        <w:snapToGrid w:val="0"/>
        <w:spacing w:line="594" w:lineRule="exact"/>
        <w:ind w:firstLine="640" w:firstLineChars="200"/>
        <w:jc w:val="left"/>
        <w:rPr>
          <w:rFonts w:ascii="Times New Roman" w:hAnsi="Times New Roman" w:eastAsia="仿宋_GB2312" w:cs="仿宋_GB2312"/>
          <w:color w:val="000000"/>
          <w:kern w:val="0"/>
          <w:sz w:val="31"/>
          <w:szCs w:val="31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本公告自202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日起实施。</w:t>
      </w:r>
      <w:r>
        <w:rPr>
          <w:rFonts w:ascii="Times New Roman" w:hAnsi="Times New Roman" w:eastAsia="仿宋_GB2312" w:cs="仿宋_GB2312"/>
          <w:color w:val="000000"/>
          <w:kern w:val="0"/>
          <w:sz w:val="31"/>
          <w:szCs w:val="31"/>
          <w:shd w:val="clear" w:color="auto" w:fill="FFFFFF"/>
          <w:lang w:bidi="ar"/>
        </w:rPr>
        <w:t>此前生产的产品可销售至保质期结束。</w:t>
      </w:r>
    </w:p>
    <w:p>
      <w:pPr>
        <w:widowControl/>
        <w:adjustRightInd w:val="0"/>
        <w:snapToGrid w:val="0"/>
        <w:spacing w:line="594" w:lineRule="exact"/>
        <w:ind w:firstLine="620" w:firstLineChars="200"/>
        <w:jc w:val="left"/>
        <w:rPr>
          <w:rFonts w:ascii="Times New Roman" w:hAnsi="Times New Roman" w:eastAsia="仿宋_GB2312" w:cs="仿宋_GB2312"/>
          <w:color w:val="000000"/>
          <w:kern w:val="0"/>
          <w:sz w:val="31"/>
          <w:szCs w:val="31"/>
          <w:shd w:val="clear" w:color="auto" w:fill="FFFFFF"/>
          <w:lang w:bidi="ar"/>
        </w:rPr>
      </w:pPr>
    </w:p>
    <w:p>
      <w:pPr>
        <w:widowControl/>
        <w:adjustRightInd w:val="0"/>
        <w:snapToGrid w:val="0"/>
        <w:spacing w:line="594" w:lineRule="exact"/>
        <w:jc w:val="left"/>
        <w:rPr>
          <w:rFonts w:ascii="Times New Roman" w:hAnsi="Times New Roman" w:eastAsia="仿宋_GB2312" w:cs="仿宋_GB2312"/>
          <w:color w:val="000000"/>
          <w:kern w:val="0"/>
          <w:sz w:val="31"/>
          <w:szCs w:val="31"/>
          <w:shd w:val="clear" w:color="auto" w:fill="FFFFFF"/>
          <w:lang w:bidi="ar"/>
        </w:rPr>
      </w:pPr>
    </w:p>
    <w:p>
      <w:pPr>
        <w:pStyle w:val="2"/>
      </w:pPr>
    </w:p>
    <w:p>
      <w:pPr>
        <w:adjustRightInd w:val="0"/>
        <w:snapToGrid w:val="0"/>
        <w:spacing w:line="594" w:lineRule="exact"/>
        <w:jc w:val="center"/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                            市场监管总局  </w:t>
      </w:r>
      <w:r>
        <w:rPr>
          <w:rFonts w:hint="eastAsia" w:ascii="Times New Roman" w:hAnsi="Times New Roman" w:eastAsia="仿宋_GB2312" w:cs="仿宋_GB2312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                                    2022年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 日</w:t>
      </w:r>
    </w:p>
    <w:p>
      <w:pPr>
        <w:adjustRightInd w:val="0"/>
        <w:snapToGrid w:val="0"/>
        <w:spacing w:line="594" w:lineRule="exact"/>
        <w:jc w:val="center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e0rEJ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29F28CC"/>
    <w:rsid w:val="7FBD6705"/>
    <w:rsid w:val="FFFF77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oa</cp:lastModifiedBy>
  <dcterms:modified xsi:type="dcterms:W3CDTF">2022-03-21T10:57:07Z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