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sz w:val="32"/>
          <w:szCs w:val="32"/>
        </w:rPr>
      </w:pPr>
      <w:r>
        <w:rPr>
          <w:rFonts w:hint="eastAsia" w:ascii="黑体" w:hAnsi="黑体" w:eastAsia="黑体" w:cs="黑体"/>
          <w:bCs/>
          <w:color w:val="000000"/>
          <w:sz w:val="32"/>
          <w:szCs w:val="32"/>
          <w:highlight w:val="none"/>
        </w:rPr>
        <w:t>附件</w:t>
      </w:r>
      <w:r>
        <w:rPr>
          <w:rFonts w:hint="eastAsia" w:ascii="黑体" w:hAnsi="黑体" w:eastAsia="黑体" w:cs="黑体"/>
          <w:bCs/>
          <w:color w:val="000000"/>
          <w:sz w:val="32"/>
          <w:szCs w:val="32"/>
          <w:highlight w:val="none"/>
          <w:lang w:val="en-US" w:eastAsia="zh-CN"/>
        </w:rPr>
        <w:t>10</w:t>
      </w:r>
      <w:bookmarkStart w:id="0" w:name="_GoBack"/>
      <w:bookmarkEnd w:id="0"/>
      <w:r>
        <w:rPr>
          <w:color w:val="000000"/>
          <w:sz w:val="28"/>
          <w:szCs w:val="28"/>
          <w:highlight w:val="none"/>
        </w:rPr>
        <w:t xml:space="preserve">   </w:t>
      </w:r>
      <w:r>
        <w:rPr>
          <w:sz w:val="24"/>
        </w:rPr>
        <w:t xml:space="preserve">  </w:t>
      </w:r>
    </w:p>
    <w:p>
      <w:pPr>
        <w:snapToGrid w:val="0"/>
        <w:spacing w:line="560" w:lineRule="exact"/>
        <w:jc w:val="center"/>
        <w:rPr>
          <w:rFonts w:eastAsia="仿宋_GB2312"/>
          <w:b/>
          <w:sz w:val="44"/>
          <w:szCs w:val="44"/>
        </w:rPr>
      </w:pPr>
      <w:r>
        <w:rPr>
          <w:rFonts w:hint="eastAsia" w:eastAsia="仿宋_GB2312"/>
          <w:b/>
          <w:sz w:val="44"/>
          <w:szCs w:val="44"/>
        </w:rPr>
        <w:t>《</w:t>
      </w:r>
      <w:r>
        <w:rPr>
          <w:rFonts w:hint="eastAsia" w:eastAsia="仿宋_GB2312"/>
          <w:b/>
          <w:sz w:val="44"/>
          <w:szCs w:val="44"/>
          <w:lang w:eastAsia="zh-CN"/>
        </w:rPr>
        <w:t>化妆品急性吸入毒性试验技术指导原则</w:t>
      </w:r>
      <w:r>
        <w:rPr>
          <w:rFonts w:hint="eastAsia" w:eastAsia="仿宋_GB2312"/>
          <w:b/>
          <w:sz w:val="44"/>
          <w:szCs w:val="44"/>
        </w:rPr>
        <w:t>（征求意见稿）》起草说明</w:t>
      </w:r>
    </w:p>
    <w:p>
      <w:pPr>
        <w:snapToGrid w:val="0"/>
        <w:spacing w:line="560" w:lineRule="exact"/>
        <w:ind w:firstLine="643" w:firstLineChars="200"/>
        <w:jc w:val="center"/>
        <w:rPr>
          <w:rFonts w:eastAsia="仿宋_GB2312"/>
          <w:b/>
          <w:sz w:val="32"/>
          <w:szCs w:val="32"/>
        </w:rPr>
      </w:pPr>
    </w:p>
    <w:p>
      <w:pPr>
        <w:widowControl/>
        <w:ind w:firstLine="640" w:firstLineChars="200"/>
        <w:jc w:val="left"/>
        <w:rPr>
          <w:rFonts w:hint="eastAsia" w:eastAsia="仿宋_GB2312"/>
          <w:sz w:val="32"/>
          <w:szCs w:val="32"/>
          <w:highlight w:val="none"/>
        </w:rPr>
      </w:pPr>
      <w:r>
        <w:rPr>
          <w:rFonts w:hint="eastAsia" w:eastAsia="仿宋_GB2312"/>
          <w:sz w:val="32"/>
          <w:szCs w:val="32"/>
          <w:highlight w:val="none"/>
        </w:rPr>
        <w:t>为规范开展化妆品和新原料的安全评价工作，根据《化妆品监督管理条例》《化妆品注册备案管理办法》《化妆品注册备案资料管理规定》《化妆品新原料注册备案资料管理规定》及相关法律法规、强制性国家标准和技术规范的要求，中国食品药品检定研究院</w:t>
      </w:r>
      <w:r>
        <w:rPr>
          <w:rFonts w:hint="eastAsia" w:eastAsia="仿宋_GB2312"/>
          <w:sz w:val="32"/>
          <w:szCs w:val="32"/>
          <w:highlight w:val="none"/>
          <w:lang w:eastAsia="zh-CN"/>
        </w:rPr>
        <w:t>组织</w:t>
      </w:r>
      <w:r>
        <w:rPr>
          <w:rFonts w:hint="eastAsia" w:eastAsia="仿宋_GB2312"/>
          <w:sz w:val="32"/>
          <w:szCs w:val="32"/>
          <w:highlight w:val="none"/>
        </w:rPr>
        <w:t>起草了《</w:t>
      </w:r>
      <w:r>
        <w:rPr>
          <w:rFonts w:hint="eastAsia" w:eastAsia="仿宋_GB2312"/>
          <w:sz w:val="32"/>
          <w:szCs w:val="32"/>
          <w:highlight w:val="none"/>
          <w:lang w:eastAsia="zh-CN"/>
        </w:rPr>
        <w:t>化妆品急性吸入毒性试验技术指导原则</w:t>
      </w:r>
      <w:r>
        <w:rPr>
          <w:rFonts w:hint="eastAsia" w:eastAsia="仿宋_GB2312"/>
          <w:sz w:val="32"/>
          <w:szCs w:val="32"/>
          <w:highlight w:val="none"/>
        </w:rPr>
        <w:t>（征求意见稿）》（以下简称《技术指导原则（征求意见稿）》）。现将起草的有关情况说明如下：</w:t>
      </w:r>
    </w:p>
    <w:p>
      <w:pPr>
        <w:snapToGrid w:val="0"/>
        <w:spacing w:line="560" w:lineRule="exact"/>
        <w:ind w:firstLine="643" w:firstLineChars="200"/>
        <w:rPr>
          <w:rFonts w:hint="eastAsia" w:eastAsia="仿宋_GB2312"/>
          <w:b/>
          <w:sz w:val="32"/>
          <w:szCs w:val="32"/>
          <w:highlight w:val="none"/>
        </w:rPr>
      </w:pPr>
      <w:r>
        <w:rPr>
          <w:rFonts w:hint="eastAsia" w:eastAsia="仿宋_GB2312"/>
          <w:b/>
          <w:sz w:val="32"/>
          <w:szCs w:val="32"/>
          <w:highlight w:val="none"/>
          <w:lang w:eastAsia="zh-CN"/>
        </w:rPr>
        <w:t>一、</w:t>
      </w:r>
      <w:r>
        <w:rPr>
          <w:rFonts w:hint="eastAsia" w:eastAsia="仿宋_GB2312"/>
          <w:b/>
          <w:sz w:val="32"/>
          <w:szCs w:val="32"/>
          <w:highlight w:val="none"/>
        </w:rPr>
        <w:t>起草的必要性</w:t>
      </w:r>
    </w:p>
    <w:p>
      <w:pPr>
        <w:widowControl/>
        <w:ind w:firstLine="640" w:firstLineChars="200"/>
        <w:jc w:val="left"/>
        <w:rPr>
          <w:rFonts w:hint="eastAsia" w:eastAsia="仿宋_GB2312"/>
          <w:sz w:val="32"/>
          <w:szCs w:val="32"/>
          <w:highlight w:val="none"/>
        </w:rPr>
      </w:pPr>
      <w:r>
        <w:rPr>
          <w:rFonts w:hint="eastAsia" w:eastAsia="仿宋_GB2312"/>
          <w:sz w:val="32"/>
          <w:szCs w:val="32"/>
          <w:highlight w:val="none"/>
        </w:rPr>
        <w:t>化妆品以涂擦、喷洒或者其他类似方法施用于皮肤、毛发、指甲、口唇等人体表面</w:t>
      </w:r>
      <w:r>
        <w:rPr>
          <w:rFonts w:hint="eastAsia" w:eastAsia="仿宋_GB2312"/>
          <w:sz w:val="32"/>
          <w:szCs w:val="32"/>
          <w:highlight w:val="none"/>
          <w:lang w:eastAsia="zh-CN"/>
        </w:rPr>
        <w:t>，</w:t>
      </w:r>
      <w:r>
        <w:rPr>
          <w:rFonts w:hint="eastAsia" w:eastAsia="仿宋_GB2312"/>
          <w:sz w:val="32"/>
          <w:szCs w:val="32"/>
          <w:highlight w:val="none"/>
        </w:rPr>
        <w:t>由于部分剂型、使用方法或</w:t>
      </w:r>
      <w:r>
        <w:rPr>
          <w:rFonts w:hint="eastAsia" w:eastAsia="仿宋_GB2312"/>
          <w:sz w:val="32"/>
          <w:szCs w:val="32"/>
          <w:highlight w:val="none"/>
          <w:lang w:val="en-US" w:eastAsia="zh-CN"/>
        </w:rPr>
        <w:t>者</w:t>
      </w:r>
      <w:r>
        <w:rPr>
          <w:rFonts w:hint="eastAsia" w:eastAsia="仿宋_GB2312"/>
          <w:sz w:val="32"/>
          <w:szCs w:val="32"/>
          <w:highlight w:val="none"/>
        </w:rPr>
        <w:t>原料本身特性的影响，化妆品或者其中</w:t>
      </w:r>
      <w:r>
        <w:rPr>
          <w:rFonts w:hint="eastAsia" w:eastAsia="仿宋_GB2312"/>
          <w:sz w:val="32"/>
          <w:szCs w:val="32"/>
          <w:highlight w:val="none"/>
          <w:lang w:val="en-US" w:eastAsia="zh-CN"/>
        </w:rPr>
        <w:t>部分</w:t>
      </w:r>
      <w:r>
        <w:rPr>
          <w:rFonts w:hint="eastAsia" w:eastAsia="仿宋_GB2312"/>
          <w:sz w:val="32"/>
          <w:szCs w:val="32"/>
          <w:highlight w:val="none"/>
        </w:rPr>
        <w:t>原料可能存在吸入暴露风险。根据《化妆品安全评估技术导则》，有吸入暴露可能时，需考虑吸入暴露引起的健康危害效应。</w:t>
      </w:r>
      <w:r>
        <w:rPr>
          <w:rFonts w:hint="eastAsia" w:eastAsia="仿宋_GB2312"/>
          <w:sz w:val="32"/>
          <w:szCs w:val="32"/>
          <w:highlight w:val="none"/>
          <w:lang w:eastAsia="zh-CN"/>
        </w:rPr>
        <w:t>在进行吸入暴露相关安全风险评估时，首先需要考虑急性吸入毒性，因此，有必要</w:t>
      </w:r>
      <w:r>
        <w:rPr>
          <w:rFonts w:hint="default" w:ascii="Times New Roman" w:hAnsi="Times New Roman" w:eastAsia="仿宋_GB2312" w:cs="Times New Roman"/>
          <w:sz w:val="32"/>
          <w:szCs w:val="32"/>
          <w:highlight w:val="none"/>
          <w:lang w:val="en-US" w:eastAsia="zh-CN"/>
        </w:rPr>
        <w:t>对相关技术</w:t>
      </w:r>
      <w:r>
        <w:rPr>
          <w:rFonts w:hint="eastAsia" w:ascii="Times New Roman" w:hAnsi="Times New Roman" w:eastAsia="仿宋_GB2312" w:cs="Times New Roman"/>
          <w:sz w:val="32"/>
          <w:szCs w:val="32"/>
          <w:highlight w:val="none"/>
          <w:lang w:val="en-US" w:eastAsia="zh-CN"/>
        </w:rPr>
        <w:t>问题开展</w:t>
      </w:r>
      <w:r>
        <w:rPr>
          <w:rFonts w:hint="default" w:ascii="Times New Roman" w:hAnsi="Times New Roman" w:eastAsia="仿宋_GB2312" w:cs="Times New Roman"/>
          <w:sz w:val="32"/>
          <w:szCs w:val="32"/>
          <w:highlight w:val="none"/>
          <w:lang w:val="en-US" w:eastAsia="zh-CN"/>
        </w:rPr>
        <w:t>系统性研究</w:t>
      </w:r>
      <w:r>
        <w:rPr>
          <w:rFonts w:hint="eastAsia" w:ascii="Times New Roman" w:hAnsi="Times New Roman" w:eastAsia="仿宋_GB2312" w:cs="Times New Roman"/>
          <w:sz w:val="32"/>
          <w:szCs w:val="32"/>
          <w:highlight w:val="none"/>
          <w:lang w:val="en-US" w:eastAsia="zh-CN"/>
        </w:rPr>
        <w:t>、讨论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制定</w:t>
      </w:r>
      <w:r>
        <w:rPr>
          <w:rFonts w:hint="eastAsia" w:eastAsia="仿宋_GB2312" w:cs="Times New Roman"/>
          <w:sz w:val="32"/>
          <w:szCs w:val="32"/>
          <w:highlight w:val="none"/>
          <w:lang w:val="en-US" w:eastAsia="zh-CN"/>
        </w:rPr>
        <w:t>相应</w:t>
      </w:r>
      <w:r>
        <w:rPr>
          <w:rFonts w:hint="eastAsia" w:ascii="Times New Roman" w:hAnsi="Times New Roman" w:eastAsia="仿宋_GB2312" w:cs="Times New Roman"/>
          <w:sz w:val="32"/>
          <w:szCs w:val="32"/>
          <w:highlight w:val="none"/>
          <w:lang w:val="en-US" w:eastAsia="zh-CN"/>
        </w:rPr>
        <w:t>的技术指导原则</w:t>
      </w:r>
      <w:r>
        <w:rPr>
          <w:rFonts w:hint="eastAsia" w:eastAsia="仿宋_GB2312" w:cs="Times New Roman"/>
          <w:sz w:val="32"/>
          <w:szCs w:val="32"/>
          <w:highlight w:val="none"/>
          <w:lang w:val="en-US" w:eastAsia="zh-CN"/>
        </w:rPr>
        <w:t>，以规范和指导化妆品急性吸入毒性研究和评价</w:t>
      </w:r>
      <w:r>
        <w:rPr>
          <w:rFonts w:hint="eastAsia" w:eastAsia="仿宋_GB2312"/>
          <w:sz w:val="32"/>
          <w:szCs w:val="32"/>
          <w:highlight w:val="none"/>
        </w:rPr>
        <w:t>。</w:t>
      </w:r>
    </w:p>
    <w:p>
      <w:pPr>
        <w:snapToGrid w:val="0"/>
        <w:spacing w:line="560" w:lineRule="exact"/>
        <w:ind w:firstLine="643" w:firstLineChars="200"/>
        <w:rPr>
          <w:rFonts w:hint="eastAsia" w:eastAsia="仿宋_GB2312"/>
          <w:b/>
          <w:sz w:val="32"/>
          <w:szCs w:val="32"/>
          <w:highlight w:val="none"/>
          <w:lang w:eastAsia="zh-CN"/>
        </w:rPr>
      </w:pPr>
      <w:r>
        <w:rPr>
          <w:rFonts w:hint="eastAsia" w:eastAsia="仿宋_GB2312"/>
          <w:b/>
          <w:sz w:val="32"/>
          <w:szCs w:val="32"/>
          <w:highlight w:val="none"/>
          <w:lang w:eastAsia="zh-CN"/>
        </w:rPr>
        <w:t>二、制定原则</w:t>
      </w:r>
    </w:p>
    <w:p>
      <w:pPr>
        <w:widowControl/>
        <w:ind w:firstLine="640" w:firstLineChars="200"/>
        <w:jc w:val="left"/>
        <w:rPr>
          <w:rFonts w:hint="eastAsia" w:eastAsia="仿宋_GB2312"/>
          <w:sz w:val="32"/>
          <w:szCs w:val="32"/>
          <w:highlight w:val="none"/>
        </w:rPr>
      </w:pPr>
      <w:r>
        <w:rPr>
          <w:rFonts w:hint="eastAsia" w:eastAsia="仿宋_GB2312"/>
          <w:sz w:val="32"/>
          <w:szCs w:val="32"/>
          <w:highlight w:val="none"/>
        </w:rPr>
        <w:t>（一）依法依规原则。《技术指导原则（征求意见稿）》遵循依法依规原则，贯彻落实《化妆品监督管理条例》及配套法规文件中关于化妆品和新原料的法规要求，研究</w:t>
      </w:r>
      <w:r>
        <w:rPr>
          <w:rFonts w:hint="eastAsia" w:eastAsia="仿宋_GB2312"/>
          <w:sz w:val="32"/>
          <w:szCs w:val="32"/>
          <w:highlight w:val="none"/>
          <w:lang w:eastAsia="zh-CN"/>
        </w:rPr>
        <w:t>急性吸入毒性</w:t>
      </w:r>
      <w:r>
        <w:rPr>
          <w:rFonts w:hint="eastAsia" w:eastAsia="仿宋_GB2312"/>
          <w:sz w:val="32"/>
          <w:szCs w:val="32"/>
          <w:highlight w:val="none"/>
        </w:rPr>
        <w:t>试验的具体要求，切实为化妆品和新原料的安全评价提供技术指导，也为技术审评以及监管提供依据。</w:t>
      </w:r>
    </w:p>
    <w:p>
      <w:pPr>
        <w:widowControl/>
        <w:ind w:firstLine="640" w:firstLineChars="200"/>
        <w:jc w:val="left"/>
        <w:rPr>
          <w:rFonts w:hint="eastAsia" w:eastAsia="仿宋_GB2312"/>
          <w:sz w:val="32"/>
          <w:szCs w:val="32"/>
          <w:highlight w:val="none"/>
        </w:rPr>
      </w:pPr>
      <w:r>
        <w:rPr>
          <w:rFonts w:hint="eastAsia" w:eastAsia="仿宋_GB2312"/>
          <w:sz w:val="32"/>
          <w:szCs w:val="32"/>
          <w:highlight w:val="none"/>
        </w:rPr>
        <w:t>（二）公开透明原则。《技术指导原则（征求意见稿）》起草过程中，坚持“公开透明、广泛参与”原则，充分参考国内外相关法规和技术标准，积极征求监管部门、专家、行业协会意见，同时根据意见反馈情况科学合理地进行修改完善。</w:t>
      </w:r>
    </w:p>
    <w:p>
      <w:pPr>
        <w:snapToGrid w:val="0"/>
        <w:spacing w:line="560" w:lineRule="exact"/>
        <w:ind w:firstLine="643" w:firstLineChars="200"/>
        <w:rPr>
          <w:rFonts w:hint="eastAsia" w:eastAsia="仿宋_GB2312"/>
          <w:b/>
          <w:sz w:val="32"/>
          <w:szCs w:val="32"/>
          <w:highlight w:val="none"/>
          <w:lang w:eastAsia="zh-CN"/>
        </w:rPr>
      </w:pPr>
      <w:r>
        <w:rPr>
          <w:rFonts w:hint="eastAsia" w:eastAsia="仿宋_GB2312"/>
          <w:b/>
          <w:sz w:val="32"/>
          <w:szCs w:val="32"/>
          <w:highlight w:val="none"/>
          <w:lang w:eastAsia="zh-CN"/>
        </w:rPr>
        <w:t>三、主要内容</w:t>
      </w:r>
    </w:p>
    <w:p>
      <w:pPr>
        <w:widowControl/>
        <w:ind w:firstLine="640" w:firstLineChars="200"/>
        <w:jc w:val="left"/>
        <w:rPr>
          <w:rFonts w:hint="default" w:eastAsia="仿宋_GB2312"/>
          <w:sz w:val="32"/>
          <w:szCs w:val="32"/>
          <w:highlight w:val="none"/>
          <w:lang w:val="en-US" w:eastAsia="zh-CN"/>
        </w:rPr>
      </w:pPr>
      <w:r>
        <w:rPr>
          <w:rFonts w:hint="eastAsia" w:eastAsia="仿宋_GB2312"/>
          <w:sz w:val="32"/>
          <w:szCs w:val="32"/>
          <w:highlight w:val="none"/>
        </w:rPr>
        <w:t>《技术指导原则（征求意见稿）》主要内容包括</w:t>
      </w:r>
      <w:r>
        <w:rPr>
          <w:rFonts w:hint="eastAsia" w:eastAsia="仿宋_GB2312"/>
          <w:sz w:val="32"/>
          <w:szCs w:val="32"/>
          <w:highlight w:val="none"/>
          <w:lang w:eastAsia="zh-CN"/>
        </w:rPr>
        <w:t>：概述；基本原则；基本内容，如受试物、实验动物、暴露方式、试验方法与剂量、观察时间与指标</w:t>
      </w:r>
      <w:r>
        <w:rPr>
          <w:rFonts w:hint="eastAsia" w:eastAsia="仿宋_GB2312"/>
          <w:sz w:val="32"/>
          <w:szCs w:val="32"/>
          <w:highlight w:val="none"/>
        </w:rPr>
        <w:t>等</w:t>
      </w:r>
      <w:r>
        <w:rPr>
          <w:rFonts w:hint="eastAsia" w:eastAsia="仿宋_GB2312"/>
          <w:sz w:val="32"/>
          <w:szCs w:val="32"/>
          <w:highlight w:val="none"/>
          <w:lang w:eastAsia="zh-CN"/>
        </w:rPr>
        <w:t>；结果分析与评价；参考文献；名词解释</w:t>
      </w:r>
      <w:r>
        <w:rPr>
          <w:rFonts w:hint="eastAsia" w:eastAsia="仿宋_GB2312"/>
          <w:sz w:val="32"/>
          <w:szCs w:val="32"/>
          <w:highlight w:val="none"/>
        </w:rPr>
        <w:t>。</w:t>
      </w:r>
      <w:r>
        <w:rPr>
          <w:rFonts w:hint="eastAsia" w:eastAsia="仿宋_GB2312"/>
          <w:sz w:val="32"/>
          <w:szCs w:val="32"/>
          <w:highlight w:val="none"/>
          <w:lang w:eastAsia="zh-CN"/>
        </w:rPr>
        <w:t>在附录中，还提供了一项可作为参考的具体试验方法。</w:t>
      </w:r>
    </w:p>
    <w:p>
      <w:pPr>
        <w:snapToGrid w:val="0"/>
        <w:spacing w:line="560" w:lineRule="exact"/>
        <w:ind w:firstLine="643" w:firstLineChars="200"/>
        <w:rPr>
          <w:rFonts w:hint="eastAsia" w:eastAsia="仿宋_GB2312"/>
          <w:b/>
          <w:sz w:val="32"/>
          <w:szCs w:val="32"/>
          <w:highlight w:val="none"/>
          <w:lang w:eastAsia="zh-CN"/>
        </w:rPr>
      </w:pPr>
      <w:r>
        <w:rPr>
          <w:rFonts w:hint="eastAsia" w:eastAsia="仿宋_GB2312"/>
          <w:b/>
          <w:sz w:val="32"/>
          <w:szCs w:val="32"/>
          <w:highlight w:val="none"/>
          <w:lang w:eastAsia="zh-CN"/>
        </w:rPr>
        <w:t>四、需要说明的问题</w:t>
      </w:r>
    </w:p>
    <w:p>
      <w:pPr>
        <w:spacing w:line="36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w:t>
      </w:r>
      <w:r>
        <w:rPr>
          <w:rFonts w:hint="eastAsia" w:eastAsia="仿宋_GB2312"/>
          <w:b/>
          <w:bCs/>
          <w:sz w:val="32"/>
          <w:szCs w:val="32"/>
          <w:highlight w:val="none"/>
          <w:lang w:val="en-US" w:eastAsia="zh-CN"/>
        </w:rPr>
        <w:t>关于指导原则定位</w:t>
      </w:r>
    </w:p>
    <w:p>
      <w:pPr>
        <w:spacing w:line="360" w:lineRule="auto"/>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该指导原则目的在于</w:t>
      </w:r>
      <w:r>
        <w:rPr>
          <w:rFonts w:hint="eastAsia" w:ascii="Times New Roman" w:hAnsi="Times New Roman" w:eastAsia="仿宋_GB2312" w:cs="Times New Roman"/>
          <w:sz w:val="32"/>
          <w:szCs w:val="32"/>
          <w:highlight w:val="none"/>
        </w:rPr>
        <w:t>为</w:t>
      </w:r>
      <w:r>
        <w:rPr>
          <w:rFonts w:hint="eastAsia" w:eastAsia="仿宋_GB2312" w:cs="Times New Roman"/>
          <w:sz w:val="32"/>
          <w:szCs w:val="32"/>
          <w:highlight w:val="none"/>
          <w:lang w:eastAsia="zh-CN"/>
        </w:rPr>
        <w:t>化妆品急性吸入毒性试验研究</w:t>
      </w:r>
      <w:r>
        <w:rPr>
          <w:rFonts w:hint="eastAsia" w:ascii="Times New Roman" w:hAnsi="Times New Roman" w:eastAsia="仿宋_GB2312" w:cs="Times New Roman"/>
          <w:sz w:val="32"/>
          <w:szCs w:val="32"/>
          <w:highlight w:val="none"/>
          <w:lang w:val="en-US" w:eastAsia="zh-CN"/>
        </w:rPr>
        <w:t>提出科学性建议。试验结果可以为化妆品急性吸入毒性评价以及确定亚慢性毒性试验和其他毒理学试验剂量提供</w:t>
      </w:r>
      <w:r>
        <w:rPr>
          <w:rFonts w:hint="eastAsia" w:ascii="Times New Roman" w:hAnsi="Times New Roman" w:eastAsia="仿宋_GB2312" w:cs="Times New Roman"/>
          <w:sz w:val="32"/>
          <w:szCs w:val="32"/>
          <w:highlight w:val="none"/>
          <w:lang w:eastAsia="zh-CN"/>
        </w:rPr>
        <w:t>依据</w:t>
      </w:r>
      <w:r>
        <w:rPr>
          <w:rFonts w:hint="eastAsia" w:ascii="Times New Roman" w:hAnsi="Times New Roman" w:eastAsia="仿宋_GB2312" w:cs="Times New Roman"/>
          <w:sz w:val="32"/>
          <w:szCs w:val="32"/>
          <w:highlight w:val="none"/>
          <w:lang w:val="en-US" w:eastAsia="zh-CN"/>
        </w:rPr>
        <w:t>。</w:t>
      </w:r>
    </w:p>
    <w:p>
      <w:pPr>
        <w:spacing w:line="36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（二）关于适用范围</w:t>
      </w:r>
    </w:p>
    <w:p>
      <w:pPr>
        <w:spacing w:line="360" w:lineRule="auto"/>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本导则适用于</w:t>
      </w:r>
      <w:r>
        <w:rPr>
          <w:rFonts w:hint="eastAsia" w:eastAsia="仿宋_GB2312" w:cs="Times New Roman"/>
          <w:sz w:val="32"/>
          <w:szCs w:val="32"/>
          <w:highlight w:val="none"/>
          <w:lang w:eastAsia="zh-CN"/>
        </w:rPr>
        <w:t>可能存在吸入暴露风险的</w:t>
      </w:r>
      <w:r>
        <w:rPr>
          <w:rFonts w:hint="eastAsia" w:ascii="Times New Roman" w:hAnsi="Times New Roman" w:eastAsia="仿宋_GB2312" w:cs="Times New Roman"/>
          <w:sz w:val="32"/>
          <w:szCs w:val="32"/>
          <w:highlight w:val="none"/>
          <w:lang w:eastAsia="zh-CN"/>
        </w:rPr>
        <w:t>化妆品原料</w:t>
      </w:r>
      <w:r>
        <w:rPr>
          <w:rFonts w:hint="eastAsia" w:ascii="Times New Roman" w:hAnsi="Times New Roman" w:eastAsia="仿宋_GB2312" w:cs="Times New Roman"/>
          <w:sz w:val="32"/>
          <w:szCs w:val="32"/>
          <w:highlight w:val="none"/>
          <w:lang w:val="en-US" w:eastAsia="zh-CN"/>
        </w:rPr>
        <w:t>的急性吸入毒性试验研究，但不适用于部分特定情形的原料，如难溶的等轴或纤维材料、纳米原料等</w:t>
      </w:r>
      <w:r>
        <w:rPr>
          <w:rFonts w:hint="eastAsia" w:ascii="Times New Roman" w:hAnsi="Times New Roman" w:eastAsia="仿宋_GB2312" w:cs="Times New Roman"/>
          <w:sz w:val="32"/>
          <w:szCs w:val="32"/>
          <w:highlight w:val="none"/>
          <w:lang w:eastAsia="zh-CN"/>
        </w:rPr>
        <w:t>。</w:t>
      </w:r>
    </w:p>
    <w:p>
      <w:pPr>
        <w:spacing w:line="36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（三）关于具体方法的选择</w:t>
      </w:r>
    </w:p>
    <w:p>
      <w:pPr>
        <w:spacing w:line="360" w:lineRule="auto"/>
        <w:ind w:firstLine="640" w:firstLineChars="200"/>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eastAsia="zh-CN"/>
        </w:rPr>
        <w:t>在</w:t>
      </w:r>
      <w:r>
        <w:rPr>
          <w:rFonts w:hint="eastAsia" w:eastAsia="仿宋_GB2312"/>
          <w:sz w:val="32"/>
          <w:szCs w:val="32"/>
          <w:highlight w:val="none"/>
        </w:rPr>
        <w:t>《技术指导原则（征求意见稿）》</w:t>
      </w:r>
      <w:r>
        <w:rPr>
          <w:rFonts w:hint="eastAsia" w:eastAsia="仿宋_GB2312"/>
          <w:sz w:val="32"/>
          <w:szCs w:val="32"/>
          <w:highlight w:val="none"/>
          <w:lang w:eastAsia="zh-CN"/>
        </w:rPr>
        <w:t>中，提供了两种基本试验方法：</w:t>
      </w:r>
      <w:r>
        <w:rPr>
          <w:rFonts w:hint="eastAsia" w:eastAsia="仿宋_GB2312"/>
          <w:sz w:val="32"/>
          <w:szCs w:val="32"/>
          <w:highlight w:val="none"/>
        </w:rPr>
        <w:t>传统LC</w:t>
      </w:r>
      <w:r>
        <w:rPr>
          <w:rFonts w:hint="eastAsia" w:eastAsia="仿宋_GB2312"/>
          <w:sz w:val="32"/>
          <w:szCs w:val="32"/>
          <w:highlight w:val="none"/>
          <w:vertAlign w:val="subscript"/>
        </w:rPr>
        <w:t>50</w:t>
      </w:r>
      <w:r>
        <w:rPr>
          <w:rFonts w:hint="eastAsia" w:eastAsia="仿宋_GB2312"/>
          <w:sz w:val="32"/>
          <w:szCs w:val="32"/>
          <w:highlight w:val="none"/>
        </w:rPr>
        <w:t>法</w:t>
      </w:r>
      <w:r>
        <w:rPr>
          <w:rFonts w:hint="eastAsia" w:eastAsia="仿宋_GB2312"/>
          <w:sz w:val="32"/>
          <w:szCs w:val="32"/>
          <w:highlight w:val="none"/>
          <w:lang w:eastAsia="zh-CN"/>
        </w:rPr>
        <w:t>、</w:t>
      </w:r>
      <w:r>
        <w:rPr>
          <w:rFonts w:hint="eastAsia" w:eastAsia="仿宋_GB2312"/>
          <w:sz w:val="32"/>
          <w:szCs w:val="32"/>
          <w:highlight w:val="none"/>
        </w:rPr>
        <w:t>浓度</w:t>
      </w:r>
      <w:r>
        <w:rPr>
          <w:rFonts w:hint="eastAsia" w:eastAsia="仿宋_GB2312"/>
          <w:sz w:val="32"/>
          <w:szCs w:val="32"/>
          <w:highlight w:val="none"/>
          <w:lang w:val="en-US" w:eastAsia="zh-CN"/>
        </w:rPr>
        <w:t>-</w:t>
      </w:r>
      <w:r>
        <w:rPr>
          <w:rFonts w:hint="eastAsia" w:eastAsia="仿宋_GB2312"/>
          <w:sz w:val="32"/>
          <w:szCs w:val="32"/>
          <w:highlight w:val="none"/>
        </w:rPr>
        <w:t>时间法</w:t>
      </w:r>
      <w:r>
        <w:rPr>
          <w:rFonts w:hint="eastAsia" w:eastAsia="仿宋_GB2312"/>
          <w:sz w:val="32"/>
          <w:szCs w:val="32"/>
          <w:highlight w:val="none"/>
          <w:lang w:eastAsia="zh-CN"/>
        </w:rPr>
        <w:t>。应遵循“具体问题具体分析”的原则，根据</w:t>
      </w:r>
      <w:r>
        <w:rPr>
          <w:rFonts w:hint="eastAsia" w:eastAsia="仿宋_GB2312"/>
          <w:sz w:val="32"/>
          <w:szCs w:val="32"/>
          <w:highlight w:val="none"/>
          <w:lang w:val="en-US" w:eastAsia="zh-CN"/>
        </w:rPr>
        <w:t>受试物特点、</w:t>
      </w:r>
      <w:r>
        <w:rPr>
          <w:rFonts w:hint="eastAsia" w:eastAsia="仿宋_GB2312"/>
          <w:sz w:val="32"/>
          <w:szCs w:val="32"/>
          <w:highlight w:val="none"/>
          <w:lang w:eastAsia="zh-CN"/>
        </w:rPr>
        <w:t>现有</w:t>
      </w:r>
      <w:r>
        <w:rPr>
          <w:rFonts w:hint="eastAsia" w:ascii="Times New Roman" w:hAnsi="Times New Roman" w:eastAsia="仿宋_GB2312" w:cs="Times New Roman"/>
          <w:sz w:val="32"/>
          <w:szCs w:val="32"/>
          <w:highlight w:val="none"/>
          <w:lang w:eastAsia="zh-CN"/>
        </w:rPr>
        <w:t>数据、试验目的等</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选择合适的试验方法，设计适宜的试验方案，并结合其他毒理研究信息对试验结果进行</w:t>
      </w:r>
      <w:r>
        <w:rPr>
          <w:rFonts w:hint="eastAsia" w:ascii="Times New Roman" w:hAnsi="Times New Roman" w:eastAsia="仿宋_GB2312" w:cs="Times New Roman"/>
          <w:sz w:val="32"/>
          <w:szCs w:val="32"/>
          <w:highlight w:val="none"/>
          <w:lang w:val="en-US" w:eastAsia="zh-CN"/>
        </w:rPr>
        <w:t>全面的评价</w:t>
      </w:r>
      <w:r>
        <w:rPr>
          <w:rFonts w:hint="eastAsia" w:eastAsia="仿宋_GB2312" w:cs="Times New Roman"/>
          <w:sz w:val="32"/>
          <w:szCs w:val="32"/>
          <w:highlight w:val="none"/>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177875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177875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132563"/>
    <w:rsid w:val="00066038"/>
    <w:rsid w:val="00067BEF"/>
    <w:rsid w:val="00081023"/>
    <w:rsid w:val="000D4CF4"/>
    <w:rsid w:val="001137F1"/>
    <w:rsid w:val="0012327A"/>
    <w:rsid w:val="001320BE"/>
    <w:rsid w:val="00132563"/>
    <w:rsid w:val="001452A8"/>
    <w:rsid w:val="001C4D25"/>
    <w:rsid w:val="002B1B30"/>
    <w:rsid w:val="002F5404"/>
    <w:rsid w:val="003012F9"/>
    <w:rsid w:val="0030135E"/>
    <w:rsid w:val="00314DD2"/>
    <w:rsid w:val="0032605C"/>
    <w:rsid w:val="00347CD4"/>
    <w:rsid w:val="00353FF9"/>
    <w:rsid w:val="0043647E"/>
    <w:rsid w:val="00476CAC"/>
    <w:rsid w:val="004A7119"/>
    <w:rsid w:val="004D2AE4"/>
    <w:rsid w:val="00515D55"/>
    <w:rsid w:val="005E2C90"/>
    <w:rsid w:val="00712547"/>
    <w:rsid w:val="007627CF"/>
    <w:rsid w:val="0080401E"/>
    <w:rsid w:val="00832516"/>
    <w:rsid w:val="008523ED"/>
    <w:rsid w:val="008F376D"/>
    <w:rsid w:val="00AA0459"/>
    <w:rsid w:val="00B34713"/>
    <w:rsid w:val="00B43E76"/>
    <w:rsid w:val="00B824B7"/>
    <w:rsid w:val="00C41DAC"/>
    <w:rsid w:val="00C5030C"/>
    <w:rsid w:val="00C94ABB"/>
    <w:rsid w:val="00C97BE0"/>
    <w:rsid w:val="00D05518"/>
    <w:rsid w:val="00D5467E"/>
    <w:rsid w:val="00E2007C"/>
    <w:rsid w:val="00E222B3"/>
    <w:rsid w:val="00E6109B"/>
    <w:rsid w:val="00E95C18"/>
    <w:rsid w:val="00EC300C"/>
    <w:rsid w:val="00F877E9"/>
    <w:rsid w:val="00F904B3"/>
    <w:rsid w:val="00F93C96"/>
    <w:rsid w:val="010072E1"/>
    <w:rsid w:val="01090F3F"/>
    <w:rsid w:val="010D22B6"/>
    <w:rsid w:val="018329BD"/>
    <w:rsid w:val="01CA63A7"/>
    <w:rsid w:val="023F16B2"/>
    <w:rsid w:val="02BE4C77"/>
    <w:rsid w:val="02D048F3"/>
    <w:rsid w:val="02FA32C8"/>
    <w:rsid w:val="03082F4B"/>
    <w:rsid w:val="038814AD"/>
    <w:rsid w:val="03A37BD6"/>
    <w:rsid w:val="03BC2DEF"/>
    <w:rsid w:val="03BF0A17"/>
    <w:rsid w:val="03C40A5A"/>
    <w:rsid w:val="03C7743B"/>
    <w:rsid w:val="03EE2141"/>
    <w:rsid w:val="03F03516"/>
    <w:rsid w:val="03F734FE"/>
    <w:rsid w:val="03F73B61"/>
    <w:rsid w:val="043E3053"/>
    <w:rsid w:val="04840EFD"/>
    <w:rsid w:val="04D71B77"/>
    <w:rsid w:val="04E56B50"/>
    <w:rsid w:val="04F2518C"/>
    <w:rsid w:val="05175468"/>
    <w:rsid w:val="05540B17"/>
    <w:rsid w:val="056640C2"/>
    <w:rsid w:val="05BD0871"/>
    <w:rsid w:val="061B6302"/>
    <w:rsid w:val="06246C1E"/>
    <w:rsid w:val="063A06AA"/>
    <w:rsid w:val="06931642"/>
    <w:rsid w:val="06D1513E"/>
    <w:rsid w:val="06D85E1F"/>
    <w:rsid w:val="07147596"/>
    <w:rsid w:val="071B5825"/>
    <w:rsid w:val="07412B37"/>
    <w:rsid w:val="074317BB"/>
    <w:rsid w:val="076318BC"/>
    <w:rsid w:val="07722A17"/>
    <w:rsid w:val="07751500"/>
    <w:rsid w:val="07787D90"/>
    <w:rsid w:val="077A15B0"/>
    <w:rsid w:val="07914936"/>
    <w:rsid w:val="079B6202"/>
    <w:rsid w:val="079E7293"/>
    <w:rsid w:val="07A40B5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BC2F94"/>
    <w:rsid w:val="13BE280F"/>
    <w:rsid w:val="13C77E55"/>
    <w:rsid w:val="13E009B4"/>
    <w:rsid w:val="14116EE8"/>
    <w:rsid w:val="14580447"/>
    <w:rsid w:val="14C1312D"/>
    <w:rsid w:val="14EB2681"/>
    <w:rsid w:val="1578459A"/>
    <w:rsid w:val="15CB3091"/>
    <w:rsid w:val="15D74122"/>
    <w:rsid w:val="163447BF"/>
    <w:rsid w:val="16487F16"/>
    <w:rsid w:val="166706C2"/>
    <w:rsid w:val="16972C88"/>
    <w:rsid w:val="16B9348E"/>
    <w:rsid w:val="16EC7327"/>
    <w:rsid w:val="17044D4B"/>
    <w:rsid w:val="170A3530"/>
    <w:rsid w:val="1723792B"/>
    <w:rsid w:val="1739425E"/>
    <w:rsid w:val="17435032"/>
    <w:rsid w:val="177477D3"/>
    <w:rsid w:val="178C04C4"/>
    <w:rsid w:val="17A52257"/>
    <w:rsid w:val="17B235FC"/>
    <w:rsid w:val="17F9527F"/>
    <w:rsid w:val="18130413"/>
    <w:rsid w:val="183E4282"/>
    <w:rsid w:val="1863381B"/>
    <w:rsid w:val="18951A14"/>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F973D2"/>
    <w:rsid w:val="1C247A10"/>
    <w:rsid w:val="1C270126"/>
    <w:rsid w:val="1C326A53"/>
    <w:rsid w:val="1C5A6207"/>
    <w:rsid w:val="1C7A1112"/>
    <w:rsid w:val="1C863CB5"/>
    <w:rsid w:val="1C927EE1"/>
    <w:rsid w:val="1C9C66A3"/>
    <w:rsid w:val="1CB544EA"/>
    <w:rsid w:val="1CC85125"/>
    <w:rsid w:val="1CED1593"/>
    <w:rsid w:val="1CF21281"/>
    <w:rsid w:val="1CFB1FA1"/>
    <w:rsid w:val="1D024669"/>
    <w:rsid w:val="1D1B38A6"/>
    <w:rsid w:val="1D502BB6"/>
    <w:rsid w:val="1D7048E0"/>
    <w:rsid w:val="1DBC079C"/>
    <w:rsid w:val="1DD257D6"/>
    <w:rsid w:val="1DE675DA"/>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6A6B9C"/>
    <w:rsid w:val="209470A3"/>
    <w:rsid w:val="20B21093"/>
    <w:rsid w:val="20B827B2"/>
    <w:rsid w:val="20D6330B"/>
    <w:rsid w:val="20DD4591"/>
    <w:rsid w:val="213A365F"/>
    <w:rsid w:val="21425ACE"/>
    <w:rsid w:val="215E73DE"/>
    <w:rsid w:val="21677993"/>
    <w:rsid w:val="21802AFA"/>
    <w:rsid w:val="22095BB5"/>
    <w:rsid w:val="22097627"/>
    <w:rsid w:val="222709A0"/>
    <w:rsid w:val="224812FB"/>
    <w:rsid w:val="224E2357"/>
    <w:rsid w:val="22547B0A"/>
    <w:rsid w:val="229F1183"/>
    <w:rsid w:val="22BA2FDD"/>
    <w:rsid w:val="22E2053C"/>
    <w:rsid w:val="22E2398B"/>
    <w:rsid w:val="22F838B4"/>
    <w:rsid w:val="23042611"/>
    <w:rsid w:val="231A4D47"/>
    <w:rsid w:val="231C41DB"/>
    <w:rsid w:val="234C7163"/>
    <w:rsid w:val="2367738F"/>
    <w:rsid w:val="2379619B"/>
    <w:rsid w:val="241412F8"/>
    <w:rsid w:val="241529DE"/>
    <w:rsid w:val="242021E5"/>
    <w:rsid w:val="24280FC3"/>
    <w:rsid w:val="242D28AB"/>
    <w:rsid w:val="24522052"/>
    <w:rsid w:val="24563290"/>
    <w:rsid w:val="24627A17"/>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F6361"/>
    <w:rsid w:val="282E5E4F"/>
    <w:rsid w:val="283454F0"/>
    <w:rsid w:val="285A67F0"/>
    <w:rsid w:val="28637024"/>
    <w:rsid w:val="28C84157"/>
    <w:rsid w:val="28D6246B"/>
    <w:rsid w:val="294C1892"/>
    <w:rsid w:val="2977465F"/>
    <w:rsid w:val="29DE1DA4"/>
    <w:rsid w:val="29E27F93"/>
    <w:rsid w:val="2A0C5DB6"/>
    <w:rsid w:val="2A1760DE"/>
    <w:rsid w:val="2A5E32CD"/>
    <w:rsid w:val="2AA61C80"/>
    <w:rsid w:val="2ABC7FBE"/>
    <w:rsid w:val="2AC55341"/>
    <w:rsid w:val="2AFF7F2A"/>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967247"/>
    <w:rsid w:val="2E9A3DA5"/>
    <w:rsid w:val="2EB9240D"/>
    <w:rsid w:val="2F622EAC"/>
    <w:rsid w:val="2F8067E5"/>
    <w:rsid w:val="2FA6768D"/>
    <w:rsid w:val="2FD323C1"/>
    <w:rsid w:val="300246FB"/>
    <w:rsid w:val="30263A91"/>
    <w:rsid w:val="30274AA1"/>
    <w:rsid w:val="303E3F0D"/>
    <w:rsid w:val="30497FDB"/>
    <w:rsid w:val="3081075D"/>
    <w:rsid w:val="30B719A9"/>
    <w:rsid w:val="30E163C6"/>
    <w:rsid w:val="311365E5"/>
    <w:rsid w:val="317671D9"/>
    <w:rsid w:val="318642D6"/>
    <w:rsid w:val="318A15DF"/>
    <w:rsid w:val="31A227AA"/>
    <w:rsid w:val="31BB319E"/>
    <w:rsid w:val="323822F7"/>
    <w:rsid w:val="32594BDE"/>
    <w:rsid w:val="325D130B"/>
    <w:rsid w:val="32637A75"/>
    <w:rsid w:val="328660F8"/>
    <w:rsid w:val="33112E36"/>
    <w:rsid w:val="335D2AB3"/>
    <w:rsid w:val="33BC4AD3"/>
    <w:rsid w:val="33C819B9"/>
    <w:rsid w:val="33CE1008"/>
    <w:rsid w:val="33FE50F9"/>
    <w:rsid w:val="34086058"/>
    <w:rsid w:val="344D0907"/>
    <w:rsid w:val="34577863"/>
    <w:rsid w:val="347D6066"/>
    <w:rsid w:val="349F2FAD"/>
    <w:rsid w:val="34B05E21"/>
    <w:rsid w:val="34B44EDC"/>
    <w:rsid w:val="34B82E4C"/>
    <w:rsid w:val="34E569EE"/>
    <w:rsid w:val="35015E15"/>
    <w:rsid w:val="355221EB"/>
    <w:rsid w:val="355D52AF"/>
    <w:rsid w:val="356E35FB"/>
    <w:rsid w:val="35725E7F"/>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A63AE4"/>
    <w:rsid w:val="38526030"/>
    <w:rsid w:val="3861052E"/>
    <w:rsid w:val="38B82062"/>
    <w:rsid w:val="38C33A3B"/>
    <w:rsid w:val="394E6C03"/>
    <w:rsid w:val="396014C5"/>
    <w:rsid w:val="398B7A5A"/>
    <w:rsid w:val="39CD162F"/>
    <w:rsid w:val="39F02644"/>
    <w:rsid w:val="3A675AEE"/>
    <w:rsid w:val="3AB05FEA"/>
    <w:rsid w:val="3ABD04CE"/>
    <w:rsid w:val="3AC21029"/>
    <w:rsid w:val="3AC62570"/>
    <w:rsid w:val="3ADF3186"/>
    <w:rsid w:val="3B097A04"/>
    <w:rsid w:val="3B1F17F6"/>
    <w:rsid w:val="3B471B5C"/>
    <w:rsid w:val="3B641B82"/>
    <w:rsid w:val="3B7C3770"/>
    <w:rsid w:val="3B985EAA"/>
    <w:rsid w:val="3BB67CF3"/>
    <w:rsid w:val="3C49566F"/>
    <w:rsid w:val="3C6A2095"/>
    <w:rsid w:val="3CA628B2"/>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11E34E0"/>
    <w:rsid w:val="412F4FE5"/>
    <w:rsid w:val="418C2076"/>
    <w:rsid w:val="41D82537"/>
    <w:rsid w:val="427021CA"/>
    <w:rsid w:val="42A00543"/>
    <w:rsid w:val="4307201B"/>
    <w:rsid w:val="43290E88"/>
    <w:rsid w:val="433D0EDA"/>
    <w:rsid w:val="434867A8"/>
    <w:rsid w:val="434A6783"/>
    <w:rsid w:val="439D5438"/>
    <w:rsid w:val="43AB69C0"/>
    <w:rsid w:val="43B47D9E"/>
    <w:rsid w:val="43BA57AA"/>
    <w:rsid w:val="441764FB"/>
    <w:rsid w:val="44CB215D"/>
    <w:rsid w:val="44E62DB3"/>
    <w:rsid w:val="45303661"/>
    <w:rsid w:val="4536507F"/>
    <w:rsid w:val="45777072"/>
    <w:rsid w:val="45AA5148"/>
    <w:rsid w:val="45B54ABD"/>
    <w:rsid w:val="45BC4CA7"/>
    <w:rsid w:val="45DA0FB9"/>
    <w:rsid w:val="467C613A"/>
    <w:rsid w:val="4711534E"/>
    <w:rsid w:val="471E0C88"/>
    <w:rsid w:val="472077FD"/>
    <w:rsid w:val="47613E2D"/>
    <w:rsid w:val="47775577"/>
    <w:rsid w:val="477A640B"/>
    <w:rsid w:val="477E5C8A"/>
    <w:rsid w:val="47917F66"/>
    <w:rsid w:val="4794156C"/>
    <w:rsid w:val="47A57F67"/>
    <w:rsid w:val="47F918B0"/>
    <w:rsid w:val="48172C94"/>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F1C4E2B"/>
    <w:rsid w:val="4F2315EB"/>
    <w:rsid w:val="4F2F5BC9"/>
    <w:rsid w:val="4F3A58A3"/>
    <w:rsid w:val="4F7E5E82"/>
    <w:rsid w:val="4F8332EE"/>
    <w:rsid w:val="4FAD2045"/>
    <w:rsid w:val="502F6769"/>
    <w:rsid w:val="503C735E"/>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7032EE"/>
    <w:rsid w:val="529407F8"/>
    <w:rsid w:val="52B2493B"/>
    <w:rsid w:val="52B342EE"/>
    <w:rsid w:val="52D26134"/>
    <w:rsid w:val="52F649CD"/>
    <w:rsid w:val="52F73333"/>
    <w:rsid w:val="53146EB5"/>
    <w:rsid w:val="532446B6"/>
    <w:rsid w:val="53377B6E"/>
    <w:rsid w:val="53594E97"/>
    <w:rsid w:val="536C7C6B"/>
    <w:rsid w:val="53801FB5"/>
    <w:rsid w:val="53A345A2"/>
    <w:rsid w:val="53E317AC"/>
    <w:rsid w:val="53EC175F"/>
    <w:rsid w:val="53F9647A"/>
    <w:rsid w:val="54A20B27"/>
    <w:rsid w:val="54DB2D6A"/>
    <w:rsid w:val="553571E3"/>
    <w:rsid w:val="556C4736"/>
    <w:rsid w:val="55AA7B6E"/>
    <w:rsid w:val="56047BC8"/>
    <w:rsid w:val="56650C78"/>
    <w:rsid w:val="5678463B"/>
    <w:rsid w:val="569972B8"/>
    <w:rsid w:val="56CC2B0F"/>
    <w:rsid w:val="56DC0A25"/>
    <w:rsid w:val="56E966D3"/>
    <w:rsid w:val="5763425F"/>
    <w:rsid w:val="57711C99"/>
    <w:rsid w:val="5775796E"/>
    <w:rsid w:val="57924BC4"/>
    <w:rsid w:val="57BB500C"/>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DB5C7C"/>
    <w:rsid w:val="5BEB07A7"/>
    <w:rsid w:val="5C042CD4"/>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BD4B7B"/>
    <w:rsid w:val="5FF6091C"/>
    <w:rsid w:val="60087E12"/>
    <w:rsid w:val="60270991"/>
    <w:rsid w:val="60590FF8"/>
    <w:rsid w:val="605B6946"/>
    <w:rsid w:val="608844DB"/>
    <w:rsid w:val="6089654C"/>
    <w:rsid w:val="60964011"/>
    <w:rsid w:val="60E04046"/>
    <w:rsid w:val="6109503A"/>
    <w:rsid w:val="611E4C85"/>
    <w:rsid w:val="61204131"/>
    <w:rsid w:val="61230270"/>
    <w:rsid w:val="612E02FA"/>
    <w:rsid w:val="61D5089E"/>
    <w:rsid w:val="61DB7837"/>
    <w:rsid w:val="61DC775F"/>
    <w:rsid w:val="61DF60E0"/>
    <w:rsid w:val="61F75DCA"/>
    <w:rsid w:val="620C4899"/>
    <w:rsid w:val="625937AE"/>
    <w:rsid w:val="628E67CB"/>
    <w:rsid w:val="62C24F54"/>
    <w:rsid w:val="62D2140D"/>
    <w:rsid w:val="62E745D8"/>
    <w:rsid w:val="6304231F"/>
    <w:rsid w:val="630808A6"/>
    <w:rsid w:val="637B06F1"/>
    <w:rsid w:val="63C43502"/>
    <w:rsid w:val="63E23981"/>
    <w:rsid w:val="63E73D94"/>
    <w:rsid w:val="6425096E"/>
    <w:rsid w:val="64612B4B"/>
    <w:rsid w:val="64A34F1C"/>
    <w:rsid w:val="64A70B66"/>
    <w:rsid w:val="64B70BDA"/>
    <w:rsid w:val="64EA5182"/>
    <w:rsid w:val="64F56E2E"/>
    <w:rsid w:val="65366CC8"/>
    <w:rsid w:val="657D04D2"/>
    <w:rsid w:val="658E1FD6"/>
    <w:rsid w:val="65A36E0B"/>
    <w:rsid w:val="65AB5ED6"/>
    <w:rsid w:val="65B66C1C"/>
    <w:rsid w:val="65C14779"/>
    <w:rsid w:val="65D06A0F"/>
    <w:rsid w:val="665D3352"/>
    <w:rsid w:val="6693676A"/>
    <w:rsid w:val="66B1526C"/>
    <w:rsid w:val="66E87B4F"/>
    <w:rsid w:val="66F950AD"/>
    <w:rsid w:val="6736445C"/>
    <w:rsid w:val="67886C00"/>
    <w:rsid w:val="67B43EE7"/>
    <w:rsid w:val="683C40B0"/>
    <w:rsid w:val="68757459"/>
    <w:rsid w:val="68BC6C56"/>
    <w:rsid w:val="690E58E3"/>
    <w:rsid w:val="691242B5"/>
    <w:rsid w:val="69191058"/>
    <w:rsid w:val="693B6FA6"/>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1C53D8"/>
    <w:rsid w:val="6C3A053E"/>
    <w:rsid w:val="6C70123C"/>
    <w:rsid w:val="6CBC2FA3"/>
    <w:rsid w:val="6CF22F04"/>
    <w:rsid w:val="6CFB07DB"/>
    <w:rsid w:val="6D434C60"/>
    <w:rsid w:val="6D5D74EA"/>
    <w:rsid w:val="6D7D12BA"/>
    <w:rsid w:val="6D7E2C5C"/>
    <w:rsid w:val="6D8F4504"/>
    <w:rsid w:val="6D9538F9"/>
    <w:rsid w:val="6DD51027"/>
    <w:rsid w:val="6DDA146A"/>
    <w:rsid w:val="6E075AAD"/>
    <w:rsid w:val="6E0778F4"/>
    <w:rsid w:val="6E495BAB"/>
    <w:rsid w:val="6E4B64BA"/>
    <w:rsid w:val="6E722C4E"/>
    <w:rsid w:val="6E954BA4"/>
    <w:rsid w:val="6ED549FE"/>
    <w:rsid w:val="6ED67B0D"/>
    <w:rsid w:val="6F5161E8"/>
    <w:rsid w:val="6F683717"/>
    <w:rsid w:val="6F78162E"/>
    <w:rsid w:val="6FC46A47"/>
    <w:rsid w:val="6FDB22BD"/>
    <w:rsid w:val="6FE53098"/>
    <w:rsid w:val="6FF36F2C"/>
    <w:rsid w:val="702973F9"/>
    <w:rsid w:val="702A7562"/>
    <w:rsid w:val="703424D2"/>
    <w:rsid w:val="70417B82"/>
    <w:rsid w:val="705C1A8F"/>
    <w:rsid w:val="708E1913"/>
    <w:rsid w:val="70A17419"/>
    <w:rsid w:val="71053B3E"/>
    <w:rsid w:val="71353C29"/>
    <w:rsid w:val="714C09F9"/>
    <w:rsid w:val="71766FD0"/>
    <w:rsid w:val="71A46848"/>
    <w:rsid w:val="71FB375D"/>
    <w:rsid w:val="721F6C71"/>
    <w:rsid w:val="722E55FB"/>
    <w:rsid w:val="723B1B5B"/>
    <w:rsid w:val="72B8075F"/>
    <w:rsid w:val="72D25027"/>
    <w:rsid w:val="72D80704"/>
    <w:rsid w:val="72E25E16"/>
    <w:rsid w:val="72E6721A"/>
    <w:rsid w:val="732024E7"/>
    <w:rsid w:val="73425B75"/>
    <w:rsid w:val="73694491"/>
    <w:rsid w:val="736B3197"/>
    <w:rsid w:val="73966F5D"/>
    <w:rsid w:val="739F458D"/>
    <w:rsid w:val="73AD33C8"/>
    <w:rsid w:val="73BC16BE"/>
    <w:rsid w:val="73CB266A"/>
    <w:rsid w:val="73EF6F22"/>
    <w:rsid w:val="74882D20"/>
    <w:rsid w:val="74AB784D"/>
    <w:rsid w:val="74AE4F40"/>
    <w:rsid w:val="754C2269"/>
    <w:rsid w:val="757E49BE"/>
    <w:rsid w:val="75DC6927"/>
    <w:rsid w:val="763279EF"/>
    <w:rsid w:val="7638110C"/>
    <w:rsid w:val="763E6180"/>
    <w:rsid w:val="765548E4"/>
    <w:rsid w:val="76711720"/>
    <w:rsid w:val="76844C23"/>
    <w:rsid w:val="769702F5"/>
    <w:rsid w:val="76A4299C"/>
    <w:rsid w:val="76CF5BC5"/>
    <w:rsid w:val="76EF7EEB"/>
    <w:rsid w:val="770A1E4B"/>
    <w:rsid w:val="77B00F2F"/>
    <w:rsid w:val="787E5EB6"/>
    <w:rsid w:val="78D34490"/>
    <w:rsid w:val="78EC3B6D"/>
    <w:rsid w:val="78F55E6D"/>
    <w:rsid w:val="793A17EE"/>
    <w:rsid w:val="79474C84"/>
    <w:rsid w:val="796D3DD3"/>
    <w:rsid w:val="79C76569"/>
    <w:rsid w:val="79E11358"/>
    <w:rsid w:val="7A2144DB"/>
    <w:rsid w:val="7A271C1A"/>
    <w:rsid w:val="7A313E8F"/>
    <w:rsid w:val="7A7063F7"/>
    <w:rsid w:val="7A9E347A"/>
    <w:rsid w:val="7AC80FAA"/>
    <w:rsid w:val="7AD82781"/>
    <w:rsid w:val="7AE65AE7"/>
    <w:rsid w:val="7AEE05EF"/>
    <w:rsid w:val="7AF01E6E"/>
    <w:rsid w:val="7B1A0919"/>
    <w:rsid w:val="7B321B89"/>
    <w:rsid w:val="7B4163ED"/>
    <w:rsid w:val="7B6871BF"/>
    <w:rsid w:val="7B6A4C2F"/>
    <w:rsid w:val="7BD06B60"/>
    <w:rsid w:val="7C2C144F"/>
    <w:rsid w:val="7C351CB2"/>
    <w:rsid w:val="7C6927AC"/>
    <w:rsid w:val="7C7F5899"/>
    <w:rsid w:val="7C8D1A44"/>
    <w:rsid w:val="7C9C356B"/>
    <w:rsid w:val="7CA45CD4"/>
    <w:rsid w:val="7CB55A0C"/>
    <w:rsid w:val="7CD0260B"/>
    <w:rsid w:val="7D25359A"/>
    <w:rsid w:val="7D6055D7"/>
    <w:rsid w:val="7E700DF0"/>
    <w:rsid w:val="7E71548C"/>
    <w:rsid w:val="7E795DC1"/>
    <w:rsid w:val="7E897616"/>
    <w:rsid w:val="7E93168B"/>
    <w:rsid w:val="7ED863BA"/>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99"/>
    <w:rPr>
      <w:rFonts w:ascii="Times New Roman" w:hAnsi="Times New Roman" w:eastAsia="宋体" w:cs="Times New Roman"/>
      <w:kern w:val="2"/>
      <w:sz w:val="18"/>
      <w:szCs w:val="18"/>
    </w:rPr>
  </w:style>
  <w:style w:type="character" w:customStyle="1" w:styleId="11">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1086</Words>
  <Characters>1089</Characters>
  <Lines>1</Lines>
  <Paragraphs>2</Paragraphs>
  <TotalTime>0</TotalTime>
  <ScaleCrop>false</ScaleCrop>
  <LinksUpToDate>false</LinksUpToDate>
  <CharactersWithSpaces>1089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2021-11-01T03:57:00Z</dcterms:created>
  <dc:creator>wgl</dc:creator>
  <cp:lastModifiedBy>WPS_1161219725</cp:lastModifiedBy>
  <cp:lastPrinted>2023-01-18T05:10:00Z</cp:lastPrinted>
  <dcterms:modified xsi:type="dcterms:W3CDTF">2023-02-22T02:47:04Z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018EE507D36E4F08B32482D7F4F8F007</vt:lpwstr>
  </property>
</Properties>
</file>