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CD" w:rsidRPr="00F8341F" w:rsidRDefault="00852DCD" w:rsidP="002B0758">
      <w:pPr>
        <w:adjustRightInd w:val="0"/>
        <w:snapToGrid w:val="0"/>
        <w:spacing w:line="360" w:lineRule="auto"/>
        <w:jc w:val="center"/>
        <w:rPr>
          <w:rFonts w:eastAsia="方正小标宋简体" w:cs="Times New Roman"/>
          <w:bCs/>
          <w:sz w:val="36"/>
          <w:szCs w:val="36"/>
        </w:rPr>
      </w:pPr>
      <w:r w:rsidRPr="00F8341F">
        <w:rPr>
          <w:rFonts w:eastAsia="方正小标宋简体" w:cs="Times New Roman"/>
          <w:bCs/>
          <w:sz w:val="36"/>
          <w:szCs w:val="36"/>
        </w:rPr>
        <w:t>《基于动物法则的药物注册技术指导原则</w:t>
      </w:r>
    </w:p>
    <w:p w:rsidR="003F136A" w:rsidRPr="00F8341F" w:rsidRDefault="00852DCD" w:rsidP="002B0758">
      <w:pPr>
        <w:adjustRightInd w:val="0"/>
        <w:snapToGrid w:val="0"/>
        <w:spacing w:line="360" w:lineRule="auto"/>
        <w:jc w:val="center"/>
        <w:rPr>
          <w:rFonts w:eastAsia="方正小标宋简体" w:cs="Times New Roman"/>
          <w:bCs/>
          <w:sz w:val="36"/>
          <w:szCs w:val="36"/>
        </w:rPr>
      </w:pPr>
      <w:r w:rsidRPr="00F8341F">
        <w:rPr>
          <w:rFonts w:eastAsia="方正小标宋简体" w:cs="Times New Roman"/>
          <w:bCs/>
          <w:sz w:val="36"/>
          <w:szCs w:val="36"/>
        </w:rPr>
        <w:t>（征求意见稿）》</w:t>
      </w:r>
      <w:r w:rsidR="001A3B8F" w:rsidRPr="00F8341F">
        <w:rPr>
          <w:rFonts w:eastAsia="方正小标宋简体" w:cs="Times New Roman"/>
          <w:bCs/>
          <w:sz w:val="36"/>
          <w:szCs w:val="36"/>
        </w:rPr>
        <w:t>起草说明</w:t>
      </w:r>
    </w:p>
    <w:p w:rsidR="00852DCD" w:rsidRPr="00FD2413" w:rsidRDefault="00852DCD" w:rsidP="002B0758">
      <w:pPr>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某些用于治疗或预防由化学、生物、放射、核物质引起的严重威胁人体生命健康的疾病的药物开发对国家公共卫生战略部署和国家安全具有重大意义，但因开展人体有效性试验不符合伦理或现场试验不可行，无法按常规思路开展临床有效性</w:t>
      </w:r>
      <w:r w:rsidR="008827B2">
        <w:rPr>
          <w:rFonts w:eastAsia="仿宋_GB2312" w:cs="Times New Roman" w:hint="eastAsia"/>
          <w:sz w:val="32"/>
          <w:szCs w:val="32"/>
        </w:rPr>
        <w:t>试验</w:t>
      </w:r>
      <w:bookmarkStart w:id="0" w:name="_GoBack"/>
      <w:bookmarkEnd w:id="0"/>
      <w:r w:rsidRPr="00F8341F">
        <w:rPr>
          <w:rFonts w:eastAsia="仿宋_GB2312" w:cs="Times New Roman"/>
          <w:sz w:val="32"/>
          <w:szCs w:val="32"/>
        </w:rPr>
        <w:t>获得人体有效性数据申报上市，这种情况下，药品监管部门基于充分的和良好对照的动物有效性试验数据及其它支持性数据，在确定该药物</w:t>
      </w:r>
      <w:r w:rsidR="006722F8" w:rsidRPr="00F8341F">
        <w:rPr>
          <w:rFonts w:eastAsia="仿宋_GB2312" w:cs="Times New Roman"/>
          <w:sz w:val="32"/>
          <w:szCs w:val="32"/>
        </w:rPr>
        <w:t>很</w:t>
      </w:r>
      <w:r w:rsidRPr="00F8341F">
        <w:rPr>
          <w:rFonts w:eastAsia="仿宋_GB2312" w:cs="Times New Roman"/>
          <w:sz w:val="32"/>
          <w:szCs w:val="32"/>
        </w:rPr>
        <w:t>可能带来临床获益时批准其上市，即基于</w:t>
      </w:r>
      <w:r w:rsidRPr="00F8341F">
        <w:rPr>
          <w:rFonts w:eastAsia="仿宋_GB2312" w:cs="Times New Roman"/>
          <w:sz w:val="32"/>
          <w:szCs w:val="32"/>
        </w:rPr>
        <w:t>“</w:t>
      </w:r>
      <w:r w:rsidRPr="00F8341F">
        <w:rPr>
          <w:rFonts w:eastAsia="仿宋_GB2312" w:cs="Times New Roman"/>
          <w:sz w:val="32"/>
          <w:szCs w:val="32"/>
        </w:rPr>
        <w:t>动物法则</w:t>
      </w:r>
      <w:r w:rsidR="002B0758" w:rsidRPr="00F8341F">
        <w:rPr>
          <w:rFonts w:eastAsia="仿宋_GB2312" w:cs="Times New Roman"/>
          <w:sz w:val="32"/>
          <w:szCs w:val="32"/>
        </w:rPr>
        <w:t>（</w:t>
      </w:r>
      <w:r w:rsidR="002B0758" w:rsidRPr="00F8341F">
        <w:rPr>
          <w:rFonts w:eastAsia="仿宋_GB2312" w:cs="Times New Roman"/>
          <w:sz w:val="32"/>
          <w:szCs w:val="32"/>
        </w:rPr>
        <w:t>Animal Rule</w:t>
      </w:r>
      <w:r w:rsidR="002B0758" w:rsidRPr="00F8341F">
        <w:rPr>
          <w:rFonts w:eastAsia="仿宋_GB2312" w:cs="Times New Roman"/>
          <w:sz w:val="32"/>
          <w:szCs w:val="32"/>
        </w:rPr>
        <w:t>）</w:t>
      </w:r>
      <w:r w:rsidRPr="00F8341F">
        <w:rPr>
          <w:rFonts w:eastAsia="仿宋_GB2312" w:cs="Times New Roman"/>
          <w:sz w:val="32"/>
          <w:szCs w:val="32"/>
        </w:rPr>
        <w:t>”</w:t>
      </w:r>
      <w:r w:rsidRPr="00F8341F">
        <w:rPr>
          <w:rFonts w:eastAsia="仿宋_GB2312" w:cs="Times New Roman"/>
          <w:sz w:val="32"/>
          <w:szCs w:val="32"/>
        </w:rPr>
        <w:t>的药物注册，如用于炭疽、鼠疫、核辐射等药物均可借鉴该策略进行上市有效性评价。</w:t>
      </w:r>
      <w:bookmarkStart w:id="1" w:name="OLE_LINK1396"/>
      <w:bookmarkStart w:id="2" w:name="OLE_LINK1397"/>
      <w:bookmarkStart w:id="3" w:name="OLE_LINK18"/>
      <w:bookmarkStart w:id="4" w:name="OLE_LINK1382"/>
      <w:bookmarkStart w:id="5" w:name="OLE_LINK1383"/>
      <w:r w:rsidRPr="00F8341F">
        <w:rPr>
          <w:rFonts w:eastAsia="仿宋_GB2312" w:cs="Times New Roman"/>
          <w:sz w:val="32"/>
          <w:szCs w:val="32"/>
        </w:rPr>
        <w:t>国内尚无</w:t>
      </w:r>
      <w:bookmarkEnd w:id="1"/>
      <w:bookmarkEnd w:id="2"/>
      <w:r w:rsidRPr="00F8341F">
        <w:rPr>
          <w:rFonts w:eastAsia="仿宋_GB2312" w:cs="Times New Roman"/>
          <w:sz w:val="32"/>
          <w:szCs w:val="32"/>
        </w:rPr>
        <w:t>相关技术指导原则，为了</w:t>
      </w:r>
      <w:r w:rsidR="006722F8" w:rsidRPr="00F8341F">
        <w:rPr>
          <w:rFonts w:eastAsia="仿宋_GB2312" w:cs="Times New Roman"/>
          <w:sz w:val="32"/>
          <w:szCs w:val="32"/>
        </w:rPr>
        <w:t>科学开展</w:t>
      </w:r>
      <w:r w:rsidR="00FD2413">
        <w:rPr>
          <w:rFonts w:eastAsia="仿宋_GB2312" w:cs="Times New Roman" w:hint="eastAsia"/>
          <w:sz w:val="32"/>
          <w:szCs w:val="32"/>
        </w:rPr>
        <w:t>该类</w:t>
      </w:r>
      <w:r w:rsidR="00FD2413">
        <w:rPr>
          <w:rFonts w:eastAsia="仿宋_GB2312" w:cs="Times New Roman"/>
          <w:sz w:val="32"/>
          <w:szCs w:val="32"/>
        </w:rPr>
        <w:t>药物的有效性评价</w:t>
      </w:r>
      <w:r w:rsidR="006722F8" w:rsidRPr="00F8341F">
        <w:rPr>
          <w:rFonts w:eastAsia="仿宋_GB2312" w:cs="Times New Roman"/>
          <w:sz w:val="32"/>
          <w:szCs w:val="32"/>
        </w:rPr>
        <w:t>和正确应用动物法则，推动</w:t>
      </w:r>
      <w:r w:rsidR="00FD2413">
        <w:rPr>
          <w:rFonts w:eastAsia="仿宋_GB2312" w:cs="Times New Roman" w:hint="eastAsia"/>
          <w:sz w:val="32"/>
          <w:szCs w:val="32"/>
        </w:rPr>
        <w:t>该类</w:t>
      </w:r>
      <w:r w:rsidR="006722F8" w:rsidRPr="00F8341F">
        <w:rPr>
          <w:rFonts w:eastAsia="仿宋_GB2312" w:cs="Times New Roman"/>
          <w:sz w:val="32"/>
          <w:szCs w:val="32"/>
        </w:rPr>
        <w:t>药物上市，</w:t>
      </w:r>
      <w:r w:rsidRPr="00F8341F">
        <w:rPr>
          <w:rFonts w:eastAsia="仿宋_GB2312" w:cs="Times New Roman"/>
          <w:sz w:val="32"/>
          <w:szCs w:val="32"/>
        </w:rPr>
        <w:t>药审中心起草了《</w:t>
      </w:r>
      <w:r w:rsidR="004C0F84" w:rsidRPr="00F8341F">
        <w:rPr>
          <w:rFonts w:eastAsia="仿宋_GB2312" w:cs="Times New Roman"/>
          <w:sz w:val="32"/>
          <w:szCs w:val="32"/>
        </w:rPr>
        <w:t>基于动物法则的药物注册技术指导原则</w:t>
      </w:r>
      <w:r w:rsidRPr="00F8341F">
        <w:rPr>
          <w:rFonts w:eastAsia="仿宋_GB2312" w:cs="Times New Roman"/>
          <w:sz w:val="32"/>
          <w:szCs w:val="32"/>
        </w:rPr>
        <w:t>》。</w:t>
      </w:r>
      <w:bookmarkEnd w:id="3"/>
      <w:bookmarkEnd w:id="4"/>
      <w:bookmarkEnd w:id="5"/>
    </w:p>
    <w:p w:rsidR="00CE2F44" w:rsidRPr="00F8341F" w:rsidRDefault="00CE2F44" w:rsidP="002B0758">
      <w:pPr>
        <w:pStyle w:val="a3"/>
        <w:numPr>
          <w:ilvl w:val="0"/>
          <w:numId w:val="1"/>
        </w:numPr>
        <w:adjustRightInd w:val="0"/>
        <w:snapToGrid w:val="0"/>
        <w:spacing w:line="360" w:lineRule="auto"/>
        <w:ind w:firstLineChars="0"/>
        <w:rPr>
          <w:rStyle w:val="fontstyle01"/>
          <w:rFonts w:ascii="Times New Roman" w:hAnsi="Times New Roman" w:cs="Times New Roman" w:hint="default"/>
        </w:rPr>
      </w:pPr>
      <w:r w:rsidRPr="00F8341F">
        <w:rPr>
          <w:rStyle w:val="fontstyle01"/>
          <w:rFonts w:ascii="Times New Roman" w:hAnsi="Times New Roman" w:cs="Times New Roman" w:hint="default"/>
        </w:rPr>
        <w:t>起草目的</w:t>
      </w:r>
    </w:p>
    <w:p w:rsidR="00AC4D8B" w:rsidRPr="00F8341F" w:rsidRDefault="00AC4D8B" w:rsidP="002B0758">
      <w:pPr>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本指导原则旨在为开展人体有效性试验不符合伦理或现场试验不可行的药物的动物有效性试验设计及评价提供一般性技术指导和参考，以获取科学规范的有效性试验数据支持其上市。</w:t>
      </w:r>
    </w:p>
    <w:p w:rsidR="00E75526" w:rsidRPr="00F8341F" w:rsidRDefault="00E75526" w:rsidP="002B0758">
      <w:pPr>
        <w:autoSpaceDE w:val="0"/>
        <w:autoSpaceDN w:val="0"/>
        <w:adjustRightInd w:val="0"/>
        <w:snapToGrid w:val="0"/>
        <w:spacing w:line="360" w:lineRule="auto"/>
        <w:ind w:firstLineChars="200" w:firstLine="640"/>
        <w:rPr>
          <w:rFonts w:eastAsia="黑体" w:cs="Times New Roman"/>
          <w:sz w:val="32"/>
          <w:szCs w:val="32"/>
        </w:rPr>
      </w:pPr>
      <w:r w:rsidRPr="00F8341F">
        <w:rPr>
          <w:rFonts w:eastAsia="黑体" w:cs="Times New Roman"/>
          <w:sz w:val="32"/>
          <w:szCs w:val="32"/>
        </w:rPr>
        <w:t>二、起草过程</w:t>
      </w:r>
    </w:p>
    <w:p w:rsidR="00E75526" w:rsidRPr="00F8341F" w:rsidRDefault="00E75526" w:rsidP="002B0758">
      <w:pPr>
        <w:autoSpaceDE w:val="0"/>
        <w:autoSpaceDN w:val="0"/>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本指导原则由药理毒理学部牵头</w:t>
      </w:r>
      <w:r w:rsidR="00945B7F" w:rsidRPr="00F8341F">
        <w:rPr>
          <w:rFonts w:eastAsia="仿宋_GB2312" w:cs="Times New Roman"/>
          <w:sz w:val="32"/>
          <w:szCs w:val="32"/>
        </w:rPr>
        <w:t>，</w:t>
      </w:r>
      <w:r w:rsidR="00B71122" w:rsidRPr="00F8341F">
        <w:rPr>
          <w:rFonts w:eastAsia="仿宋_GB2312" w:cs="Times New Roman"/>
          <w:sz w:val="32"/>
          <w:szCs w:val="32"/>
        </w:rPr>
        <w:t>委托中国毒理学会生</w:t>
      </w:r>
      <w:r w:rsidR="00B71122" w:rsidRPr="00F8341F">
        <w:rPr>
          <w:rFonts w:eastAsia="仿宋_GB2312" w:cs="Times New Roman"/>
          <w:sz w:val="32"/>
          <w:szCs w:val="32"/>
        </w:rPr>
        <w:lastRenderedPageBreak/>
        <w:t>物技术药物毒理与安全性评价专业委员会</w:t>
      </w:r>
      <w:r w:rsidR="00644A3B">
        <w:rPr>
          <w:rFonts w:eastAsia="仿宋_GB2312" w:cs="Times New Roman" w:hint="eastAsia"/>
          <w:sz w:val="32"/>
          <w:szCs w:val="32"/>
        </w:rPr>
        <w:t>组织</w:t>
      </w:r>
      <w:r w:rsidR="00644A3B">
        <w:rPr>
          <w:rFonts w:eastAsia="仿宋_GB2312" w:cs="Times New Roman"/>
          <w:sz w:val="32"/>
          <w:szCs w:val="32"/>
        </w:rPr>
        <w:t>国内研究</w:t>
      </w:r>
      <w:r w:rsidR="00644A3B">
        <w:rPr>
          <w:rFonts w:eastAsia="仿宋_GB2312" w:cs="Times New Roman" w:hint="eastAsia"/>
          <w:sz w:val="32"/>
          <w:szCs w:val="32"/>
        </w:rPr>
        <w:t>机构、学界业界</w:t>
      </w:r>
      <w:r w:rsidR="00644A3B">
        <w:rPr>
          <w:rFonts w:eastAsia="仿宋_GB2312" w:cs="Times New Roman"/>
          <w:sz w:val="32"/>
          <w:szCs w:val="32"/>
        </w:rPr>
        <w:t>、</w:t>
      </w:r>
      <w:r w:rsidR="00644A3B">
        <w:rPr>
          <w:rFonts w:eastAsia="仿宋_GB2312" w:cs="Times New Roman" w:hint="eastAsia"/>
          <w:sz w:val="32"/>
          <w:szCs w:val="32"/>
        </w:rPr>
        <w:t>临床专家共同参与</w:t>
      </w:r>
      <w:r w:rsidR="00644A3B">
        <w:rPr>
          <w:rFonts w:eastAsia="仿宋_GB2312" w:cs="Times New Roman"/>
          <w:sz w:val="32"/>
          <w:szCs w:val="32"/>
        </w:rPr>
        <w:t>指导</w:t>
      </w:r>
      <w:r w:rsidR="00644A3B">
        <w:rPr>
          <w:rFonts w:eastAsia="仿宋_GB2312" w:cs="Times New Roman" w:hint="eastAsia"/>
          <w:sz w:val="32"/>
          <w:szCs w:val="32"/>
        </w:rPr>
        <w:t>原则</w:t>
      </w:r>
      <w:r w:rsidR="00B71122" w:rsidRPr="00F8341F">
        <w:rPr>
          <w:rFonts w:eastAsia="仿宋_GB2312" w:cs="Times New Roman"/>
          <w:sz w:val="32"/>
          <w:szCs w:val="32"/>
        </w:rPr>
        <w:t>起草</w:t>
      </w:r>
      <w:r w:rsidR="002356D7" w:rsidRPr="00F8341F">
        <w:rPr>
          <w:rFonts w:eastAsia="仿宋_GB2312" w:cs="Times New Roman"/>
          <w:sz w:val="32"/>
          <w:szCs w:val="32"/>
        </w:rPr>
        <w:t>相关</w:t>
      </w:r>
      <w:r w:rsidR="00B71122" w:rsidRPr="00F8341F">
        <w:rPr>
          <w:rFonts w:eastAsia="仿宋_GB2312" w:cs="Times New Roman"/>
          <w:sz w:val="32"/>
          <w:szCs w:val="32"/>
        </w:rPr>
        <w:t>工作</w:t>
      </w:r>
      <w:r w:rsidR="002356D7" w:rsidRPr="00F8341F">
        <w:rPr>
          <w:rFonts w:eastAsia="仿宋_GB2312" w:cs="Times New Roman"/>
          <w:sz w:val="32"/>
          <w:szCs w:val="32"/>
        </w:rPr>
        <w:t>。该指导原则于</w:t>
      </w:r>
      <w:r w:rsidR="002356D7" w:rsidRPr="00F8341F">
        <w:rPr>
          <w:rFonts w:eastAsia="仿宋_GB2312" w:cs="Times New Roman"/>
          <w:sz w:val="32"/>
          <w:szCs w:val="32"/>
        </w:rPr>
        <w:t>2021</w:t>
      </w:r>
      <w:r w:rsidR="002356D7" w:rsidRPr="00F8341F">
        <w:rPr>
          <w:rFonts w:eastAsia="仿宋_GB2312" w:cs="Times New Roman"/>
          <w:sz w:val="32"/>
          <w:szCs w:val="32"/>
        </w:rPr>
        <w:t>年</w:t>
      </w:r>
      <w:r w:rsidR="002356D7" w:rsidRPr="00F8341F">
        <w:rPr>
          <w:rFonts w:eastAsia="仿宋_GB2312" w:cs="Times New Roman"/>
          <w:sz w:val="32"/>
          <w:szCs w:val="32"/>
        </w:rPr>
        <w:t>11</w:t>
      </w:r>
      <w:r w:rsidR="002356D7" w:rsidRPr="00F8341F">
        <w:rPr>
          <w:rFonts w:eastAsia="仿宋_GB2312" w:cs="Times New Roman"/>
          <w:sz w:val="32"/>
          <w:szCs w:val="32"/>
        </w:rPr>
        <w:t>月启动立项，</w:t>
      </w:r>
      <w:r w:rsidR="00945B7F" w:rsidRPr="00F8341F">
        <w:rPr>
          <w:rFonts w:eastAsia="仿宋_GB2312" w:cs="Times New Roman"/>
          <w:sz w:val="32"/>
          <w:szCs w:val="32"/>
        </w:rPr>
        <w:t>在</w:t>
      </w:r>
      <w:r w:rsidRPr="00F8341F">
        <w:rPr>
          <w:rFonts w:eastAsia="仿宋_GB2312" w:cs="Times New Roman"/>
          <w:sz w:val="32"/>
          <w:szCs w:val="32"/>
        </w:rPr>
        <w:t>广泛调研了相关指导原则</w:t>
      </w:r>
      <w:r w:rsidR="00087561" w:rsidRPr="00F8341F">
        <w:rPr>
          <w:rFonts w:eastAsia="仿宋_GB2312" w:cs="Times New Roman"/>
          <w:sz w:val="32"/>
          <w:szCs w:val="32"/>
        </w:rPr>
        <w:t>、动物法则</w:t>
      </w:r>
      <w:r w:rsidRPr="00F8341F">
        <w:rPr>
          <w:rFonts w:eastAsia="仿宋_GB2312" w:cs="Times New Roman"/>
          <w:sz w:val="32"/>
          <w:szCs w:val="32"/>
        </w:rPr>
        <w:t>相关文献</w:t>
      </w:r>
      <w:r w:rsidR="00087561" w:rsidRPr="00F8341F">
        <w:rPr>
          <w:rFonts w:eastAsia="仿宋_GB2312" w:cs="Times New Roman"/>
          <w:sz w:val="32"/>
          <w:szCs w:val="32"/>
        </w:rPr>
        <w:t>后</w:t>
      </w:r>
      <w:r w:rsidRPr="00F8341F">
        <w:rPr>
          <w:rFonts w:eastAsia="仿宋_GB2312" w:cs="Times New Roman"/>
          <w:sz w:val="32"/>
          <w:szCs w:val="32"/>
        </w:rPr>
        <w:t>，</w:t>
      </w:r>
      <w:r w:rsidR="00087561" w:rsidRPr="00F8341F">
        <w:rPr>
          <w:rFonts w:eastAsia="仿宋_GB2312" w:cs="Times New Roman"/>
          <w:sz w:val="32"/>
          <w:szCs w:val="32"/>
        </w:rPr>
        <w:t>于</w:t>
      </w:r>
      <w:r w:rsidR="00087561" w:rsidRPr="00F8341F">
        <w:rPr>
          <w:rFonts w:eastAsia="仿宋_GB2312" w:cs="Times New Roman"/>
          <w:sz w:val="32"/>
          <w:szCs w:val="32"/>
        </w:rPr>
        <w:t>2022</w:t>
      </w:r>
      <w:r w:rsidR="00087561" w:rsidRPr="00F8341F">
        <w:rPr>
          <w:rFonts w:eastAsia="仿宋_GB2312" w:cs="Times New Roman"/>
          <w:sz w:val="32"/>
          <w:szCs w:val="32"/>
        </w:rPr>
        <w:t>年</w:t>
      </w:r>
      <w:r w:rsidR="00087561" w:rsidRPr="00F8341F">
        <w:rPr>
          <w:rFonts w:eastAsia="仿宋_GB2312" w:cs="Times New Roman"/>
          <w:sz w:val="32"/>
          <w:szCs w:val="32"/>
        </w:rPr>
        <w:t>1</w:t>
      </w:r>
      <w:r w:rsidR="00087561" w:rsidRPr="00F8341F">
        <w:rPr>
          <w:rFonts w:eastAsia="仿宋_GB2312" w:cs="Times New Roman"/>
          <w:sz w:val="32"/>
          <w:szCs w:val="32"/>
        </w:rPr>
        <w:t>月召开开题会议，确定指导原则定位及目标，</w:t>
      </w:r>
      <w:r w:rsidR="001A280E" w:rsidRPr="00F8341F">
        <w:rPr>
          <w:rFonts w:eastAsia="仿宋_GB2312" w:cs="Times New Roman"/>
          <w:sz w:val="32"/>
          <w:szCs w:val="32"/>
        </w:rPr>
        <w:t>形成起草大纲，</w:t>
      </w:r>
      <w:r w:rsidR="00087561" w:rsidRPr="00F8341F">
        <w:rPr>
          <w:rFonts w:eastAsia="仿宋_GB2312" w:cs="Times New Roman"/>
          <w:sz w:val="32"/>
          <w:szCs w:val="32"/>
        </w:rPr>
        <w:t>于</w:t>
      </w:r>
      <w:r w:rsidR="00087561" w:rsidRPr="00F8341F">
        <w:rPr>
          <w:rFonts w:eastAsia="仿宋_GB2312" w:cs="Times New Roman"/>
          <w:sz w:val="32"/>
          <w:szCs w:val="32"/>
        </w:rPr>
        <w:t>2022</w:t>
      </w:r>
      <w:r w:rsidR="00087561" w:rsidRPr="00F8341F">
        <w:rPr>
          <w:rFonts w:eastAsia="仿宋_GB2312" w:cs="Times New Roman"/>
          <w:sz w:val="32"/>
          <w:szCs w:val="32"/>
        </w:rPr>
        <w:t>年</w:t>
      </w:r>
      <w:r w:rsidR="00087561" w:rsidRPr="00F8341F">
        <w:rPr>
          <w:rFonts w:eastAsia="仿宋_GB2312" w:cs="Times New Roman"/>
          <w:sz w:val="32"/>
          <w:szCs w:val="32"/>
        </w:rPr>
        <w:t>4</w:t>
      </w:r>
      <w:r w:rsidR="00087561" w:rsidRPr="00F8341F">
        <w:rPr>
          <w:rFonts w:eastAsia="仿宋_GB2312" w:cs="Times New Roman"/>
          <w:sz w:val="32"/>
          <w:szCs w:val="32"/>
        </w:rPr>
        <w:t>月召开线上调研会，邀请</w:t>
      </w:r>
      <w:r w:rsidR="00644A3B">
        <w:rPr>
          <w:rFonts w:eastAsia="仿宋_GB2312" w:cs="Times New Roman"/>
          <w:sz w:val="32"/>
          <w:szCs w:val="32"/>
        </w:rPr>
        <w:t>国内研究</w:t>
      </w:r>
      <w:r w:rsidR="00644A3B">
        <w:rPr>
          <w:rFonts w:eastAsia="仿宋_GB2312" w:cs="Times New Roman" w:hint="eastAsia"/>
          <w:sz w:val="32"/>
          <w:szCs w:val="32"/>
        </w:rPr>
        <w:t>机构、学界业界</w:t>
      </w:r>
      <w:r w:rsidR="00644A3B">
        <w:rPr>
          <w:rFonts w:eastAsia="仿宋_GB2312" w:cs="Times New Roman"/>
          <w:sz w:val="32"/>
          <w:szCs w:val="32"/>
        </w:rPr>
        <w:t>、</w:t>
      </w:r>
      <w:r w:rsidR="00644A3B">
        <w:rPr>
          <w:rFonts w:eastAsia="仿宋_GB2312" w:cs="Times New Roman" w:hint="eastAsia"/>
          <w:sz w:val="32"/>
          <w:szCs w:val="32"/>
        </w:rPr>
        <w:t>临床专家</w:t>
      </w:r>
      <w:r w:rsidR="00087561" w:rsidRPr="00F8341F">
        <w:rPr>
          <w:rFonts w:eastAsia="仿宋_GB2312" w:cs="Times New Roman"/>
          <w:sz w:val="32"/>
          <w:szCs w:val="32"/>
        </w:rPr>
        <w:t>对此类药物有效性评价的关键点及存在的问题进行充分讨论，以了解国内研发现状，</w:t>
      </w:r>
      <w:r w:rsidR="001A280E" w:rsidRPr="00F8341F">
        <w:rPr>
          <w:rFonts w:eastAsia="仿宋_GB2312" w:cs="Times New Roman"/>
          <w:sz w:val="32"/>
          <w:szCs w:val="32"/>
        </w:rPr>
        <w:t>共</w:t>
      </w:r>
      <w:r w:rsidR="002356D7" w:rsidRPr="00F8341F">
        <w:rPr>
          <w:rFonts w:eastAsia="仿宋_GB2312" w:cs="Times New Roman"/>
          <w:sz w:val="32"/>
          <w:szCs w:val="32"/>
        </w:rPr>
        <w:t>经</w:t>
      </w:r>
      <w:r w:rsidR="002356D7" w:rsidRPr="00F8341F">
        <w:rPr>
          <w:rFonts w:eastAsia="仿宋_GB2312" w:cs="Times New Roman"/>
          <w:sz w:val="32"/>
          <w:szCs w:val="32"/>
        </w:rPr>
        <w:t>4</w:t>
      </w:r>
      <w:r w:rsidR="002356D7" w:rsidRPr="00F8341F">
        <w:rPr>
          <w:rFonts w:eastAsia="仿宋_GB2312" w:cs="Times New Roman"/>
          <w:sz w:val="32"/>
          <w:szCs w:val="32"/>
        </w:rPr>
        <w:t>次</w:t>
      </w:r>
      <w:r w:rsidR="001A280E" w:rsidRPr="00F8341F">
        <w:rPr>
          <w:rFonts w:eastAsia="仿宋_GB2312" w:cs="Times New Roman"/>
          <w:sz w:val="32"/>
          <w:szCs w:val="32"/>
        </w:rPr>
        <w:t>指导原则核心工作组</w:t>
      </w:r>
      <w:r w:rsidR="002356D7" w:rsidRPr="00F8341F">
        <w:rPr>
          <w:rFonts w:eastAsia="仿宋_GB2312" w:cs="Times New Roman"/>
          <w:sz w:val="32"/>
          <w:szCs w:val="32"/>
        </w:rPr>
        <w:t>会议，</w:t>
      </w:r>
      <w:r w:rsidRPr="00F8341F">
        <w:rPr>
          <w:rFonts w:eastAsia="仿宋_GB2312" w:cs="Times New Roman"/>
          <w:sz w:val="32"/>
          <w:szCs w:val="32"/>
        </w:rPr>
        <w:t>于</w:t>
      </w:r>
      <w:r w:rsidRPr="00F8341F">
        <w:rPr>
          <w:rFonts w:eastAsia="仿宋_GB2312" w:cs="Times New Roman"/>
          <w:sz w:val="32"/>
          <w:szCs w:val="32"/>
        </w:rPr>
        <w:t>2022</w:t>
      </w:r>
      <w:r w:rsidRPr="00F8341F">
        <w:rPr>
          <w:rFonts w:eastAsia="仿宋_GB2312" w:cs="Times New Roman"/>
          <w:sz w:val="32"/>
          <w:szCs w:val="32"/>
        </w:rPr>
        <w:t>年</w:t>
      </w:r>
      <w:r w:rsidR="00087561" w:rsidRPr="00F8341F">
        <w:rPr>
          <w:rFonts w:eastAsia="仿宋_GB2312" w:cs="Times New Roman"/>
          <w:sz w:val="32"/>
          <w:szCs w:val="32"/>
        </w:rPr>
        <w:t>5</w:t>
      </w:r>
      <w:r w:rsidRPr="00F8341F">
        <w:rPr>
          <w:rFonts w:eastAsia="仿宋_GB2312" w:cs="Times New Roman"/>
          <w:sz w:val="32"/>
          <w:szCs w:val="32"/>
        </w:rPr>
        <w:t>月形成</w:t>
      </w:r>
      <w:r w:rsidR="001A280E" w:rsidRPr="00F8341F">
        <w:rPr>
          <w:rFonts w:eastAsia="仿宋_GB2312" w:cs="Times New Roman"/>
          <w:sz w:val="32"/>
          <w:szCs w:val="32"/>
        </w:rPr>
        <w:t>正式</w:t>
      </w:r>
      <w:r w:rsidRPr="00F8341F">
        <w:rPr>
          <w:rFonts w:eastAsia="仿宋_GB2312" w:cs="Times New Roman"/>
          <w:sz w:val="32"/>
          <w:szCs w:val="32"/>
        </w:rPr>
        <w:t>初稿；</w:t>
      </w:r>
      <w:r w:rsidR="001A280E" w:rsidRPr="00F8341F">
        <w:rPr>
          <w:rFonts w:eastAsia="仿宋_GB2312" w:cs="Times New Roman"/>
          <w:sz w:val="32"/>
          <w:szCs w:val="32"/>
        </w:rPr>
        <w:t>药审中心</w:t>
      </w:r>
      <w:r w:rsidRPr="00F8341F">
        <w:rPr>
          <w:rFonts w:eastAsia="仿宋_GB2312" w:cs="Times New Roman"/>
          <w:sz w:val="32"/>
          <w:szCs w:val="32"/>
        </w:rPr>
        <w:t>于</w:t>
      </w:r>
      <w:r w:rsidRPr="00F8341F">
        <w:rPr>
          <w:rFonts w:eastAsia="仿宋_GB2312" w:cs="Times New Roman"/>
          <w:sz w:val="32"/>
          <w:szCs w:val="32"/>
        </w:rPr>
        <w:t>2022</w:t>
      </w:r>
      <w:r w:rsidRPr="00F8341F">
        <w:rPr>
          <w:rFonts w:eastAsia="仿宋_GB2312" w:cs="Times New Roman"/>
          <w:sz w:val="32"/>
          <w:szCs w:val="32"/>
        </w:rPr>
        <w:t>年</w:t>
      </w:r>
      <w:r w:rsidR="002356D7" w:rsidRPr="00F8341F">
        <w:rPr>
          <w:rFonts w:eastAsia="仿宋_GB2312" w:cs="Times New Roman"/>
          <w:sz w:val="32"/>
          <w:szCs w:val="32"/>
        </w:rPr>
        <w:t>6</w:t>
      </w:r>
      <w:r w:rsidRPr="00F8341F">
        <w:rPr>
          <w:rFonts w:eastAsia="仿宋_GB2312" w:cs="Times New Roman"/>
          <w:sz w:val="32"/>
          <w:szCs w:val="32"/>
        </w:rPr>
        <w:t>月</w:t>
      </w:r>
      <w:r w:rsidR="002356D7" w:rsidRPr="00F8341F">
        <w:rPr>
          <w:rFonts w:eastAsia="仿宋_GB2312" w:cs="Times New Roman"/>
          <w:sz w:val="32"/>
          <w:szCs w:val="32"/>
        </w:rPr>
        <w:t>22</w:t>
      </w:r>
      <w:r w:rsidRPr="00F8341F">
        <w:rPr>
          <w:rFonts w:eastAsia="仿宋_GB2312" w:cs="Times New Roman"/>
          <w:sz w:val="32"/>
          <w:szCs w:val="32"/>
        </w:rPr>
        <w:t>日组织召开</w:t>
      </w:r>
      <w:r w:rsidR="001A280E" w:rsidRPr="00F8341F">
        <w:rPr>
          <w:rFonts w:eastAsia="仿宋_GB2312" w:cs="Times New Roman"/>
          <w:sz w:val="32"/>
          <w:szCs w:val="32"/>
        </w:rPr>
        <w:t>初稿</w:t>
      </w:r>
      <w:r w:rsidRPr="00F8341F">
        <w:rPr>
          <w:rFonts w:eastAsia="仿宋_GB2312" w:cs="Times New Roman"/>
          <w:sz w:val="32"/>
          <w:szCs w:val="32"/>
        </w:rPr>
        <w:t>专家</w:t>
      </w:r>
      <w:r w:rsidR="001A280E" w:rsidRPr="00F8341F">
        <w:rPr>
          <w:rFonts w:eastAsia="仿宋_GB2312" w:cs="Times New Roman"/>
          <w:sz w:val="32"/>
          <w:szCs w:val="32"/>
        </w:rPr>
        <w:t>研讨</w:t>
      </w:r>
      <w:r w:rsidRPr="00F8341F">
        <w:rPr>
          <w:rFonts w:eastAsia="仿宋_GB2312" w:cs="Times New Roman"/>
          <w:sz w:val="32"/>
          <w:szCs w:val="32"/>
        </w:rPr>
        <w:t>会，对</w:t>
      </w:r>
      <w:r w:rsidR="002356D7" w:rsidRPr="00F8341F">
        <w:rPr>
          <w:rFonts w:eastAsia="仿宋_GB2312" w:cs="Times New Roman"/>
          <w:sz w:val="32"/>
          <w:szCs w:val="32"/>
        </w:rPr>
        <w:t>该指导原则</w:t>
      </w:r>
      <w:r w:rsidR="001A280E" w:rsidRPr="00F8341F">
        <w:rPr>
          <w:rFonts w:eastAsia="仿宋_GB2312" w:cs="Times New Roman"/>
          <w:sz w:val="32"/>
          <w:szCs w:val="32"/>
        </w:rPr>
        <w:t>初稿</w:t>
      </w:r>
      <w:r w:rsidRPr="00F8341F">
        <w:rPr>
          <w:rFonts w:eastAsia="仿宋_GB2312" w:cs="Times New Roman"/>
          <w:sz w:val="32"/>
          <w:szCs w:val="32"/>
        </w:rPr>
        <w:t>进行充分讨论</w:t>
      </w:r>
      <w:r w:rsidR="001A280E" w:rsidRPr="00F8341F">
        <w:rPr>
          <w:rFonts w:eastAsia="仿宋_GB2312" w:cs="Times New Roman"/>
          <w:sz w:val="32"/>
          <w:szCs w:val="32"/>
        </w:rPr>
        <w:t>，指出尚需完善及斟酌的内容</w:t>
      </w:r>
      <w:r w:rsidRPr="00F8341F">
        <w:rPr>
          <w:rFonts w:eastAsia="仿宋_GB2312" w:cs="Times New Roman"/>
          <w:sz w:val="32"/>
          <w:szCs w:val="32"/>
        </w:rPr>
        <w:t>；</w:t>
      </w:r>
      <w:r w:rsidR="001A280E" w:rsidRPr="00F8341F">
        <w:rPr>
          <w:rFonts w:eastAsia="仿宋_GB2312" w:cs="Times New Roman"/>
          <w:sz w:val="32"/>
          <w:szCs w:val="32"/>
        </w:rPr>
        <w:t>起草小组根据专家会意见完成修订后</w:t>
      </w:r>
      <w:r w:rsidRPr="00F8341F">
        <w:rPr>
          <w:rFonts w:eastAsia="仿宋_GB2312" w:cs="Times New Roman"/>
          <w:sz w:val="32"/>
          <w:szCs w:val="32"/>
        </w:rPr>
        <w:t>于</w:t>
      </w:r>
      <w:r w:rsidRPr="00F8341F">
        <w:rPr>
          <w:rFonts w:eastAsia="仿宋_GB2312" w:cs="Times New Roman"/>
          <w:sz w:val="32"/>
          <w:szCs w:val="32"/>
        </w:rPr>
        <w:t>2022</w:t>
      </w:r>
      <w:r w:rsidRPr="00F8341F">
        <w:rPr>
          <w:rFonts w:eastAsia="仿宋_GB2312" w:cs="Times New Roman"/>
          <w:sz w:val="32"/>
          <w:szCs w:val="32"/>
        </w:rPr>
        <w:t>年</w:t>
      </w:r>
      <w:r w:rsidR="001A280E" w:rsidRPr="00F8341F">
        <w:rPr>
          <w:rFonts w:eastAsia="仿宋_GB2312" w:cs="Times New Roman"/>
          <w:sz w:val="32"/>
          <w:szCs w:val="32"/>
        </w:rPr>
        <w:t>7</w:t>
      </w:r>
      <w:r w:rsidRPr="00F8341F">
        <w:rPr>
          <w:rFonts w:eastAsia="仿宋_GB2312" w:cs="Times New Roman"/>
          <w:sz w:val="32"/>
          <w:szCs w:val="32"/>
        </w:rPr>
        <w:t>月</w:t>
      </w:r>
      <w:r w:rsidR="001A280E" w:rsidRPr="00F8341F">
        <w:rPr>
          <w:rFonts w:eastAsia="仿宋_GB2312" w:cs="Times New Roman"/>
          <w:sz w:val="32"/>
          <w:szCs w:val="32"/>
        </w:rPr>
        <w:t>4</w:t>
      </w:r>
      <w:r w:rsidR="001A280E" w:rsidRPr="00F8341F">
        <w:rPr>
          <w:rFonts w:eastAsia="仿宋_GB2312" w:cs="Times New Roman"/>
          <w:sz w:val="32"/>
          <w:szCs w:val="32"/>
        </w:rPr>
        <w:t>日</w:t>
      </w:r>
      <w:r w:rsidRPr="00F8341F">
        <w:rPr>
          <w:rFonts w:eastAsia="仿宋_GB2312" w:cs="Times New Roman"/>
          <w:sz w:val="32"/>
          <w:szCs w:val="32"/>
        </w:rPr>
        <w:t>提交部门技术委员会审核，并根据技术委员会意见修改完善</w:t>
      </w:r>
      <w:r w:rsidR="002B0758" w:rsidRPr="00F8341F">
        <w:rPr>
          <w:rFonts w:eastAsia="仿宋_GB2312" w:cs="Times New Roman"/>
          <w:sz w:val="32"/>
          <w:szCs w:val="32"/>
        </w:rPr>
        <w:t>后</w:t>
      </w:r>
      <w:r w:rsidRPr="00F8341F">
        <w:rPr>
          <w:rFonts w:eastAsia="仿宋_GB2312" w:cs="Times New Roman"/>
          <w:sz w:val="32"/>
          <w:szCs w:val="32"/>
        </w:rPr>
        <w:t>形成征求意见稿</w:t>
      </w:r>
      <w:r w:rsidR="00DC5A52">
        <w:rPr>
          <w:rFonts w:eastAsia="仿宋_GB2312" w:cs="Times New Roman" w:hint="eastAsia"/>
          <w:sz w:val="32"/>
          <w:szCs w:val="32"/>
        </w:rPr>
        <w:t>。</w:t>
      </w:r>
    </w:p>
    <w:p w:rsidR="002B0758" w:rsidRPr="00F8341F" w:rsidRDefault="002B0758" w:rsidP="002B0758">
      <w:pPr>
        <w:adjustRightInd w:val="0"/>
        <w:snapToGrid w:val="0"/>
        <w:spacing w:line="360" w:lineRule="auto"/>
        <w:ind w:firstLineChars="196" w:firstLine="627"/>
        <w:rPr>
          <w:rFonts w:eastAsia="黑体" w:cs="Times New Roman"/>
          <w:sz w:val="32"/>
          <w:szCs w:val="32"/>
        </w:rPr>
      </w:pPr>
      <w:r w:rsidRPr="00F8341F">
        <w:rPr>
          <w:rFonts w:eastAsia="黑体" w:cs="Times New Roman"/>
          <w:sz w:val="32"/>
          <w:szCs w:val="32"/>
        </w:rPr>
        <w:t>三、主要内容与说明</w:t>
      </w:r>
    </w:p>
    <w:p w:rsidR="007655A0" w:rsidRPr="00F8341F" w:rsidRDefault="002B0758" w:rsidP="007655A0">
      <w:pPr>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基于动物法则注册药物</w:t>
      </w:r>
      <w:r w:rsidR="007655A0" w:rsidRPr="00F8341F">
        <w:rPr>
          <w:rFonts w:eastAsia="仿宋_GB2312" w:cs="Times New Roman"/>
          <w:sz w:val="32"/>
          <w:szCs w:val="32"/>
        </w:rPr>
        <w:t>只因不符合伦理或现场试验不可行无法开展</w:t>
      </w:r>
      <w:r w:rsidR="008E5A31">
        <w:rPr>
          <w:rFonts w:eastAsia="仿宋_GB2312" w:cs="Times New Roman" w:hint="eastAsia"/>
          <w:sz w:val="32"/>
          <w:szCs w:val="32"/>
        </w:rPr>
        <w:t>临床</w:t>
      </w:r>
      <w:r w:rsidR="007655A0" w:rsidRPr="00F8341F">
        <w:rPr>
          <w:rFonts w:eastAsia="仿宋_GB2312" w:cs="Times New Roman"/>
          <w:sz w:val="32"/>
          <w:szCs w:val="32"/>
        </w:rPr>
        <w:t>有效性评价，其他研究（如安全性等）需符合现有相关指导原则技术要求，故该指导原则对该类药物的一般研发思路仅进行简要概述，重点放在有效性评价方面。本指导原则主要分为</w:t>
      </w:r>
      <w:r w:rsidR="007655A0" w:rsidRPr="00F8341F">
        <w:rPr>
          <w:rFonts w:eastAsia="仿宋_GB2312" w:cs="Times New Roman"/>
          <w:sz w:val="32"/>
          <w:szCs w:val="32"/>
        </w:rPr>
        <w:t>8</w:t>
      </w:r>
      <w:r w:rsidR="007655A0" w:rsidRPr="00F8341F">
        <w:rPr>
          <w:rFonts w:eastAsia="仿宋_GB2312" w:cs="Times New Roman"/>
          <w:sz w:val="32"/>
          <w:szCs w:val="32"/>
        </w:rPr>
        <w:t>个章节，分别为概述、动物试验的一般要求、动物模型、充分的和良好对照的动物有效性试验、外推人体有效剂量、批准药物上市的附加条件、注释及参考文献</w:t>
      </w:r>
      <w:r w:rsidR="00AE462A" w:rsidRPr="00F8341F">
        <w:rPr>
          <w:rFonts w:eastAsia="仿宋_GB2312" w:cs="Times New Roman"/>
          <w:sz w:val="32"/>
          <w:szCs w:val="32"/>
        </w:rPr>
        <w:t>以及附件</w:t>
      </w:r>
      <w:r w:rsidR="007655A0" w:rsidRPr="00F8341F">
        <w:rPr>
          <w:rFonts w:eastAsia="仿宋_GB2312" w:cs="Times New Roman"/>
          <w:sz w:val="32"/>
          <w:szCs w:val="32"/>
        </w:rPr>
        <w:t>。</w:t>
      </w:r>
    </w:p>
    <w:p w:rsidR="0099118B" w:rsidRPr="00F8341F" w:rsidRDefault="007655A0" w:rsidP="00AC4D8B">
      <w:pPr>
        <w:adjustRightInd w:val="0"/>
        <w:snapToGrid w:val="0"/>
        <w:spacing w:line="360" w:lineRule="auto"/>
        <w:ind w:firstLineChars="200" w:firstLine="640"/>
        <w:rPr>
          <w:rFonts w:eastAsia="仿宋" w:cs="Times New Roman"/>
          <w:sz w:val="32"/>
          <w:szCs w:val="32"/>
        </w:rPr>
      </w:pPr>
      <w:r w:rsidRPr="00F8341F">
        <w:rPr>
          <w:rFonts w:eastAsia="仿宋_GB2312" w:cs="Times New Roman"/>
          <w:sz w:val="32"/>
          <w:szCs w:val="32"/>
        </w:rPr>
        <w:lastRenderedPageBreak/>
        <w:t>第一节</w:t>
      </w:r>
      <w:r w:rsidRPr="00F8341F">
        <w:rPr>
          <w:rFonts w:eastAsia="仿宋_GB2312" w:cs="Times New Roman"/>
          <w:sz w:val="32"/>
          <w:szCs w:val="32"/>
        </w:rPr>
        <w:t xml:space="preserve"> </w:t>
      </w:r>
      <w:r w:rsidRPr="00F8341F">
        <w:rPr>
          <w:rFonts w:eastAsia="仿宋_GB2312" w:cs="Times New Roman"/>
          <w:sz w:val="32"/>
          <w:szCs w:val="32"/>
        </w:rPr>
        <w:t>概述：</w:t>
      </w:r>
      <w:r w:rsidRPr="00F8341F">
        <w:rPr>
          <w:rFonts w:eastAsia="仿宋" w:cs="Times New Roman"/>
          <w:sz w:val="32"/>
          <w:szCs w:val="32"/>
        </w:rPr>
        <w:t>主要阐述了本指导原则制定的必要性和目的，同时明确适用范围和该指导原则应用时的一般原则。</w:t>
      </w:r>
    </w:p>
    <w:p w:rsidR="000410D0" w:rsidRPr="00F8341F" w:rsidRDefault="000410D0" w:rsidP="00AC4D8B">
      <w:pPr>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第二节</w:t>
      </w:r>
      <w:r w:rsidRPr="00F8341F">
        <w:rPr>
          <w:rFonts w:eastAsia="仿宋_GB2312" w:cs="Times New Roman"/>
          <w:sz w:val="32"/>
          <w:szCs w:val="32"/>
        </w:rPr>
        <w:t xml:space="preserve"> </w:t>
      </w:r>
      <w:r w:rsidRPr="00F8341F">
        <w:rPr>
          <w:rFonts w:eastAsia="仿宋_GB2312" w:cs="Times New Roman"/>
          <w:sz w:val="32"/>
          <w:szCs w:val="32"/>
        </w:rPr>
        <w:t>动物试验的一般要求：主要阐述了对受试药物、</w:t>
      </w:r>
      <w:r w:rsidRPr="00F8341F">
        <w:rPr>
          <w:rFonts w:eastAsia="仿宋_GB2312" w:cs="Times New Roman"/>
          <w:sz w:val="32"/>
          <w:szCs w:val="32"/>
        </w:rPr>
        <w:t>GLP</w:t>
      </w:r>
      <w:r w:rsidRPr="00F8341F">
        <w:rPr>
          <w:rFonts w:eastAsia="仿宋_GB2312" w:cs="Times New Roman"/>
          <w:sz w:val="32"/>
          <w:szCs w:val="32"/>
        </w:rPr>
        <w:t>依从性、实验动物的要求。考虑到该类药物有效性评价所用动物模型一般会用到致死或严重致残的致病因子，相比传统动物模型，该类动物模型应用过程中动物福利更为重要，故将动物福利要求在该部分进行详细描述，此外，对该类动物模型中可能用到的模拟临床情况的支持性干预、动物模型的干预进行阐述。</w:t>
      </w:r>
    </w:p>
    <w:p w:rsidR="000410D0" w:rsidRPr="00F8341F" w:rsidRDefault="000410D0" w:rsidP="00AC4D8B">
      <w:pPr>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第三节</w:t>
      </w:r>
      <w:r w:rsidRPr="00F8341F">
        <w:rPr>
          <w:rFonts w:eastAsia="仿宋_GB2312" w:cs="Times New Roman"/>
          <w:sz w:val="32"/>
          <w:szCs w:val="32"/>
        </w:rPr>
        <w:t xml:space="preserve"> </w:t>
      </w:r>
      <w:r w:rsidRPr="00F8341F">
        <w:rPr>
          <w:rFonts w:eastAsia="仿宋_GB2312" w:cs="Times New Roman"/>
          <w:sz w:val="32"/>
          <w:szCs w:val="32"/>
        </w:rPr>
        <w:t>动物模型：动物模型的适用性对该类药物获得可用于支持</w:t>
      </w:r>
      <w:r w:rsidR="00697344" w:rsidRPr="00F8341F">
        <w:rPr>
          <w:rFonts w:eastAsia="仿宋_GB2312" w:cs="Times New Roman"/>
          <w:sz w:val="32"/>
          <w:szCs w:val="32"/>
        </w:rPr>
        <w:t>其上市的有效性试验数据至关重要。该部分对动物种属、致病因子、动物易感性和响应性、动物和人类疾病过程的对比、药物干预时机等动物模型建立或选择的关键因素进行阐述，主要为评价所选动物模型对受试药物的适用性及充分性提供充分的依据。需指出的是动物模型适用性依据需科学、详实，也可来源于文献或历史研究数据。</w:t>
      </w:r>
    </w:p>
    <w:p w:rsidR="00697344" w:rsidRPr="00F8341F" w:rsidRDefault="00697344" w:rsidP="00AC4D8B">
      <w:pPr>
        <w:adjustRightInd w:val="0"/>
        <w:snapToGrid w:val="0"/>
        <w:spacing w:line="360" w:lineRule="auto"/>
        <w:ind w:firstLineChars="200" w:firstLine="640"/>
        <w:rPr>
          <w:rFonts w:eastAsia="仿宋_GB2312" w:cs="Times New Roman"/>
          <w:sz w:val="32"/>
          <w:szCs w:val="32"/>
        </w:rPr>
      </w:pPr>
      <w:r w:rsidRPr="00F8341F">
        <w:rPr>
          <w:rFonts w:eastAsia="仿宋_GB2312" w:cs="Times New Roman"/>
          <w:sz w:val="32"/>
          <w:szCs w:val="32"/>
        </w:rPr>
        <w:t>第四节</w:t>
      </w:r>
      <w:r w:rsidR="00B61A4C" w:rsidRPr="00F8341F">
        <w:rPr>
          <w:rFonts w:eastAsia="仿宋_GB2312" w:cs="Times New Roman"/>
          <w:sz w:val="32"/>
          <w:szCs w:val="32"/>
        </w:rPr>
        <w:t xml:space="preserve"> </w:t>
      </w:r>
      <w:r w:rsidR="00B61A4C" w:rsidRPr="00F8341F">
        <w:rPr>
          <w:rFonts w:eastAsia="仿宋_GB2312" w:cs="Times New Roman"/>
          <w:sz w:val="32"/>
          <w:szCs w:val="32"/>
        </w:rPr>
        <w:t>充分的和良好对照的动物有效性试验：该试验是用于替代人体有效性试验，是评价受试药物有效性的关键证据</w:t>
      </w:r>
      <w:r w:rsidR="00132EE3" w:rsidRPr="00F8341F">
        <w:rPr>
          <w:rFonts w:eastAsia="仿宋_GB2312" w:cs="Times New Roman"/>
          <w:sz w:val="32"/>
          <w:szCs w:val="32"/>
        </w:rPr>
        <w:t>，</w:t>
      </w:r>
      <w:r w:rsidR="00B61A4C" w:rsidRPr="00F8341F">
        <w:rPr>
          <w:rFonts w:eastAsia="仿宋_GB2312" w:cs="Times New Roman"/>
          <w:sz w:val="32"/>
          <w:szCs w:val="32"/>
        </w:rPr>
        <w:t>该部分主要对</w:t>
      </w:r>
      <w:r w:rsidR="0099118B" w:rsidRPr="00F8341F">
        <w:rPr>
          <w:rFonts w:eastAsia="仿宋_GB2312" w:cs="Times New Roman"/>
          <w:sz w:val="32"/>
          <w:szCs w:val="32"/>
        </w:rPr>
        <w:t>该</w:t>
      </w:r>
      <w:r w:rsidR="00B61A4C" w:rsidRPr="00F8341F">
        <w:rPr>
          <w:rFonts w:eastAsia="仿宋_GB2312" w:cs="Times New Roman"/>
          <w:sz w:val="32"/>
          <w:szCs w:val="32"/>
        </w:rPr>
        <w:t>试验</w:t>
      </w:r>
      <w:r w:rsidR="0099118B" w:rsidRPr="00F8341F">
        <w:rPr>
          <w:rFonts w:eastAsia="仿宋_GB2312" w:cs="Times New Roman"/>
          <w:sz w:val="32"/>
          <w:szCs w:val="32"/>
        </w:rPr>
        <w:t>的具体</w:t>
      </w:r>
      <w:r w:rsidR="00B61A4C" w:rsidRPr="00F8341F">
        <w:rPr>
          <w:rFonts w:eastAsia="仿宋_GB2312" w:cs="Times New Roman"/>
          <w:sz w:val="32"/>
          <w:szCs w:val="32"/>
        </w:rPr>
        <w:t>要求进行阐述。</w:t>
      </w:r>
      <w:r w:rsidR="00132EE3" w:rsidRPr="00F8341F">
        <w:rPr>
          <w:rFonts w:eastAsia="仿宋_GB2312" w:cs="Times New Roman"/>
          <w:sz w:val="32"/>
          <w:szCs w:val="32"/>
        </w:rPr>
        <w:t>因该试验结果</w:t>
      </w:r>
      <w:r w:rsidR="0099118B" w:rsidRPr="00F8341F">
        <w:rPr>
          <w:rFonts w:eastAsia="仿宋_GB2312" w:cs="Times New Roman"/>
          <w:sz w:val="32"/>
          <w:szCs w:val="32"/>
        </w:rPr>
        <w:t>将用于指导人体有效剂量的选择，给药剂量设计的科学合理至关重要，故该部分对给药剂量的设计进行</w:t>
      </w:r>
      <w:r w:rsidR="00E266FF" w:rsidRPr="00F8341F">
        <w:rPr>
          <w:rFonts w:eastAsia="仿宋_GB2312" w:cs="Times New Roman"/>
          <w:sz w:val="32"/>
          <w:szCs w:val="32"/>
        </w:rPr>
        <w:t>单独阐述。</w:t>
      </w:r>
    </w:p>
    <w:p w:rsidR="004C5978" w:rsidRPr="00F8341F" w:rsidRDefault="00E266FF" w:rsidP="004C5978">
      <w:pPr>
        <w:adjustRightInd w:val="0"/>
        <w:snapToGrid w:val="0"/>
        <w:spacing w:line="360" w:lineRule="auto"/>
        <w:rPr>
          <w:rFonts w:eastAsia="仿宋_GB2312" w:cs="Times New Roman"/>
          <w:sz w:val="32"/>
          <w:szCs w:val="32"/>
        </w:rPr>
      </w:pPr>
      <w:r w:rsidRPr="00F8341F">
        <w:rPr>
          <w:rFonts w:eastAsia="仿宋_GB2312" w:cs="Times New Roman"/>
          <w:sz w:val="32"/>
          <w:szCs w:val="32"/>
        </w:rPr>
        <w:t xml:space="preserve">    </w:t>
      </w:r>
      <w:r w:rsidRPr="00F8341F">
        <w:rPr>
          <w:rFonts w:eastAsia="仿宋_GB2312" w:cs="Times New Roman"/>
          <w:sz w:val="32"/>
          <w:szCs w:val="32"/>
        </w:rPr>
        <w:t>第五节</w:t>
      </w:r>
      <w:r w:rsidRPr="00F8341F">
        <w:rPr>
          <w:rFonts w:eastAsia="仿宋_GB2312" w:cs="Times New Roman"/>
          <w:sz w:val="32"/>
          <w:szCs w:val="32"/>
        </w:rPr>
        <w:t xml:space="preserve"> </w:t>
      </w:r>
      <w:r w:rsidRPr="00F8341F">
        <w:rPr>
          <w:rFonts w:eastAsia="仿宋_GB2312" w:cs="Times New Roman"/>
          <w:sz w:val="32"/>
          <w:szCs w:val="32"/>
        </w:rPr>
        <w:t>外推人体有效剂量：该部分</w:t>
      </w:r>
      <w:r w:rsidR="004C5978" w:rsidRPr="00F8341F">
        <w:rPr>
          <w:rFonts w:eastAsia="仿宋_GB2312" w:cs="Times New Roman"/>
          <w:sz w:val="32"/>
          <w:szCs w:val="32"/>
        </w:rPr>
        <w:t>阐述了</w:t>
      </w:r>
      <w:r w:rsidR="00907909" w:rsidRPr="00F8341F">
        <w:rPr>
          <w:rFonts w:eastAsia="仿宋_GB2312" w:cs="Times New Roman"/>
          <w:sz w:val="32"/>
          <w:szCs w:val="32"/>
        </w:rPr>
        <w:t>从动物和人</w:t>
      </w:r>
      <w:r w:rsidR="00907909" w:rsidRPr="00F8341F">
        <w:rPr>
          <w:rFonts w:eastAsia="仿宋_GB2312" w:cs="Times New Roman"/>
          <w:sz w:val="32"/>
          <w:szCs w:val="32"/>
        </w:rPr>
        <w:lastRenderedPageBreak/>
        <w:t>体中获取</w:t>
      </w:r>
      <w:r w:rsidR="00907909" w:rsidRPr="00F8341F">
        <w:rPr>
          <w:rFonts w:eastAsia="仿宋_GB2312" w:cs="Times New Roman"/>
          <w:sz w:val="32"/>
          <w:szCs w:val="32"/>
        </w:rPr>
        <w:t>PK</w:t>
      </w:r>
      <w:r w:rsidR="00907909" w:rsidRPr="00F8341F">
        <w:rPr>
          <w:rFonts w:eastAsia="仿宋_GB2312" w:cs="Times New Roman"/>
          <w:sz w:val="32"/>
          <w:szCs w:val="32"/>
        </w:rPr>
        <w:t>和</w:t>
      </w:r>
      <w:r w:rsidR="00907909" w:rsidRPr="00F8341F">
        <w:rPr>
          <w:rFonts w:eastAsia="仿宋_GB2312" w:cs="Times New Roman"/>
          <w:sz w:val="32"/>
          <w:szCs w:val="32"/>
        </w:rPr>
        <w:t>PD</w:t>
      </w:r>
      <w:r w:rsidR="00907909" w:rsidRPr="00F8341F">
        <w:rPr>
          <w:rFonts w:eastAsia="仿宋_GB2312" w:cs="Times New Roman"/>
          <w:sz w:val="32"/>
          <w:szCs w:val="32"/>
        </w:rPr>
        <w:t>信息</w:t>
      </w:r>
      <w:r w:rsidR="004C5978" w:rsidRPr="00F8341F">
        <w:rPr>
          <w:rFonts w:eastAsia="仿宋_GB2312" w:cs="Times New Roman"/>
          <w:sz w:val="32"/>
          <w:szCs w:val="32"/>
        </w:rPr>
        <w:t>的要求以及列举了外推人体有效剂量的策略，需说明的是外推人体有效剂量的策略处于探索和发展阶段，将会根据科学认知程度的深入和相关经验的积累</w:t>
      </w:r>
      <w:r w:rsidR="004C5978" w:rsidRPr="00F8341F">
        <w:rPr>
          <w:rFonts w:eastAsia="仿宋_GB2312" w:cs="Times New Roman"/>
          <w:sz w:val="32"/>
          <w:szCs w:val="32"/>
        </w:rPr>
        <w:t xml:space="preserve"> </w:t>
      </w:r>
    </w:p>
    <w:p w:rsidR="00E266FF" w:rsidRPr="00F8341F" w:rsidRDefault="004C5978" w:rsidP="004C5978">
      <w:pPr>
        <w:adjustRightInd w:val="0"/>
        <w:snapToGrid w:val="0"/>
        <w:spacing w:line="360" w:lineRule="auto"/>
        <w:rPr>
          <w:rFonts w:eastAsia="仿宋_GB2312" w:cs="Times New Roman"/>
          <w:sz w:val="32"/>
          <w:szCs w:val="32"/>
        </w:rPr>
      </w:pPr>
      <w:r w:rsidRPr="00F8341F">
        <w:rPr>
          <w:rFonts w:eastAsia="仿宋_GB2312" w:cs="Times New Roman"/>
          <w:sz w:val="32"/>
          <w:szCs w:val="32"/>
        </w:rPr>
        <w:t>逐步完善。</w:t>
      </w:r>
    </w:p>
    <w:p w:rsidR="00AE462A" w:rsidRPr="00F8341F" w:rsidRDefault="00AE462A" w:rsidP="00AE462A">
      <w:pPr>
        <w:adjustRightInd w:val="0"/>
        <w:snapToGrid w:val="0"/>
        <w:spacing w:line="360" w:lineRule="auto"/>
        <w:ind w:firstLine="648"/>
        <w:rPr>
          <w:rFonts w:eastAsia="仿宋_GB2312" w:cs="Times New Roman"/>
          <w:sz w:val="32"/>
          <w:szCs w:val="32"/>
        </w:rPr>
      </w:pPr>
      <w:r w:rsidRPr="00F8341F">
        <w:rPr>
          <w:rFonts w:eastAsia="仿宋_GB2312" w:cs="Times New Roman"/>
          <w:sz w:val="32"/>
          <w:szCs w:val="32"/>
        </w:rPr>
        <w:t>第六节</w:t>
      </w:r>
      <w:r w:rsidRPr="00F8341F">
        <w:rPr>
          <w:rFonts w:eastAsia="仿宋_GB2312" w:cs="Times New Roman"/>
          <w:sz w:val="32"/>
          <w:szCs w:val="32"/>
        </w:rPr>
        <w:t xml:space="preserve"> </w:t>
      </w:r>
      <w:r w:rsidRPr="00F8341F">
        <w:rPr>
          <w:rFonts w:eastAsia="仿宋_GB2312" w:cs="Times New Roman"/>
          <w:sz w:val="32"/>
          <w:szCs w:val="32"/>
        </w:rPr>
        <w:t>批准药物上市的附加条件：基于动物法则获批上市不等同于正式上市，不应作为药物研发的最终目标，该类药物获批上市时会有附加条件，该部分主要对必需的附加条件进行描述。</w:t>
      </w:r>
    </w:p>
    <w:p w:rsidR="00AE462A" w:rsidRPr="00F8341F" w:rsidRDefault="00AE462A" w:rsidP="003B44DB">
      <w:pPr>
        <w:adjustRightInd w:val="0"/>
        <w:snapToGrid w:val="0"/>
        <w:spacing w:line="360" w:lineRule="auto"/>
        <w:ind w:firstLine="648"/>
        <w:rPr>
          <w:rFonts w:eastAsia="仿宋_GB2312" w:cs="Times New Roman"/>
          <w:sz w:val="32"/>
          <w:szCs w:val="32"/>
        </w:rPr>
      </w:pPr>
      <w:r w:rsidRPr="00F8341F">
        <w:rPr>
          <w:rFonts w:eastAsia="仿宋_GB2312" w:cs="Times New Roman"/>
          <w:sz w:val="32"/>
          <w:szCs w:val="32"/>
        </w:rPr>
        <w:t>第七节</w:t>
      </w:r>
      <w:r w:rsidR="003B44DB" w:rsidRPr="00F8341F">
        <w:rPr>
          <w:rFonts w:eastAsia="仿宋_GB2312" w:cs="Times New Roman"/>
          <w:sz w:val="32"/>
          <w:szCs w:val="32"/>
        </w:rPr>
        <w:t>及附件</w:t>
      </w:r>
      <w:r w:rsidRPr="00F8341F">
        <w:rPr>
          <w:rFonts w:eastAsia="仿宋_GB2312" w:cs="Times New Roman"/>
          <w:sz w:val="32"/>
          <w:szCs w:val="32"/>
        </w:rPr>
        <w:t xml:space="preserve"> </w:t>
      </w:r>
      <w:r w:rsidRPr="00F8341F">
        <w:rPr>
          <w:rFonts w:eastAsia="仿宋_GB2312" w:cs="Times New Roman"/>
          <w:sz w:val="32"/>
          <w:szCs w:val="32"/>
        </w:rPr>
        <w:t>注释：该部分主要部分情况进行进一步说明，</w:t>
      </w:r>
      <w:r w:rsidR="003B44DB" w:rsidRPr="00F8341F">
        <w:rPr>
          <w:rFonts w:eastAsia="仿宋_GB2312" w:cs="Times New Roman"/>
          <w:sz w:val="32"/>
          <w:szCs w:val="32"/>
        </w:rPr>
        <w:t>附件：对该指导原则应用过程的重点关注问题及试验报告要求进行总结，</w:t>
      </w:r>
      <w:r w:rsidRPr="00F8341F">
        <w:rPr>
          <w:rFonts w:eastAsia="仿宋_GB2312" w:cs="Times New Roman"/>
          <w:sz w:val="32"/>
          <w:szCs w:val="32"/>
        </w:rPr>
        <w:t>旨在更好的理解和正确应用该指导原则</w:t>
      </w:r>
      <w:r w:rsidR="003B44DB" w:rsidRPr="00F8341F">
        <w:rPr>
          <w:rFonts w:eastAsia="仿宋_GB2312" w:cs="Times New Roman"/>
          <w:sz w:val="32"/>
          <w:szCs w:val="32"/>
        </w:rPr>
        <w:t>并获得可进行评价的完整试验报告</w:t>
      </w:r>
      <w:r w:rsidRPr="00F8341F">
        <w:rPr>
          <w:rFonts w:eastAsia="仿宋_GB2312" w:cs="Times New Roman"/>
          <w:sz w:val="32"/>
          <w:szCs w:val="32"/>
        </w:rPr>
        <w:t>。</w:t>
      </w:r>
    </w:p>
    <w:p w:rsidR="00852DCD" w:rsidRPr="00F8341F" w:rsidRDefault="00852DCD" w:rsidP="00852DCD">
      <w:pPr>
        <w:jc w:val="center"/>
        <w:rPr>
          <w:rFonts w:eastAsia="方正小标宋简体" w:cs="Times New Roman"/>
          <w:bCs/>
          <w:sz w:val="36"/>
          <w:szCs w:val="36"/>
        </w:rPr>
      </w:pPr>
    </w:p>
    <w:p w:rsidR="00AC4D8B" w:rsidRDefault="00AC4D8B" w:rsidP="00852DCD">
      <w:pPr>
        <w:jc w:val="center"/>
        <w:rPr>
          <w:rFonts w:ascii="方正小标宋简体" w:eastAsia="方正小标宋简体" w:hAnsi="宋体"/>
          <w:bCs/>
          <w:sz w:val="36"/>
          <w:szCs w:val="36"/>
        </w:rPr>
      </w:pPr>
    </w:p>
    <w:p w:rsidR="00AC4D8B" w:rsidRPr="00852DCD" w:rsidRDefault="00AC4D8B" w:rsidP="00AC4D8B">
      <w:pPr>
        <w:jc w:val="center"/>
        <w:rPr>
          <w:rFonts w:ascii="方正小标宋简体" w:eastAsia="方正小标宋简体" w:hAnsi="宋体"/>
          <w:bCs/>
          <w:sz w:val="36"/>
          <w:szCs w:val="36"/>
        </w:rPr>
      </w:pPr>
    </w:p>
    <w:sectPr w:rsidR="00AC4D8B" w:rsidRPr="00852D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B2" w:rsidRDefault="00922CB2" w:rsidP="00E205C4">
      <w:r>
        <w:separator/>
      </w:r>
    </w:p>
  </w:endnote>
  <w:endnote w:type="continuationSeparator" w:id="0">
    <w:p w:rsidR="00922CB2" w:rsidRDefault="00922CB2" w:rsidP="00E2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B2" w:rsidRDefault="00922CB2" w:rsidP="00E205C4">
      <w:r>
        <w:separator/>
      </w:r>
    </w:p>
  </w:footnote>
  <w:footnote w:type="continuationSeparator" w:id="0">
    <w:p w:rsidR="00922CB2" w:rsidRDefault="00922CB2" w:rsidP="00E205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C2EF0"/>
    <w:multiLevelType w:val="hybridMultilevel"/>
    <w:tmpl w:val="F1FCD91A"/>
    <w:lvl w:ilvl="0" w:tplc="8FDE9FC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73"/>
    <w:rsid w:val="000120B9"/>
    <w:rsid w:val="0002102B"/>
    <w:rsid w:val="00026213"/>
    <w:rsid w:val="000410D0"/>
    <w:rsid w:val="0007269C"/>
    <w:rsid w:val="000857CA"/>
    <w:rsid w:val="00087561"/>
    <w:rsid w:val="000A0437"/>
    <w:rsid w:val="000A7A78"/>
    <w:rsid w:val="000A7E66"/>
    <w:rsid w:val="000D2E72"/>
    <w:rsid w:val="000D68C0"/>
    <w:rsid w:val="00103360"/>
    <w:rsid w:val="00107DDE"/>
    <w:rsid w:val="00116487"/>
    <w:rsid w:val="00132EE3"/>
    <w:rsid w:val="001518CD"/>
    <w:rsid w:val="00154D62"/>
    <w:rsid w:val="00181D6C"/>
    <w:rsid w:val="001824D9"/>
    <w:rsid w:val="00194B33"/>
    <w:rsid w:val="001A280E"/>
    <w:rsid w:val="001A3B8F"/>
    <w:rsid w:val="001A7CA7"/>
    <w:rsid w:val="001C0373"/>
    <w:rsid w:val="001C59CD"/>
    <w:rsid w:val="001E2217"/>
    <w:rsid w:val="00206B14"/>
    <w:rsid w:val="0021255F"/>
    <w:rsid w:val="002232C3"/>
    <w:rsid w:val="002356D7"/>
    <w:rsid w:val="00235E94"/>
    <w:rsid w:val="00250D2E"/>
    <w:rsid w:val="0027281F"/>
    <w:rsid w:val="00282BCC"/>
    <w:rsid w:val="002A5F1A"/>
    <w:rsid w:val="002B0758"/>
    <w:rsid w:val="002B07D2"/>
    <w:rsid w:val="002B588A"/>
    <w:rsid w:val="002B6AAA"/>
    <w:rsid w:val="002C2415"/>
    <w:rsid w:val="002D2A80"/>
    <w:rsid w:val="00331A2D"/>
    <w:rsid w:val="00372851"/>
    <w:rsid w:val="003852E3"/>
    <w:rsid w:val="00391403"/>
    <w:rsid w:val="003A1EDF"/>
    <w:rsid w:val="003B44DB"/>
    <w:rsid w:val="003B4FFE"/>
    <w:rsid w:val="003B6C33"/>
    <w:rsid w:val="003B7F88"/>
    <w:rsid w:val="003C7079"/>
    <w:rsid w:val="003D2F9B"/>
    <w:rsid w:val="003E59A6"/>
    <w:rsid w:val="003F136A"/>
    <w:rsid w:val="003F1C86"/>
    <w:rsid w:val="0040407B"/>
    <w:rsid w:val="00466FC6"/>
    <w:rsid w:val="00480B71"/>
    <w:rsid w:val="004C0F84"/>
    <w:rsid w:val="004C5978"/>
    <w:rsid w:val="004E67E2"/>
    <w:rsid w:val="00566109"/>
    <w:rsid w:val="005972DE"/>
    <w:rsid w:val="005A1081"/>
    <w:rsid w:val="005A72E9"/>
    <w:rsid w:val="005D35BC"/>
    <w:rsid w:val="0060511E"/>
    <w:rsid w:val="00615BA0"/>
    <w:rsid w:val="00617AE7"/>
    <w:rsid w:val="006241FA"/>
    <w:rsid w:val="00625F25"/>
    <w:rsid w:val="00637B99"/>
    <w:rsid w:val="00644A3B"/>
    <w:rsid w:val="00653933"/>
    <w:rsid w:val="006579C1"/>
    <w:rsid w:val="006636A9"/>
    <w:rsid w:val="006722F8"/>
    <w:rsid w:val="0068302C"/>
    <w:rsid w:val="00697344"/>
    <w:rsid w:val="006A6503"/>
    <w:rsid w:val="006B7DBD"/>
    <w:rsid w:val="006C3E4D"/>
    <w:rsid w:val="006E298B"/>
    <w:rsid w:val="00715AFB"/>
    <w:rsid w:val="007227DC"/>
    <w:rsid w:val="00725D6F"/>
    <w:rsid w:val="00741459"/>
    <w:rsid w:val="007655A0"/>
    <w:rsid w:val="007665EC"/>
    <w:rsid w:val="00772702"/>
    <w:rsid w:val="007E3578"/>
    <w:rsid w:val="00820B69"/>
    <w:rsid w:val="00821C8B"/>
    <w:rsid w:val="00841448"/>
    <w:rsid w:val="00852DCD"/>
    <w:rsid w:val="00876176"/>
    <w:rsid w:val="008827B2"/>
    <w:rsid w:val="00895719"/>
    <w:rsid w:val="008A7D83"/>
    <w:rsid w:val="008C7F6B"/>
    <w:rsid w:val="008D511E"/>
    <w:rsid w:val="008D678E"/>
    <w:rsid w:val="008E5A31"/>
    <w:rsid w:val="008F4213"/>
    <w:rsid w:val="008F4C8F"/>
    <w:rsid w:val="00907909"/>
    <w:rsid w:val="00914757"/>
    <w:rsid w:val="00922CB2"/>
    <w:rsid w:val="009355A0"/>
    <w:rsid w:val="00944E05"/>
    <w:rsid w:val="00945B7F"/>
    <w:rsid w:val="00953458"/>
    <w:rsid w:val="00990D5E"/>
    <w:rsid w:val="0099118B"/>
    <w:rsid w:val="009A332C"/>
    <w:rsid w:val="009B210E"/>
    <w:rsid w:val="009C2562"/>
    <w:rsid w:val="009E7D8A"/>
    <w:rsid w:val="00A05410"/>
    <w:rsid w:val="00A16478"/>
    <w:rsid w:val="00A46E06"/>
    <w:rsid w:val="00A55A55"/>
    <w:rsid w:val="00A57F44"/>
    <w:rsid w:val="00A9749C"/>
    <w:rsid w:val="00AA0FF0"/>
    <w:rsid w:val="00AB1DED"/>
    <w:rsid w:val="00AC4D8B"/>
    <w:rsid w:val="00AD3FF1"/>
    <w:rsid w:val="00AD550E"/>
    <w:rsid w:val="00AE462A"/>
    <w:rsid w:val="00AE6F60"/>
    <w:rsid w:val="00B240E5"/>
    <w:rsid w:val="00B52931"/>
    <w:rsid w:val="00B53BEC"/>
    <w:rsid w:val="00B60436"/>
    <w:rsid w:val="00B61A4C"/>
    <w:rsid w:val="00B71122"/>
    <w:rsid w:val="00B8186B"/>
    <w:rsid w:val="00BA7074"/>
    <w:rsid w:val="00BC07B7"/>
    <w:rsid w:val="00BF7B71"/>
    <w:rsid w:val="00C57A6E"/>
    <w:rsid w:val="00C64075"/>
    <w:rsid w:val="00C67CC7"/>
    <w:rsid w:val="00C70750"/>
    <w:rsid w:val="00C76B8C"/>
    <w:rsid w:val="00CA318D"/>
    <w:rsid w:val="00CC1181"/>
    <w:rsid w:val="00CE24E7"/>
    <w:rsid w:val="00CE2F44"/>
    <w:rsid w:val="00D116DE"/>
    <w:rsid w:val="00D20995"/>
    <w:rsid w:val="00D22B96"/>
    <w:rsid w:val="00D36398"/>
    <w:rsid w:val="00D90FE6"/>
    <w:rsid w:val="00D91318"/>
    <w:rsid w:val="00D91D38"/>
    <w:rsid w:val="00DA481D"/>
    <w:rsid w:val="00DC5A52"/>
    <w:rsid w:val="00E205C4"/>
    <w:rsid w:val="00E266FF"/>
    <w:rsid w:val="00E3468F"/>
    <w:rsid w:val="00E40E9E"/>
    <w:rsid w:val="00E470B7"/>
    <w:rsid w:val="00E50F1E"/>
    <w:rsid w:val="00E75526"/>
    <w:rsid w:val="00E91C37"/>
    <w:rsid w:val="00EA1AAE"/>
    <w:rsid w:val="00EC4CCE"/>
    <w:rsid w:val="00F10D51"/>
    <w:rsid w:val="00F10ECA"/>
    <w:rsid w:val="00F35056"/>
    <w:rsid w:val="00F36E4B"/>
    <w:rsid w:val="00F8341F"/>
    <w:rsid w:val="00F9040A"/>
    <w:rsid w:val="00FD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FE405"/>
  <w15:chartTrackingRefBased/>
  <w15:docId w15:val="{162965A9-C481-4D07-AB78-4766F5A8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宋体"/>
        <w:color w:val="000000"/>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E2F44"/>
    <w:rPr>
      <w:rFonts w:ascii="黑体" w:eastAsia="黑体" w:hAnsi="黑体" w:hint="eastAsia"/>
      <w:b w:val="0"/>
      <w:bCs w:val="0"/>
      <w:i w:val="0"/>
      <w:iCs w:val="0"/>
      <w:color w:val="000000"/>
      <w:sz w:val="32"/>
      <w:szCs w:val="32"/>
    </w:rPr>
  </w:style>
  <w:style w:type="paragraph" w:styleId="a3">
    <w:name w:val="List Paragraph"/>
    <w:basedOn w:val="a"/>
    <w:uiPriority w:val="34"/>
    <w:qFormat/>
    <w:rsid w:val="00AC4D8B"/>
    <w:pPr>
      <w:ind w:firstLineChars="200" w:firstLine="420"/>
    </w:pPr>
  </w:style>
  <w:style w:type="paragraph" w:styleId="a4">
    <w:name w:val="header"/>
    <w:basedOn w:val="a"/>
    <w:link w:val="a5"/>
    <w:uiPriority w:val="99"/>
    <w:unhideWhenUsed/>
    <w:rsid w:val="00E205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205C4"/>
    <w:rPr>
      <w:sz w:val="18"/>
      <w:szCs w:val="18"/>
    </w:rPr>
  </w:style>
  <w:style w:type="paragraph" w:styleId="a6">
    <w:name w:val="footer"/>
    <w:basedOn w:val="a"/>
    <w:link w:val="a7"/>
    <w:uiPriority w:val="99"/>
    <w:unhideWhenUsed/>
    <w:rsid w:val="00E205C4"/>
    <w:pPr>
      <w:tabs>
        <w:tab w:val="center" w:pos="4153"/>
        <w:tab w:val="right" w:pos="8306"/>
      </w:tabs>
      <w:snapToGrid w:val="0"/>
      <w:jc w:val="left"/>
    </w:pPr>
    <w:rPr>
      <w:sz w:val="18"/>
      <w:szCs w:val="18"/>
    </w:rPr>
  </w:style>
  <w:style w:type="character" w:customStyle="1" w:styleId="a7">
    <w:name w:val="页脚 字符"/>
    <w:basedOn w:val="a0"/>
    <w:link w:val="a6"/>
    <w:uiPriority w:val="99"/>
    <w:rsid w:val="00E205C4"/>
    <w:rPr>
      <w:sz w:val="18"/>
      <w:szCs w:val="18"/>
    </w:rPr>
  </w:style>
  <w:style w:type="paragraph" w:styleId="a8">
    <w:name w:val="Balloon Text"/>
    <w:basedOn w:val="a"/>
    <w:link w:val="a9"/>
    <w:uiPriority w:val="99"/>
    <w:semiHidden/>
    <w:unhideWhenUsed/>
    <w:rsid w:val="00644A3B"/>
    <w:rPr>
      <w:sz w:val="18"/>
      <w:szCs w:val="18"/>
    </w:rPr>
  </w:style>
  <w:style w:type="character" w:customStyle="1" w:styleId="a9">
    <w:name w:val="批注框文本 字符"/>
    <w:basedOn w:val="a0"/>
    <w:link w:val="a8"/>
    <w:uiPriority w:val="99"/>
    <w:semiHidden/>
    <w:rsid w:val="00644A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8556">
      <w:bodyDiv w:val="1"/>
      <w:marLeft w:val="0"/>
      <w:marRight w:val="0"/>
      <w:marTop w:val="0"/>
      <w:marBottom w:val="0"/>
      <w:divBdr>
        <w:top w:val="none" w:sz="0" w:space="0" w:color="auto"/>
        <w:left w:val="none" w:sz="0" w:space="0" w:color="auto"/>
        <w:bottom w:val="none" w:sz="0" w:space="0" w:color="auto"/>
        <w:right w:val="none" w:sz="0" w:space="0" w:color="auto"/>
      </w:divBdr>
    </w:div>
    <w:div w:id="406655629">
      <w:bodyDiv w:val="1"/>
      <w:marLeft w:val="0"/>
      <w:marRight w:val="0"/>
      <w:marTop w:val="0"/>
      <w:marBottom w:val="0"/>
      <w:divBdr>
        <w:top w:val="none" w:sz="0" w:space="0" w:color="auto"/>
        <w:left w:val="none" w:sz="0" w:space="0" w:color="auto"/>
        <w:bottom w:val="none" w:sz="0" w:space="0" w:color="auto"/>
        <w:right w:val="none" w:sz="0" w:space="0" w:color="auto"/>
      </w:divBdr>
    </w:div>
    <w:div w:id="55778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尹华静</dc:creator>
  <cp:keywords/>
  <dc:description/>
  <cp:lastModifiedBy>尹华静</cp:lastModifiedBy>
  <cp:revision>22</cp:revision>
  <cp:lastPrinted>2022-07-08T08:29:00Z</cp:lastPrinted>
  <dcterms:created xsi:type="dcterms:W3CDTF">2022-07-07T05:54:00Z</dcterms:created>
  <dcterms:modified xsi:type="dcterms:W3CDTF">2022-07-13T06:18:00Z</dcterms:modified>
</cp:coreProperties>
</file>