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1D479">
      <w:pPr>
        <w:pStyle w:val="2"/>
        <w:spacing w:before="0" w:after="0" w:line="560" w:lineRule="exact"/>
        <w:jc w:val="left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附件2</w:t>
      </w:r>
    </w:p>
    <w:p w14:paraId="33C814F3">
      <w:pPr>
        <w:pStyle w:val="2"/>
        <w:spacing w:before="0" w:after="0" w:line="560" w:lineRule="exact"/>
        <w:jc w:val="left"/>
        <w:rPr>
          <w:rFonts w:hint="eastAsia" w:ascii="黑体" w:hAnsi="黑体" w:eastAsia="黑体" w:cs="黑体"/>
          <w:b w:val="0"/>
          <w:bCs w:val="0"/>
        </w:rPr>
      </w:pPr>
    </w:p>
    <w:p w14:paraId="64A03043">
      <w:pPr>
        <w:spacing w:line="560" w:lineRule="exact"/>
        <w:ind w:right="0" w:rightChars="0"/>
        <w:jc w:val="center"/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"/>
        </w:rPr>
        <w:t>说明书安全性信息修订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" w:eastAsia="zh-CN"/>
        </w:rPr>
        <w:t>要求</w:t>
      </w:r>
    </w:p>
    <w:p w14:paraId="69F11346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F29063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一、【不良反应】项修订为：</w:t>
      </w:r>
    </w:p>
    <w:p w14:paraId="6E33D0C4">
      <w:pPr>
        <w:adjustRightInd w:val="0"/>
        <w:snapToGrid w:val="0"/>
        <w:spacing w:line="560" w:lineRule="exact"/>
        <w:ind w:left="0" w:leftChars="0" w:firstLine="643" w:firstLineChars="200"/>
        <w:rPr>
          <w:rFonts w:ascii="仿宋" w:hAnsi="仿宋" w:eastAsia="仿宋_GB2312"/>
          <w:b/>
          <w:bCs/>
          <w:sz w:val="32"/>
          <w:szCs w:val="32"/>
        </w:rPr>
      </w:pPr>
      <w:r>
        <w:rPr>
          <w:rFonts w:hint="eastAsia" w:ascii="仿宋" w:hAnsi="仿宋" w:eastAsia="仿宋_GB2312"/>
          <w:b/>
          <w:bCs/>
          <w:sz w:val="32"/>
          <w:szCs w:val="32"/>
        </w:rPr>
        <w:t>上市后监测到愈美制剂以下不良反应（发生率不详）：</w:t>
      </w:r>
    </w:p>
    <w:p w14:paraId="005B6149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神经系统：</w:t>
      </w:r>
      <w:r>
        <w:rPr>
          <w:rFonts w:ascii="仿宋" w:hAnsi="仿宋" w:eastAsia="仿宋_GB2312"/>
          <w:bCs/>
          <w:sz w:val="32"/>
          <w:szCs w:val="32"/>
        </w:rPr>
        <w:t>头晕、嗜睡、头痛、</w:t>
      </w:r>
      <w:r>
        <w:rPr>
          <w:rFonts w:hint="eastAsia" w:ascii="仿宋" w:hAnsi="仿宋" w:eastAsia="仿宋_GB2312"/>
          <w:bCs/>
          <w:sz w:val="32"/>
          <w:szCs w:val="32"/>
        </w:rPr>
        <w:t>肢体</w:t>
      </w:r>
      <w:r>
        <w:rPr>
          <w:rFonts w:ascii="仿宋" w:hAnsi="仿宋" w:eastAsia="仿宋_GB2312"/>
          <w:bCs/>
          <w:sz w:val="32"/>
          <w:szCs w:val="32"/>
        </w:rPr>
        <w:t>震颤</w:t>
      </w:r>
      <w:r>
        <w:rPr>
          <w:rFonts w:hint="eastAsia" w:ascii="仿宋" w:hAnsi="仿宋" w:eastAsia="仿宋_GB2312"/>
          <w:bCs/>
          <w:sz w:val="32"/>
          <w:szCs w:val="32"/>
        </w:rPr>
        <w:t>、局部麻木；</w:t>
      </w:r>
    </w:p>
    <w:p w14:paraId="436F70CD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胃肠系统：</w:t>
      </w:r>
      <w:r>
        <w:rPr>
          <w:rFonts w:ascii="仿宋" w:hAnsi="仿宋" w:eastAsia="仿宋_GB2312"/>
          <w:bCs/>
          <w:sz w:val="32"/>
          <w:szCs w:val="32"/>
        </w:rPr>
        <w:t>恶心、呕吐、便秘</w:t>
      </w:r>
      <w:r>
        <w:rPr>
          <w:rFonts w:hint="eastAsia" w:ascii="仿宋" w:hAnsi="仿宋" w:eastAsia="仿宋_GB2312"/>
          <w:bCs/>
          <w:sz w:val="32"/>
          <w:szCs w:val="32"/>
        </w:rPr>
        <w:t>、上</w:t>
      </w:r>
      <w:r>
        <w:rPr>
          <w:rFonts w:ascii="仿宋" w:hAnsi="仿宋" w:eastAsia="仿宋_GB2312"/>
          <w:bCs/>
          <w:sz w:val="32"/>
          <w:szCs w:val="32"/>
        </w:rPr>
        <w:t>腹部不适、腹痛、腹泻、嗳气、口干</w:t>
      </w:r>
      <w:r>
        <w:rPr>
          <w:rFonts w:hint="eastAsia" w:ascii="仿宋" w:hAnsi="仿宋" w:eastAsia="仿宋_GB2312"/>
          <w:bCs/>
          <w:sz w:val="32"/>
          <w:szCs w:val="32"/>
        </w:rPr>
        <w:t>、食欲减退；</w:t>
      </w:r>
    </w:p>
    <w:p w14:paraId="0D4B013E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皮肤及皮下组织：</w:t>
      </w:r>
      <w:r>
        <w:rPr>
          <w:rFonts w:ascii="仿宋" w:hAnsi="仿宋" w:eastAsia="仿宋_GB2312"/>
          <w:bCs/>
          <w:sz w:val="32"/>
          <w:szCs w:val="32"/>
        </w:rPr>
        <w:t>皮疹、瘙痒、红斑、荨麻疹、斑丘疹、多汗</w:t>
      </w:r>
      <w:r>
        <w:rPr>
          <w:rFonts w:hint="eastAsia" w:ascii="仿宋" w:hAnsi="仿宋" w:eastAsia="仿宋_GB2312"/>
          <w:bCs/>
          <w:sz w:val="32"/>
          <w:szCs w:val="32"/>
        </w:rPr>
        <w:t>、面部潮红；</w:t>
      </w:r>
    </w:p>
    <w:p w14:paraId="6024309B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免疫系统：过敏反应、类过敏反应；</w:t>
      </w:r>
    </w:p>
    <w:p w14:paraId="5E658CBE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精神障碍：失眠、兴奋、幻觉、</w:t>
      </w:r>
      <w:r>
        <w:rPr>
          <w:rFonts w:ascii="仿宋" w:hAnsi="仿宋" w:eastAsia="仿宋_GB2312"/>
          <w:bCs/>
          <w:sz w:val="32"/>
          <w:szCs w:val="32"/>
        </w:rPr>
        <w:t>烦躁</w:t>
      </w:r>
      <w:r>
        <w:rPr>
          <w:rFonts w:hint="eastAsia" w:ascii="仿宋" w:hAnsi="仿宋" w:eastAsia="仿宋_GB2312"/>
          <w:bCs/>
          <w:sz w:val="32"/>
          <w:szCs w:val="32"/>
        </w:rPr>
        <w:t>、药物依赖，这些反应在过量服用药物的情况下更加明显（见【药物过量】）；</w:t>
      </w:r>
    </w:p>
    <w:p w14:paraId="39453CF5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其他：心悸、</w:t>
      </w:r>
      <w:r>
        <w:rPr>
          <w:rFonts w:ascii="仿宋" w:hAnsi="仿宋" w:eastAsia="仿宋_GB2312"/>
          <w:bCs/>
          <w:sz w:val="32"/>
          <w:szCs w:val="32"/>
        </w:rPr>
        <w:t>胸</w:t>
      </w:r>
      <w:r>
        <w:rPr>
          <w:rFonts w:hint="eastAsia" w:ascii="仿宋" w:hAnsi="仿宋" w:eastAsia="仿宋_GB2312"/>
          <w:bCs/>
          <w:sz w:val="32"/>
          <w:szCs w:val="32"/>
        </w:rPr>
        <w:t>闷、</w:t>
      </w:r>
      <w:r>
        <w:rPr>
          <w:rFonts w:ascii="仿宋" w:hAnsi="仿宋" w:eastAsia="仿宋_GB2312"/>
          <w:bCs/>
          <w:sz w:val="32"/>
          <w:szCs w:val="32"/>
        </w:rPr>
        <w:t>虚弱</w:t>
      </w:r>
      <w:r>
        <w:rPr>
          <w:rFonts w:hint="eastAsia" w:ascii="仿宋" w:hAnsi="仿宋" w:eastAsia="仿宋_GB2312"/>
          <w:bCs/>
          <w:sz w:val="32"/>
          <w:szCs w:val="32"/>
        </w:rPr>
        <w:t>、视物模糊等。</w:t>
      </w:r>
    </w:p>
    <w:p w14:paraId="7B506CF2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二、【禁忌】项应包含以下内容：</w:t>
      </w:r>
    </w:p>
    <w:p w14:paraId="00C20F49"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</w:t>
      </w:r>
      <w:r>
        <w:rPr>
          <w:rFonts w:hint="eastAsia" w:ascii="仿宋" w:hAnsi="仿宋" w:eastAsia="仿宋_GB2312"/>
          <w:bCs/>
          <w:sz w:val="32"/>
          <w:szCs w:val="32"/>
        </w:rPr>
        <w:t>.对本品及本品任何其他成份过敏者禁用。</w:t>
      </w:r>
    </w:p>
    <w:p w14:paraId="0441ADE2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hint="eastAsia" w:ascii="仿宋" w:hAnsi="仿宋" w:eastAsia="仿宋_GB2312"/>
          <w:bCs/>
          <w:sz w:val="32"/>
          <w:szCs w:val="32"/>
        </w:rPr>
        <w:t>.妊娠前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3</w:t>
      </w:r>
      <w:r>
        <w:rPr>
          <w:rFonts w:ascii="仿宋" w:hAnsi="仿宋" w:eastAsia="仿宋_GB2312"/>
          <w:bCs/>
          <w:sz w:val="32"/>
          <w:szCs w:val="32"/>
        </w:rPr>
        <w:t>个月内妇女禁用。</w:t>
      </w:r>
    </w:p>
    <w:p w14:paraId="32D553F4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</w:t>
      </w:r>
      <w:r>
        <w:rPr>
          <w:rFonts w:ascii="仿宋" w:hAnsi="仿宋" w:eastAsia="仿宋_GB2312"/>
          <w:bCs/>
          <w:sz w:val="32"/>
          <w:szCs w:val="32"/>
        </w:rPr>
        <w:t>.</w:t>
      </w:r>
      <w:r>
        <w:rPr>
          <w:rFonts w:hint="eastAsia" w:ascii="仿宋" w:hAnsi="仿宋" w:eastAsia="仿宋_GB2312"/>
          <w:bCs/>
          <w:sz w:val="32"/>
          <w:szCs w:val="32"/>
        </w:rPr>
        <w:t>正在服用利奈唑胺、单胺氧化酶抑制剂、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5</w:t>
      </w:r>
      <w:r>
        <w:rPr>
          <w:rFonts w:hint="eastAsia" w:ascii="仿宋" w:hAnsi="仿宋" w:eastAsia="仿宋_GB2312"/>
          <w:bCs/>
          <w:sz w:val="32"/>
          <w:szCs w:val="32"/>
        </w:rPr>
        <w:t>-羟色胺再摄取抑制剂（如氟西汀、帕罗西汀）、安非他酮等药物或服用这些药物停药不满两周的患者禁用。</w:t>
      </w:r>
    </w:p>
    <w:p w14:paraId="0AA0BBE7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color w:val="00B0F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</w:t>
      </w:r>
      <w:r>
        <w:rPr>
          <w:rFonts w:ascii="仿宋" w:hAnsi="仿宋" w:eastAsia="仿宋_GB2312"/>
          <w:bCs/>
          <w:sz w:val="32"/>
          <w:szCs w:val="32"/>
        </w:rPr>
        <w:t>.痰量多或</w:t>
      </w:r>
      <w:r>
        <w:rPr>
          <w:rFonts w:hint="eastAsia" w:ascii="仿宋" w:hAnsi="仿宋" w:eastAsia="仿宋_GB2312"/>
          <w:bCs/>
          <w:sz w:val="32"/>
          <w:szCs w:val="32"/>
        </w:rPr>
        <w:t>黏稠</w:t>
      </w:r>
      <w:r>
        <w:rPr>
          <w:rFonts w:ascii="仿宋" w:hAnsi="仿宋" w:eastAsia="仿宋_GB2312"/>
          <w:bCs/>
          <w:sz w:val="32"/>
          <w:szCs w:val="32"/>
        </w:rPr>
        <w:t>而又虚弱无力</w:t>
      </w:r>
      <w:r>
        <w:rPr>
          <w:rFonts w:hint="eastAsia" w:ascii="仿宋" w:hAnsi="仿宋" w:eastAsia="仿宋_GB2312"/>
          <w:bCs/>
          <w:sz w:val="32"/>
          <w:szCs w:val="32"/>
        </w:rPr>
        <w:t>咯痰</w:t>
      </w:r>
      <w:r>
        <w:rPr>
          <w:rFonts w:ascii="仿宋" w:hAnsi="仿宋" w:eastAsia="仿宋_GB2312"/>
          <w:bCs/>
          <w:sz w:val="32"/>
          <w:szCs w:val="32"/>
        </w:rPr>
        <w:t>者、呼吸衰竭或有可能发生呼吸衰竭者禁用。</w:t>
      </w:r>
    </w:p>
    <w:p w14:paraId="651BE32B">
      <w:pPr>
        <w:adjustRightInd w:val="0"/>
        <w:snapToGrid w:val="0"/>
        <w:spacing w:line="560" w:lineRule="exact"/>
        <w:ind w:left="0" w:leftChars="0" w:firstLine="640" w:firstLineChars="200"/>
        <w:rPr>
          <w:rFonts w:ascii="仿宋" w:hAnsi="仿宋" w:eastAsia="仿宋_GB2312"/>
          <w:bCs/>
          <w:color w:val="00B0F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</w:t>
      </w:r>
      <w:r>
        <w:rPr>
          <w:rFonts w:ascii="仿宋" w:hAnsi="仿宋" w:eastAsia="仿宋_GB2312"/>
          <w:bCs/>
          <w:sz w:val="32"/>
          <w:szCs w:val="32"/>
        </w:rPr>
        <w:t>.呼吸道异物者禁用。</w:t>
      </w:r>
    </w:p>
    <w:p w14:paraId="244A54F7">
      <w:pPr>
        <w:adjustRightInd w:val="0"/>
        <w:snapToGrid w:val="0"/>
        <w:spacing w:line="560" w:lineRule="exact"/>
        <w:ind w:left="0" w:firstLine="640" w:firstLineChars="200"/>
        <w:rPr>
          <w:rFonts w:ascii="仿宋" w:hAnsi="仿宋" w:eastAsia="仿宋_GB2312"/>
          <w:bCs/>
          <w:color w:val="00B0F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6</w:t>
      </w:r>
      <w:r>
        <w:rPr>
          <w:rFonts w:ascii="仿宋" w:hAnsi="仿宋" w:eastAsia="仿宋_GB2312"/>
          <w:bCs/>
          <w:sz w:val="32"/>
          <w:szCs w:val="32"/>
        </w:rPr>
        <w:t>.肺出血、急性胃肠炎、肾炎者禁用</w:t>
      </w:r>
      <w:r>
        <w:rPr>
          <w:rFonts w:hint="eastAsia" w:ascii="仿宋" w:hAnsi="仿宋" w:eastAsia="仿宋_GB2312"/>
          <w:bCs/>
          <w:sz w:val="32"/>
          <w:szCs w:val="32"/>
        </w:rPr>
        <w:t>。</w:t>
      </w:r>
    </w:p>
    <w:p w14:paraId="27535B8E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三、【注意事项】项应包含以下内容：</w:t>
      </w:r>
    </w:p>
    <w:p w14:paraId="5B32E893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用药7天，症状未缓解或病情加重，请咨询医师。</w:t>
      </w:r>
    </w:p>
    <w:p w14:paraId="37282AE9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患有持续性或慢性咳嗽、严重肺部疾病及咳嗽变异性哮喘的患者慎用。</w:t>
      </w:r>
    </w:p>
    <w:p w14:paraId="1F8C5C9D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痰多的患者慎用。</w:t>
      </w:r>
    </w:p>
    <w:p w14:paraId="4B74813A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肝肾功能不全患者慎用。</w:t>
      </w:r>
    </w:p>
    <w:p w14:paraId="6F9CA911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孕妇及哺乳期妇女慎用。</w:t>
      </w:r>
    </w:p>
    <w:p w14:paraId="2F907A5B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存在精神疾病的患者慎用。</w:t>
      </w:r>
    </w:p>
    <w:p w14:paraId="26CC07F6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CYP2D6基因多态性人群在服用本品之前应咨询医师。</w:t>
      </w:r>
    </w:p>
    <w:p w14:paraId="6D7C3BEB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正在服用镇静剂、身体衰弱或卧床不起的患者慎用。</w:t>
      </w:r>
    </w:p>
    <w:p w14:paraId="1AE8A3BA">
      <w:pPr>
        <w:pStyle w:val="5"/>
        <w:numPr>
          <w:ilvl w:val="0"/>
          <w:numId w:val="0"/>
        </w:numPr>
        <w:tabs>
          <w:tab w:val="left" w:pos="993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服药期间驾驶机、车、船、从事高空作业、机械作业及操作精密仪器应谨慎。</w:t>
      </w:r>
      <w:bookmarkStart w:id="2" w:name="_GoBack"/>
      <w:bookmarkEnd w:id="2"/>
    </w:p>
    <w:p w14:paraId="3885B324">
      <w:pPr>
        <w:pStyle w:val="5"/>
        <w:numPr>
          <w:ilvl w:val="0"/>
          <w:numId w:val="0"/>
        </w:numPr>
        <w:tabs>
          <w:tab w:val="left" w:pos="1134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本品不能与含酒精的饮品同时服用。</w:t>
      </w:r>
    </w:p>
    <w:p w14:paraId="4EDE2702">
      <w:pPr>
        <w:pStyle w:val="5"/>
        <w:numPr>
          <w:ilvl w:val="0"/>
          <w:numId w:val="0"/>
        </w:numPr>
        <w:tabs>
          <w:tab w:val="left" w:pos="1134"/>
        </w:tabs>
        <w:adjustRightInd w:val="0"/>
        <w:snapToGrid w:val="0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儿童必须在成人监护下使用。</w:t>
      </w:r>
    </w:p>
    <w:p w14:paraId="4827D43F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四、【药物过量】项应包含以下内容：</w:t>
      </w:r>
    </w:p>
    <w:p w14:paraId="09991C66">
      <w:pPr>
        <w:adjustRightInd w:val="0"/>
        <w:snapToGrid w:val="0"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bookmarkStart w:id="0" w:name="OLE_LINK2"/>
      <w:bookmarkStart w:id="1" w:name="OLE_LINK3"/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过量服用本品可引起恶心、呕吐、乏力、头晕、兴奋、幻觉、烦躁、嗜睡、意识模糊、神志不清、肌阵挛、震颤、心率加快、呼吸急促、支气管痉挛、呼吸抑制等。</w:t>
      </w:r>
      <w:bookmarkEnd w:id="0"/>
      <w:bookmarkEnd w:id="1"/>
    </w:p>
    <w:p w14:paraId="7073DEAF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【药</w:t>
      </w:r>
      <w:r>
        <w:rPr>
          <w:rFonts w:hint="eastAsia" w:eastAsia="黑体"/>
          <w:sz w:val="32"/>
          <w:szCs w:val="32"/>
          <w:lang w:eastAsia="zh-CN"/>
        </w:rPr>
        <w:t>理作用</w:t>
      </w:r>
      <w:r>
        <w:rPr>
          <w:rFonts w:hint="eastAsia" w:eastAsia="黑体"/>
          <w:sz w:val="32"/>
          <w:szCs w:val="32"/>
        </w:rPr>
        <w:t>】</w:t>
      </w:r>
      <w:r>
        <w:rPr>
          <w:rFonts w:hint="eastAsia" w:eastAsia="黑体"/>
          <w:sz w:val="32"/>
          <w:szCs w:val="32"/>
          <w:lang w:eastAsia="zh-CN"/>
        </w:rPr>
        <w:t>或</w:t>
      </w:r>
      <w:r>
        <w:rPr>
          <w:rFonts w:hint="eastAsia" w:eastAsia="黑体"/>
          <w:sz w:val="32"/>
          <w:szCs w:val="32"/>
        </w:rPr>
        <w:t>【</w:t>
      </w:r>
      <w:r>
        <w:rPr>
          <w:rFonts w:hint="eastAsia" w:eastAsia="黑体"/>
          <w:sz w:val="32"/>
          <w:szCs w:val="32"/>
          <w:lang w:eastAsia="zh-CN"/>
        </w:rPr>
        <w:t>药理毒理</w:t>
      </w:r>
      <w:r>
        <w:rPr>
          <w:rFonts w:hint="eastAsia" w:eastAsia="黑体"/>
          <w:sz w:val="32"/>
          <w:szCs w:val="32"/>
        </w:rPr>
        <w:t>】项</w:t>
      </w:r>
      <w:r>
        <w:rPr>
          <w:rFonts w:hint="eastAsia" w:eastAsia="黑体"/>
          <w:sz w:val="32"/>
          <w:szCs w:val="32"/>
          <w:lang w:eastAsia="zh-CN"/>
        </w:rPr>
        <w:t>删除</w:t>
      </w:r>
      <w:r>
        <w:rPr>
          <w:rFonts w:hint="eastAsia" w:eastAsia="黑体"/>
          <w:sz w:val="32"/>
          <w:szCs w:val="32"/>
        </w:rPr>
        <w:t>：</w:t>
      </w:r>
    </w:p>
    <w:p w14:paraId="162B82EC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Times New Roman"/>
          <w:bCs/>
          <w:sz w:val="32"/>
          <w:szCs w:val="32"/>
          <w:lang w:val="en-US" w:eastAsia="zh-CN"/>
        </w:rPr>
        <w:t>“长期服用无依赖性和耐受性”“长期应用未见成瘾性”等相关表述。</w:t>
      </w:r>
    </w:p>
    <w:p w14:paraId="14160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altName w:val="云峰飞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云峰飞云体">
    <w:panose1 w:val="02000500000000000000"/>
    <w:charset w:val="86"/>
    <w:family w:val="auto"/>
    <w:pitch w:val="default"/>
    <w:sig w:usb0="00000001" w:usb1="08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F82169"/>
    <w:multiLevelType w:val="singleLevel"/>
    <w:tmpl w:val="E6F8216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36572"/>
    <w:rsid w:val="25436572"/>
    <w:rsid w:val="67F6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2026-09-01T01:54:00Z</dcterms:created>
  <dc:creator>YU</dc:creator>
  <cp:lastModifiedBy>YU</cp:lastModifiedBy>
  <dcterms:modified xsi:type="dcterms:W3CDTF">2026-09-01T01:55:16Z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AF12226A7603413796DC4B79D8CF0C4A_11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