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05" w:rsidRDefault="001F2EF7">
      <w:pPr>
        <w:rPr>
          <w:rFonts w:ascii="黑体" w:eastAsia="黑体" w:hAnsi="华文仿宋"/>
          <w:sz w:val="32"/>
          <w:szCs w:val="32"/>
        </w:rPr>
      </w:pPr>
      <w:r>
        <w:rPr>
          <w:rFonts w:ascii="黑体" w:eastAsia="黑体" w:hAnsi="华文仿宋" w:hint="eastAsia"/>
          <w:sz w:val="32"/>
          <w:szCs w:val="32"/>
        </w:rPr>
        <w:t>附件1</w:t>
      </w:r>
    </w:p>
    <w:p w:rsidR="00E46505" w:rsidRDefault="00E46505">
      <w:pPr>
        <w:jc w:val="center"/>
        <w:rPr>
          <w:rFonts w:ascii="黑体" w:eastAsia="黑体" w:hAnsi="华文仿宋"/>
          <w:sz w:val="32"/>
          <w:szCs w:val="32"/>
        </w:rPr>
      </w:pPr>
    </w:p>
    <w:p w:rsidR="00E46505" w:rsidRDefault="001F2EF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fldChar w:fldCharType="begin"/>
      </w:r>
      <w:r>
        <w:rPr>
          <w:rFonts w:ascii="方正小标宋简体" w:eastAsia="方正小标宋简体" w:hAnsi="方正小标宋简体" w:cs="方正小标宋简体" w:hint="eastAsia"/>
          <w:sz w:val="44"/>
          <w:szCs w:val="44"/>
        </w:rPr>
        <w:instrText>ADDIN CNKISM.UserStyle</w:instrText>
      </w:r>
      <w:r>
        <w:rPr>
          <w:rFonts w:ascii="方正小标宋简体" w:eastAsia="方正小标宋简体" w:hAnsi="方正小标宋简体" w:cs="方正小标宋简体" w:hint="eastAsia"/>
          <w:sz w:val="44"/>
          <w:szCs w:val="44"/>
        </w:rPr>
        <w:fldChar w:fldCharType="end"/>
      </w:r>
      <w:r>
        <w:rPr>
          <w:rFonts w:ascii="方正小标宋简体" w:eastAsia="方正小标宋简体" w:hAnsi="方正小标宋简体" w:cs="方正小标宋简体" w:hint="eastAsia"/>
          <w:sz w:val="44"/>
          <w:szCs w:val="44"/>
        </w:rPr>
        <w:t>倍他司汀口服制剂说明书修改要求</w:t>
      </w:r>
    </w:p>
    <w:p w:rsidR="00E46505" w:rsidRDefault="00E46505">
      <w:pPr>
        <w:spacing w:line="540" w:lineRule="exact"/>
        <w:ind w:firstLineChars="350" w:firstLine="1120"/>
        <w:jc w:val="center"/>
        <w:rPr>
          <w:rFonts w:eastAsia="仿宋_GB2312"/>
          <w:sz w:val="32"/>
          <w:szCs w:val="32"/>
        </w:rPr>
      </w:pPr>
    </w:p>
    <w:p w:rsidR="00E46505" w:rsidRDefault="001F2EF7">
      <w:pPr>
        <w:spacing w:line="54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一、【不良反应】应包含以下内容：</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在安慰剂对照临床试验中，使用倍他司汀治疗的患者出现以下不良反应（非常常见</w:t>
      </w:r>
      <w:r>
        <w:rPr>
          <w:rFonts w:eastAsia="仿宋_GB2312"/>
          <w:color w:val="000000"/>
          <w:kern w:val="0"/>
          <w:sz w:val="32"/>
          <w:szCs w:val="32"/>
        </w:rPr>
        <w:t>≥1/10</w:t>
      </w:r>
      <w:r>
        <w:rPr>
          <w:rFonts w:eastAsia="仿宋_GB2312"/>
          <w:color w:val="000000"/>
          <w:kern w:val="0"/>
          <w:sz w:val="32"/>
          <w:szCs w:val="32"/>
        </w:rPr>
        <w:t>；常见</w:t>
      </w:r>
      <w:r>
        <w:rPr>
          <w:rFonts w:eastAsia="仿宋_GB2312"/>
          <w:color w:val="000000"/>
          <w:kern w:val="0"/>
          <w:sz w:val="32"/>
          <w:szCs w:val="32"/>
        </w:rPr>
        <w:t>≥1/100</w:t>
      </w:r>
      <w:r>
        <w:rPr>
          <w:rFonts w:eastAsia="仿宋_GB2312"/>
          <w:color w:val="000000"/>
          <w:kern w:val="0"/>
          <w:sz w:val="32"/>
          <w:szCs w:val="32"/>
        </w:rPr>
        <w:t>至</w:t>
      </w:r>
      <w:r>
        <w:rPr>
          <w:rFonts w:eastAsia="仿宋_GB2312"/>
          <w:color w:val="000000"/>
          <w:kern w:val="0"/>
          <w:sz w:val="32"/>
          <w:szCs w:val="32"/>
        </w:rPr>
        <w:t>&lt;1/10</w:t>
      </w:r>
      <w:r>
        <w:rPr>
          <w:rFonts w:eastAsia="仿宋_GB2312"/>
          <w:color w:val="000000"/>
          <w:kern w:val="0"/>
          <w:sz w:val="32"/>
          <w:szCs w:val="32"/>
        </w:rPr>
        <w:t>；不常见</w:t>
      </w:r>
      <w:r>
        <w:rPr>
          <w:rFonts w:eastAsia="仿宋_GB2312"/>
          <w:color w:val="000000"/>
          <w:kern w:val="0"/>
          <w:sz w:val="32"/>
          <w:szCs w:val="32"/>
        </w:rPr>
        <w:t>≥1/1000</w:t>
      </w:r>
      <w:r>
        <w:rPr>
          <w:rFonts w:eastAsia="仿宋_GB2312"/>
          <w:color w:val="000000"/>
          <w:kern w:val="0"/>
          <w:sz w:val="32"/>
          <w:szCs w:val="32"/>
        </w:rPr>
        <w:t>至</w:t>
      </w:r>
      <w:r>
        <w:rPr>
          <w:rFonts w:eastAsia="仿宋_GB2312"/>
          <w:color w:val="000000"/>
          <w:kern w:val="0"/>
          <w:sz w:val="32"/>
          <w:szCs w:val="32"/>
        </w:rPr>
        <w:t>&lt;1/100</w:t>
      </w:r>
      <w:r>
        <w:rPr>
          <w:rFonts w:eastAsia="仿宋_GB2312"/>
          <w:color w:val="000000"/>
          <w:kern w:val="0"/>
          <w:sz w:val="32"/>
          <w:szCs w:val="32"/>
        </w:rPr>
        <w:t>；罕见</w:t>
      </w:r>
      <w:r>
        <w:rPr>
          <w:rFonts w:eastAsia="仿宋_GB2312"/>
          <w:color w:val="000000"/>
          <w:kern w:val="0"/>
          <w:sz w:val="32"/>
          <w:szCs w:val="32"/>
        </w:rPr>
        <w:t>≥1/10000</w:t>
      </w:r>
      <w:r>
        <w:rPr>
          <w:rFonts w:eastAsia="仿宋_GB2312"/>
          <w:color w:val="000000"/>
          <w:kern w:val="0"/>
          <w:sz w:val="32"/>
          <w:szCs w:val="32"/>
        </w:rPr>
        <w:t>至</w:t>
      </w:r>
      <w:r>
        <w:rPr>
          <w:rFonts w:eastAsia="仿宋_GB2312"/>
          <w:color w:val="000000"/>
          <w:kern w:val="0"/>
          <w:sz w:val="32"/>
          <w:szCs w:val="32"/>
        </w:rPr>
        <w:t>&lt;1/1000</w:t>
      </w:r>
      <w:r>
        <w:rPr>
          <w:rFonts w:eastAsia="仿宋_GB2312"/>
          <w:color w:val="000000"/>
          <w:kern w:val="0"/>
          <w:sz w:val="32"/>
          <w:szCs w:val="32"/>
        </w:rPr>
        <w:t>；非常罕见</w:t>
      </w:r>
      <w:r>
        <w:rPr>
          <w:rFonts w:eastAsia="仿宋_GB2312"/>
          <w:color w:val="000000"/>
          <w:kern w:val="0"/>
          <w:sz w:val="32"/>
          <w:szCs w:val="32"/>
        </w:rPr>
        <w:t>&lt;1/10000</w:t>
      </w:r>
      <w:r>
        <w:rPr>
          <w:rFonts w:eastAsia="仿宋_GB2312"/>
          <w:color w:val="000000"/>
          <w:kern w:val="0"/>
          <w:sz w:val="32"/>
          <w:szCs w:val="32"/>
        </w:rPr>
        <w:t>）。</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胃肠系统</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常见：恶心、消化不良</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神经系统</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常见：头痛</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除了临床试验中报道的不良反应外，本品在上市后和文献中还报道了以下不良反应（频率不能从现有数据中估计，因此被归类为</w:t>
      </w:r>
      <w:r>
        <w:rPr>
          <w:rFonts w:eastAsia="仿宋_GB2312"/>
          <w:color w:val="000000"/>
          <w:kern w:val="0"/>
          <w:sz w:val="32"/>
          <w:szCs w:val="32"/>
        </w:rPr>
        <w:t>“</w:t>
      </w:r>
      <w:r>
        <w:rPr>
          <w:rFonts w:eastAsia="仿宋_GB2312"/>
          <w:color w:val="000000"/>
          <w:kern w:val="0"/>
          <w:sz w:val="32"/>
          <w:szCs w:val="32"/>
        </w:rPr>
        <w:t>未知</w:t>
      </w:r>
      <w:r>
        <w:rPr>
          <w:rFonts w:eastAsia="仿宋_GB2312"/>
          <w:color w:val="000000"/>
          <w:kern w:val="0"/>
          <w:sz w:val="32"/>
          <w:szCs w:val="32"/>
        </w:rPr>
        <w:t>”</w:t>
      </w:r>
      <w:r>
        <w:rPr>
          <w:rFonts w:eastAsia="仿宋_GB2312"/>
          <w:color w:val="000000"/>
          <w:kern w:val="0"/>
          <w:sz w:val="32"/>
          <w:szCs w:val="32"/>
        </w:rPr>
        <w:t>）。</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免疫系统：过敏反应、类速发严重过敏反应</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胃肠系统：口干、恶心、呕吐、食欲减退、腹胀、腹痛、腹部不适，以上症状可通过随餐服用或降低剂量缓解。有消化道出血、加重消化性溃疡的报告。</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皮肤及皮下组织：荨麻疹、斑丘疹、红斑疹等各类皮疹、瘙痒、血管神经性水肿、多汗</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神经系统：头晕、头痛、头部不适</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心血管系统：心悸、心律失常、血压异常</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lastRenderedPageBreak/>
        <w:t>全身性疾病及给药部位各种反应：乏力、发热</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呼吸系统：胸闷、呼吸困难、哮喘发作</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其他：睡眠障碍、精神异常、转氨酶异常、肝损伤、出血性膀胱炎</w:t>
      </w:r>
    </w:p>
    <w:p w:rsidR="00E46505" w:rsidRDefault="001F2EF7">
      <w:pPr>
        <w:spacing w:line="540" w:lineRule="exact"/>
        <w:ind w:firstLineChars="200" w:firstLine="640"/>
        <w:rPr>
          <w:rFonts w:ascii="黑体" w:eastAsia="黑体" w:hAnsi="黑体" w:cs="黑体"/>
          <w:bCs/>
          <w:kern w:val="0"/>
          <w:sz w:val="32"/>
          <w:szCs w:val="32"/>
        </w:rPr>
      </w:pPr>
      <w:r>
        <w:rPr>
          <w:rFonts w:ascii="黑体" w:eastAsia="黑体" w:hAnsi="黑体" w:cs="黑体"/>
          <w:bCs/>
          <w:kern w:val="0"/>
          <w:sz w:val="32"/>
          <w:szCs w:val="32"/>
        </w:rPr>
        <w:t>二、【禁忌】应包含以下内容：</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对本品任何成份过敏者禁用。</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嗜铬细胞瘤患者禁用。</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胃溃疡活动期患者禁用。</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儿童禁用。</w:t>
      </w:r>
    </w:p>
    <w:p w:rsidR="00E46505" w:rsidRDefault="001F2EF7">
      <w:pPr>
        <w:widowControl/>
        <w:spacing w:line="540" w:lineRule="exact"/>
        <w:ind w:firstLineChars="200" w:firstLine="640"/>
        <w:jc w:val="left"/>
        <w:rPr>
          <w:rFonts w:ascii="黑体" w:eastAsia="黑体" w:hAnsi="黑体" w:cs="黑体"/>
          <w:bCs/>
          <w:kern w:val="0"/>
          <w:sz w:val="32"/>
          <w:szCs w:val="32"/>
        </w:rPr>
      </w:pPr>
      <w:r>
        <w:rPr>
          <w:rFonts w:ascii="黑体" w:eastAsia="黑体" w:hAnsi="黑体" w:cs="黑体"/>
          <w:bCs/>
          <w:kern w:val="0"/>
          <w:sz w:val="32"/>
          <w:szCs w:val="32"/>
        </w:rPr>
        <w:t>三、【注意事项】应包含以下内容：</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有消化道溃疡病史、支气管哮喘病史的患者慎用。</w:t>
      </w:r>
    </w:p>
    <w:p w:rsidR="00E46505" w:rsidRDefault="001F2EF7">
      <w:pPr>
        <w:spacing w:line="54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勿与抗组胺类药物（如氯雷他定、西替利嗪等）联合使用。</w:t>
      </w:r>
    </w:p>
    <w:p w:rsidR="00E46505" w:rsidRDefault="001F2EF7">
      <w:pPr>
        <w:widowControl/>
        <w:spacing w:line="540" w:lineRule="exact"/>
        <w:ind w:firstLineChars="200" w:firstLine="640"/>
        <w:jc w:val="left"/>
        <w:rPr>
          <w:rFonts w:ascii="黑体" w:eastAsia="黑体" w:hAnsi="黑体" w:cs="黑体"/>
          <w:bCs/>
          <w:kern w:val="0"/>
          <w:sz w:val="32"/>
          <w:szCs w:val="32"/>
        </w:rPr>
      </w:pPr>
      <w:r>
        <w:rPr>
          <w:rFonts w:ascii="黑体" w:eastAsia="黑体" w:hAnsi="黑体" w:cs="黑体"/>
          <w:bCs/>
          <w:kern w:val="0"/>
          <w:sz w:val="32"/>
          <w:szCs w:val="32"/>
        </w:rPr>
        <w:t>四、【孕妇及哺乳期妇女用药】应包含以下内容：</w:t>
      </w:r>
    </w:p>
    <w:p w:rsidR="00E46505" w:rsidRDefault="001F2EF7">
      <w:pPr>
        <w:spacing w:line="540" w:lineRule="exact"/>
        <w:ind w:firstLineChars="200" w:firstLine="640"/>
        <w:rPr>
          <w:rFonts w:eastAsia="仿宋_GB2312"/>
          <w:b/>
          <w:kern w:val="0"/>
          <w:sz w:val="32"/>
          <w:szCs w:val="32"/>
        </w:rPr>
      </w:pPr>
      <w:r>
        <w:rPr>
          <w:rFonts w:eastAsia="仿宋_GB2312"/>
          <w:kern w:val="0"/>
          <w:sz w:val="32"/>
          <w:szCs w:val="32"/>
        </w:rPr>
        <w:t>妊娠：尚无妊娠期妇女使用倍他司汀的充足数据。关于本品对妊娠、胚胎</w:t>
      </w:r>
      <w:r>
        <w:rPr>
          <w:rFonts w:eastAsia="仿宋_GB2312"/>
          <w:kern w:val="0"/>
          <w:sz w:val="32"/>
          <w:szCs w:val="32"/>
        </w:rPr>
        <w:t>/</w:t>
      </w:r>
      <w:r>
        <w:rPr>
          <w:rFonts w:eastAsia="仿宋_GB2312"/>
          <w:kern w:val="0"/>
          <w:sz w:val="32"/>
          <w:szCs w:val="32"/>
        </w:rPr>
        <w:t>胎儿发育、分娩和产后发育的影响，动物研究不足。对人类的潜在风险未知，除非获益大于风险，妊娠期间不应使用倍他司汀。</w:t>
      </w:r>
    </w:p>
    <w:p w:rsidR="00E46505" w:rsidRDefault="001F2EF7">
      <w:pPr>
        <w:spacing w:line="540" w:lineRule="exact"/>
        <w:ind w:firstLineChars="200" w:firstLine="640"/>
        <w:rPr>
          <w:rFonts w:eastAsia="仿宋_GB2312"/>
          <w:b/>
          <w:color w:val="000000"/>
          <w:kern w:val="0"/>
          <w:sz w:val="32"/>
          <w:szCs w:val="32"/>
        </w:rPr>
      </w:pPr>
      <w:r>
        <w:rPr>
          <w:rFonts w:eastAsia="仿宋_GB2312"/>
          <w:kern w:val="0"/>
          <w:sz w:val="32"/>
          <w:szCs w:val="32"/>
        </w:rPr>
        <w:t>哺乳：目前尚不清楚倍他司汀是否从乳汁中分泌。目前本品是否从动物的乳汁中分泌尚无研究。哺乳期妇女</w:t>
      </w:r>
      <w:r>
        <w:rPr>
          <w:rFonts w:eastAsia="仿宋_GB2312"/>
          <w:color w:val="000000"/>
          <w:kern w:val="0"/>
          <w:sz w:val="32"/>
          <w:szCs w:val="32"/>
        </w:rPr>
        <w:t>用药应当权衡母亲的获益以及对婴幼儿的潜在风险后谨慎决定是否服药。</w:t>
      </w:r>
    </w:p>
    <w:p w:rsidR="00E46505" w:rsidRDefault="001F2EF7">
      <w:pPr>
        <w:widowControl/>
        <w:spacing w:line="540" w:lineRule="exact"/>
        <w:ind w:firstLineChars="200" w:firstLine="640"/>
        <w:jc w:val="left"/>
        <w:rPr>
          <w:rFonts w:ascii="黑体" w:eastAsia="黑体" w:hAnsi="黑体" w:cs="黑体"/>
          <w:bCs/>
          <w:color w:val="000000"/>
          <w:kern w:val="0"/>
          <w:sz w:val="32"/>
          <w:szCs w:val="32"/>
        </w:rPr>
      </w:pPr>
      <w:r>
        <w:rPr>
          <w:rFonts w:ascii="黑体" w:eastAsia="黑体" w:hAnsi="黑体" w:cs="黑体"/>
          <w:bCs/>
          <w:color w:val="000000"/>
          <w:kern w:val="0"/>
          <w:sz w:val="32"/>
          <w:szCs w:val="32"/>
        </w:rPr>
        <w:t>五、【儿童用药】应包含以下内容：</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本品在儿童中的安全有效性尚未建立。儿童禁用。</w:t>
      </w:r>
    </w:p>
    <w:p w:rsidR="00E46505" w:rsidRDefault="001F2EF7">
      <w:pPr>
        <w:widowControl/>
        <w:spacing w:line="540" w:lineRule="exact"/>
        <w:ind w:firstLineChars="200" w:firstLine="640"/>
        <w:jc w:val="left"/>
        <w:rPr>
          <w:rFonts w:ascii="黑体" w:eastAsia="黑体" w:hAnsi="黑体" w:cs="黑体"/>
          <w:bCs/>
          <w:color w:val="000000"/>
          <w:kern w:val="0"/>
          <w:sz w:val="32"/>
          <w:szCs w:val="32"/>
        </w:rPr>
      </w:pPr>
      <w:r>
        <w:rPr>
          <w:rFonts w:ascii="黑体" w:eastAsia="黑体" w:hAnsi="黑体" w:cs="黑体"/>
          <w:bCs/>
          <w:color w:val="000000"/>
          <w:kern w:val="0"/>
          <w:sz w:val="32"/>
          <w:szCs w:val="32"/>
        </w:rPr>
        <w:t>六、【药物相互作用】应包含以下内容：</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没有进行药物相互作用的体内研究。根据体外研究数据，对</w:t>
      </w:r>
      <w:r>
        <w:rPr>
          <w:rFonts w:eastAsia="仿宋_GB2312"/>
          <w:color w:val="000000"/>
          <w:kern w:val="0"/>
          <w:sz w:val="32"/>
          <w:szCs w:val="32"/>
        </w:rPr>
        <w:lastRenderedPageBreak/>
        <w:t>细胞色素</w:t>
      </w:r>
      <w:r>
        <w:rPr>
          <w:rFonts w:eastAsia="仿宋_GB2312"/>
          <w:color w:val="000000"/>
          <w:kern w:val="0"/>
          <w:sz w:val="32"/>
          <w:szCs w:val="32"/>
        </w:rPr>
        <w:t>P450</w:t>
      </w:r>
      <w:r>
        <w:rPr>
          <w:rFonts w:eastAsia="仿宋_GB2312"/>
          <w:color w:val="000000"/>
          <w:kern w:val="0"/>
          <w:sz w:val="32"/>
          <w:szCs w:val="32"/>
        </w:rPr>
        <w:t>酶没有抑制作用。体外研究数据表明通过抑制单胺氧化酶（</w:t>
      </w:r>
      <w:r>
        <w:rPr>
          <w:rFonts w:eastAsia="仿宋_GB2312"/>
          <w:color w:val="000000"/>
          <w:kern w:val="0"/>
          <w:sz w:val="32"/>
          <w:szCs w:val="32"/>
        </w:rPr>
        <w:t>MAO</w:t>
      </w:r>
      <w:r>
        <w:rPr>
          <w:rFonts w:eastAsia="仿宋_GB2312"/>
          <w:color w:val="000000"/>
          <w:kern w:val="0"/>
          <w:sz w:val="32"/>
          <w:szCs w:val="32"/>
        </w:rPr>
        <w:t>）的药物，包括</w:t>
      </w:r>
      <w:r>
        <w:rPr>
          <w:rFonts w:eastAsia="仿宋_GB2312"/>
          <w:color w:val="000000"/>
          <w:kern w:val="0"/>
          <w:sz w:val="32"/>
          <w:szCs w:val="32"/>
        </w:rPr>
        <w:t>MAO</w:t>
      </w:r>
      <w:r>
        <w:rPr>
          <w:rFonts w:eastAsia="仿宋_GB2312"/>
          <w:color w:val="000000"/>
          <w:kern w:val="0"/>
          <w:sz w:val="32"/>
          <w:szCs w:val="32"/>
        </w:rPr>
        <w:t>亚型</w:t>
      </w:r>
      <w:r>
        <w:rPr>
          <w:rFonts w:eastAsia="仿宋_GB2312"/>
          <w:color w:val="000000"/>
          <w:kern w:val="0"/>
          <w:sz w:val="32"/>
          <w:szCs w:val="32"/>
        </w:rPr>
        <w:t>B</w:t>
      </w:r>
      <w:r>
        <w:rPr>
          <w:rFonts w:eastAsia="仿宋_GB2312"/>
          <w:color w:val="000000"/>
          <w:kern w:val="0"/>
          <w:sz w:val="32"/>
          <w:szCs w:val="32"/>
        </w:rPr>
        <w:t>（如司来吉兰）可以抑制倍他司汀的代谢，谨慎同时使用倍他司汀和</w:t>
      </w:r>
      <w:r>
        <w:rPr>
          <w:rFonts w:eastAsia="仿宋_GB2312"/>
          <w:color w:val="000000"/>
          <w:kern w:val="0"/>
          <w:sz w:val="32"/>
          <w:szCs w:val="32"/>
        </w:rPr>
        <w:t>MAO</w:t>
      </w:r>
      <w:r>
        <w:rPr>
          <w:rFonts w:eastAsia="仿宋_GB2312"/>
          <w:color w:val="000000"/>
          <w:kern w:val="0"/>
          <w:sz w:val="32"/>
          <w:szCs w:val="32"/>
        </w:rPr>
        <w:t>抑制剂。</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倍他司汀在神经组织中同时起组胺</w:t>
      </w:r>
      <w:r>
        <w:rPr>
          <w:rFonts w:eastAsia="仿宋_GB2312"/>
          <w:color w:val="000000"/>
          <w:kern w:val="0"/>
          <w:sz w:val="32"/>
          <w:szCs w:val="32"/>
        </w:rPr>
        <w:t>H1</w:t>
      </w:r>
      <w:r>
        <w:rPr>
          <w:rFonts w:eastAsia="仿宋_GB2312"/>
          <w:color w:val="000000"/>
          <w:kern w:val="0"/>
          <w:sz w:val="32"/>
          <w:szCs w:val="32"/>
        </w:rPr>
        <w:t>受体部分激动剂和组胺</w:t>
      </w:r>
      <w:r>
        <w:rPr>
          <w:rFonts w:eastAsia="仿宋_GB2312"/>
          <w:color w:val="000000"/>
          <w:kern w:val="0"/>
          <w:sz w:val="32"/>
          <w:szCs w:val="32"/>
        </w:rPr>
        <w:t>H3</w:t>
      </w:r>
      <w:r>
        <w:rPr>
          <w:rFonts w:eastAsia="仿宋_GB2312"/>
          <w:color w:val="000000"/>
          <w:kern w:val="0"/>
          <w:sz w:val="32"/>
          <w:szCs w:val="32"/>
        </w:rPr>
        <w:t>受体拮抗剂的作用，对组胺</w:t>
      </w:r>
      <w:r>
        <w:rPr>
          <w:rFonts w:eastAsia="仿宋_GB2312"/>
          <w:color w:val="000000"/>
          <w:kern w:val="0"/>
          <w:sz w:val="32"/>
          <w:szCs w:val="32"/>
        </w:rPr>
        <w:t>H2</w:t>
      </w:r>
      <w:r>
        <w:rPr>
          <w:rFonts w:eastAsia="仿宋_GB2312"/>
          <w:color w:val="000000"/>
          <w:kern w:val="0"/>
          <w:sz w:val="32"/>
          <w:szCs w:val="32"/>
        </w:rPr>
        <w:t>受体无活性。倍他司汀通过阻断突触前</w:t>
      </w:r>
      <w:r>
        <w:rPr>
          <w:rFonts w:eastAsia="仿宋_GB2312"/>
          <w:color w:val="000000"/>
          <w:kern w:val="0"/>
          <w:sz w:val="32"/>
          <w:szCs w:val="32"/>
        </w:rPr>
        <w:t>H3</w:t>
      </w:r>
      <w:r>
        <w:rPr>
          <w:rFonts w:eastAsia="仿宋_GB2312"/>
          <w:color w:val="000000"/>
          <w:kern w:val="0"/>
          <w:sz w:val="32"/>
          <w:szCs w:val="32"/>
        </w:rPr>
        <w:t>受体和诱导</w:t>
      </w:r>
      <w:r>
        <w:rPr>
          <w:rFonts w:eastAsia="仿宋_GB2312"/>
          <w:color w:val="000000"/>
          <w:kern w:val="0"/>
          <w:sz w:val="32"/>
          <w:szCs w:val="32"/>
        </w:rPr>
        <w:t>H3</w:t>
      </w:r>
      <w:r>
        <w:rPr>
          <w:rFonts w:eastAsia="仿宋_GB2312"/>
          <w:color w:val="000000"/>
          <w:kern w:val="0"/>
          <w:sz w:val="32"/>
          <w:szCs w:val="32"/>
        </w:rPr>
        <w:t>受体下调来增加组胺的周转和释放。倍他司汀与抗组胺药物理论上可能存在相互作用，影响一种药物的疗效。</w:t>
      </w:r>
    </w:p>
    <w:p w:rsidR="00E46505" w:rsidRDefault="001F2EF7">
      <w:pPr>
        <w:widowControl/>
        <w:spacing w:line="540" w:lineRule="exact"/>
        <w:ind w:firstLineChars="200" w:firstLine="640"/>
        <w:jc w:val="left"/>
        <w:rPr>
          <w:rFonts w:ascii="黑体" w:eastAsia="黑体" w:hAnsi="黑体" w:cs="黑体"/>
          <w:bCs/>
          <w:color w:val="000000"/>
          <w:kern w:val="0"/>
          <w:sz w:val="32"/>
          <w:szCs w:val="32"/>
        </w:rPr>
      </w:pPr>
      <w:r>
        <w:rPr>
          <w:rFonts w:ascii="黑体" w:eastAsia="黑体" w:hAnsi="黑体" w:cs="黑体"/>
          <w:bCs/>
          <w:color w:val="000000"/>
          <w:kern w:val="0"/>
          <w:sz w:val="32"/>
          <w:szCs w:val="32"/>
        </w:rPr>
        <w:t>七、【药物过量】应包含以下内容：</w:t>
      </w:r>
    </w:p>
    <w:p w:rsidR="00E46505" w:rsidRDefault="001F2EF7">
      <w:pPr>
        <w:spacing w:line="540" w:lineRule="exact"/>
        <w:ind w:firstLineChars="200" w:firstLine="640"/>
        <w:rPr>
          <w:rFonts w:eastAsia="仿宋_GB2312"/>
          <w:color w:val="000000"/>
          <w:kern w:val="0"/>
          <w:sz w:val="32"/>
          <w:szCs w:val="32"/>
        </w:rPr>
      </w:pPr>
      <w:r>
        <w:rPr>
          <w:rFonts w:eastAsia="仿宋_GB2312"/>
          <w:color w:val="000000"/>
          <w:kern w:val="0"/>
          <w:sz w:val="32"/>
          <w:szCs w:val="32"/>
        </w:rPr>
        <w:t>已有过量使用的病例报告。剂量高达</w:t>
      </w:r>
      <w:r>
        <w:rPr>
          <w:rFonts w:eastAsia="仿宋_GB2312"/>
          <w:color w:val="000000"/>
          <w:kern w:val="0"/>
          <w:sz w:val="32"/>
          <w:szCs w:val="32"/>
        </w:rPr>
        <w:t>640mg</w:t>
      </w:r>
      <w:r>
        <w:rPr>
          <w:rFonts w:eastAsia="仿宋_GB2312"/>
          <w:color w:val="000000"/>
          <w:kern w:val="0"/>
          <w:sz w:val="32"/>
          <w:szCs w:val="32"/>
        </w:rPr>
        <w:t>时，一些患者出现轻度至中度症状（如恶心、嗜睡、腹痛），更严重的情况（如惊厥、肺部或心脏并发症）出现在故意过量服用倍他司汀的情况下，特别是与其它过量服用的药物联合使用。药物过量时的治疗措施应包括标准的支持治疗。</w:t>
      </w:r>
    </w:p>
    <w:p w:rsidR="00E46505" w:rsidRDefault="00E46505">
      <w:pPr>
        <w:widowControl/>
        <w:ind w:firstLineChars="200" w:firstLine="560"/>
        <w:jc w:val="left"/>
        <w:rPr>
          <w:rFonts w:eastAsia="仿宋_GB2312"/>
          <w:color w:val="000000"/>
          <w:kern w:val="0"/>
          <w:sz w:val="28"/>
        </w:rPr>
      </w:pPr>
    </w:p>
    <w:p w:rsidR="00E46505" w:rsidRDefault="001F2EF7">
      <w:pPr>
        <w:widowControl/>
        <w:jc w:val="left"/>
        <w:rPr>
          <w:rFonts w:eastAsia="仿宋_GB2312"/>
          <w:color w:val="000000"/>
          <w:kern w:val="0"/>
          <w:sz w:val="28"/>
        </w:rPr>
      </w:pPr>
      <w:r>
        <w:rPr>
          <w:rFonts w:eastAsia="仿宋_GB2312"/>
          <w:color w:val="000000"/>
          <w:kern w:val="0"/>
          <w:sz w:val="28"/>
        </w:rPr>
        <w:t>（注：本说明书修订建议原则上不得删减，如原批准说明书安全性内容较本修订建议内容更全面或更严格的，应保留原批准内容。）</w:t>
      </w:r>
    </w:p>
    <w:p w:rsidR="00E46505" w:rsidRDefault="00E46505">
      <w:pPr>
        <w:widowControl/>
        <w:ind w:firstLineChars="200" w:firstLine="560"/>
        <w:jc w:val="left"/>
        <w:rPr>
          <w:rFonts w:ascii="仿宋_GB2312" w:eastAsia="仿宋_GB2312" w:hAnsi="宋体" w:cs="宋体"/>
          <w:color w:val="000000"/>
          <w:kern w:val="0"/>
          <w:sz w:val="28"/>
        </w:rPr>
      </w:pPr>
    </w:p>
    <w:p w:rsidR="00E46505" w:rsidRDefault="00E46505">
      <w:pPr>
        <w:widowControl/>
        <w:ind w:firstLineChars="200" w:firstLine="560"/>
        <w:jc w:val="left"/>
        <w:rPr>
          <w:rFonts w:ascii="仿宋_GB2312" w:eastAsia="仿宋_GB2312" w:hAnsi="宋体" w:cs="宋体"/>
          <w:color w:val="000000"/>
          <w:kern w:val="0"/>
          <w:sz w:val="28"/>
        </w:rPr>
      </w:pPr>
    </w:p>
    <w:p w:rsidR="00E46505" w:rsidRDefault="00E46505">
      <w:pPr>
        <w:spacing w:line="560" w:lineRule="exact"/>
        <w:ind w:firstLineChars="200" w:firstLine="720"/>
        <w:rPr>
          <w:rFonts w:ascii="方正小标宋_GBK" w:eastAsia="方正小标宋_GBK" w:hAnsi="宋体"/>
          <w:sz w:val="36"/>
          <w:szCs w:val="36"/>
        </w:rPr>
      </w:pPr>
      <w:bookmarkStart w:id="0" w:name="_Toc126849458"/>
    </w:p>
    <w:p w:rsidR="001F2EF7" w:rsidRDefault="001F2EF7" w:rsidP="007D2DB1">
      <w:pPr>
        <w:rPr>
          <w:rFonts w:ascii="仿宋_GB2312" w:eastAsia="仿宋_GB2312" w:hAnsi="仿宋" w:hint="eastAsia"/>
          <w:sz w:val="28"/>
          <w:szCs w:val="28"/>
        </w:rPr>
      </w:pPr>
      <w:bookmarkStart w:id="1" w:name="_GoBack"/>
      <w:bookmarkEnd w:id="0"/>
      <w:bookmarkEnd w:id="1"/>
    </w:p>
    <w:sectPr w:rsidR="001F2EF7">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117" w:rsidRDefault="00927117">
      <w:r>
        <w:separator/>
      </w:r>
    </w:p>
  </w:endnote>
  <w:endnote w:type="continuationSeparator" w:id="0">
    <w:p w:rsidR="00927117" w:rsidRDefault="0092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505" w:rsidRDefault="005B7C7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46505" w:rsidRDefault="001F2EF7">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D2DB1">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E46505" w:rsidRDefault="001F2EF7">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D2DB1">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505" w:rsidRDefault="005B7C73">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46505" w:rsidRDefault="001F2EF7">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D2DB1">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E46505" w:rsidRDefault="001F2EF7">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D2DB1">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117" w:rsidRDefault="00927117">
      <w:r>
        <w:separator/>
      </w:r>
    </w:p>
  </w:footnote>
  <w:footnote w:type="continuationSeparator" w:id="0">
    <w:p w:rsidR="00927117" w:rsidRDefault="00927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BEB85F5"/>
    <w:rsid w:val="BEF70C36"/>
    <w:rsid w:val="BF9D1D33"/>
    <w:rsid w:val="DCCF4E59"/>
    <w:rsid w:val="EAB37E1B"/>
    <w:rsid w:val="EAF536A2"/>
    <w:rsid w:val="EFDEB887"/>
    <w:rsid w:val="F5BF1E9A"/>
    <w:rsid w:val="F7FF6025"/>
    <w:rsid w:val="FBFFCEF3"/>
    <w:rsid w:val="FFCB29FD"/>
    <w:rsid w:val="FFEF48F7"/>
    <w:rsid w:val="FFF17F49"/>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2EF7"/>
    <w:rsid w:val="001F3FB0"/>
    <w:rsid w:val="00204B69"/>
    <w:rsid w:val="00247F9A"/>
    <w:rsid w:val="00277D15"/>
    <w:rsid w:val="002A510C"/>
    <w:rsid w:val="002A7F53"/>
    <w:rsid w:val="002D2DF1"/>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B7C73"/>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D2DB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27117"/>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46505"/>
    <w:rsid w:val="00E73776"/>
    <w:rsid w:val="00ED2031"/>
    <w:rsid w:val="00F64776"/>
    <w:rsid w:val="00F6624B"/>
    <w:rsid w:val="00F8685B"/>
    <w:rsid w:val="00FA60C8"/>
    <w:rsid w:val="00FD22E5"/>
    <w:rsid w:val="00FD443E"/>
    <w:rsid w:val="00FD754D"/>
    <w:rsid w:val="0BEC7EA0"/>
    <w:rsid w:val="0F9E0E77"/>
    <w:rsid w:val="1DF272F6"/>
    <w:rsid w:val="25BE4D04"/>
    <w:rsid w:val="2A8D465A"/>
    <w:rsid w:val="370B9614"/>
    <w:rsid w:val="3DEB539C"/>
    <w:rsid w:val="3FFF0AD9"/>
    <w:rsid w:val="43E2636A"/>
    <w:rsid w:val="4BB1C6BD"/>
    <w:rsid w:val="4C1A048F"/>
    <w:rsid w:val="565DBEF4"/>
    <w:rsid w:val="57CF58BB"/>
    <w:rsid w:val="591D3208"/>
    <w:rsid w:val="5D5DCAA5"/>
    <w:rsid w:val="5E3FB143"/>
    <w:rsid w:val="5F297A5F"/>
    <w:rsid w:val="5FFFA702"/>
    <w:rsid w:val="63E446CD"/>
    <w:rsid w:val="6BDF388C"/>
    <w:rsid w:val="770DA210"/>
    <w:rsid w:val="77F28E94"/>
    <w:rsid w:val="79DB85BD"/>
    <w:rsid w:val="7CEFAD7F"/>
    <w:rsid w:val="7DE8F296"/>
    <w:rsid w:val="7ED62E8A"/>
    <w:rsid w:val="7F6E26C5"/>
    <w:rsid w:val="7FDD8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7EAAC6-7EC8-446B-82E1-C946C182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Company>Xtzj.Com</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2023-06-13T18:35:00Z</cp:lastPrinted>
  <dcterms:created xsi:type="dcterms:W3CDTF">2023-06-13T08:15:00Z</dcterms:created>
  <dcterms:modified xsi:type="dcterms:W3CDTF">2023-06-13T08:16:00Z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EA4E6BC2649A81A5CB958264976A7087</vt:lpwstr>
  </property>
</Properties>
</file>