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89E81">
      <w:pPr>
        <w:wordWrap w:val="0"/>
        <w:spacing w:line="600" w:lineRule="exact"/>
        <w:jc w:val="center"/>
        <w:rPr>
          <w:rFonts w:hint="eastAsia" w:asciiTheme="majorEastAsia" w:hAnsiTheme="majorEastAsia" w:eastAsiaTheme="majorEastAsia"/>
          <w:b/>
          <w:bCs/>
          <w:color w:val="auto"/>
          <w:sz w:val="44"/>
          <w:szCs w:val="44"/>
          <w:lang w:val="en-US" w:eastAsia="zh-CN"/>
        </w:rPr>
      </w:pPr>
      <w:r>
        <w:rPr>
          <w:rFonts w:hint="eastAsia" w:asciiTheme="majorEastAsia" w:hAnsiTheme="majorEastAsia" w:eastAsiaTheme="majorEastAsia"/>
          <w:b/>
          <w:bCs/>
          <w:color w:val="auto"/>
          <w:sz w:val="44"/>
          <w:szCs w:val="44"/>
        </w:rPr>
        <w:t>河北省</w:t>
      </w:r>
      <w:r>
        <w:rPr>
          <w:rFonts w:hint="eastAsia" w:asciiTheme="majorEastAsia" w:hAnsiTheme="majorEastAsia" w:eastAsiaTheme="majorEastAsia"/>
          <w:b/>
          <w:bCs/>
          <w:color w:val="auto"/>
          <w:sz w:val="44"/>
          <w:szCs w:val="44"/>
          <w:lang w:val="en-US" w:eastAsia="zh-CN"/>
        </w:rPr>
        <w:t>一次性使用导尿包</w:t>
      </w:r>
      <w:r>
        <w:rPr>
          <w:rFonts w:hint="eastAsia" w:asciiTheme="majorEastAsia" w:hAnsiTheme="majorEastAsia" w:eastAsiaTheme="majorEastAsia"/>
          <w:b/>
          <w:bCs/>
          <w:color w:val="auto"/>
          <w:sz w:val="44"/>
          <w:szCs w:val="44"/>
        </w:rPr>
        <w:t>带量</w:t>
      </w:r>
    </w:p>
    <w:p w14:paraId="284618A0">
      <w:pPr>
        <w:wordWrap w:val="0"/>
        <w:spacing w:line="600" w:lineRule="exact"/>
        <w:jc w:val="center"/>
        <w:rPr>
          <w:rFonts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联动采购工作方案</w:t>
      </w:r>
    </w:p>
    <w:p w14:paraId="432A2080">
      <w:pPr>
        <w:pStyle w:val="2"/>
        <w:tabs>
          <w:tab w:val="center" w:pos="4454"/>
          <w:tab w:val="right" w:pos="8788"/>
        </w:tabs>
        <w:jc w:val="left"/>
        <w:rPr>
          <w:rFonts w:ascii="仿宋_GB2312" w:eastAsia="仿宋_GB2312"/>
          <w:color w:val="auto"/>
          <w:sz w:val="32"/>
          <w:szCs w:val="32"/>
        </w:rPr>
      </w:pPr>
      <w:r>
        <w:rPr>
          <w:rFonts w:hint="eastAsia" w:ascii="楷体" w:hAnsi="楷体" w:eastAsia="楷体" w:cs="楷体"/>
          <w:color w:val="auto"/>
          <w:sz w:val="32"/>
          <w:szCs w:val="32"/>
        </w:rPr>
        <w:tab/>
      </w:r>
    </w:p>
    <w:p w14:paraId="10A7C04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为贯彻《中共中央国务院关于深化医疗保障制度改革的意见》（中发〔2020〕5号）等文件精神，全面深化医用耗材集中带量采购制度改革，结合实际，制定</w:t>
      </w:r>
      <w:r>
        <w:rPr>
          <w:rFonts w:hint="eastAsia" w:ascii="仿宋" w:hAnsi="仿宋" w:eastAsia="仿宋" w:cs="仿宋"/>
          <w:color w:val="auto"/>
          <w:sz w:val="32"/>
          <w:szCs w:val="32"/>
          <w:lang w:val="en-US" w:eastAsia="zh-CN"/>
        </w:rPr>
        <w:t>河北省一次性使用导尿包</w:t>
      </w:r>
      <w:r>
        <w:rPr>
          <w:rFonts w:hint="eastAsia" w:ascii="仿宋" w:hAnsi="仿宋" w:eastAsia="仿宋" w:cs="仿宋"/>
          <w:color w:val="auto"/>
          <w:sz w:val="32"/>
          <w:szCs w:val="32"/>
        </w:rPr>
        <w:t>带量联动采购工作方案。</w:t>
      </w:r>
    </w:p>
    <w:p w14:paraId="4454D9A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一、总体目标</w:t>
      </w:r>
    </w:p>
    <w:p w14:paraId="5C6D398E">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充分发挥集中带量采购在深化医药卫生体制改革中的作用，通过带量联动，坚持保障供应，实现</w:t>
      </w:r>
      <w:r>
        <w:rPr>
          <w:rFonts w:hint="eastAsia" w:ascii="仿宋" w:hAnsi="仿宋" w:eastAsia="仿宋" w:cs="仿宋"/>
          <w:color w:val="auto"/>
          <w:sz w:val="32"/>
          <w:szCs w:val="32"/>
          <w:lang w:val="en-US" w:eastAsia="zh-CN"/>
        </w:rPr>
        <w:t>一次性使用导尿包</w:t>
      </w:r>
      <w:r>
        <w:rPr>
          <w:rFonts w:hint="eastAsia" w:ascii="仿宋" w:hAnsi="仿宋" w:eastAsia="仿宋" w:cs="仿宋"/>
          <w:color w:val="auto"/>
          <w:sz w:val="32"/>
          <w:szCs w:val="32"/>
        </w:rPr>
        <w:t>价格更趋合理，有效减轻患者医药费用负担；降低交易成本，净化流通环境，改善行业生态；规范医用耗材采购和使用行为。</w:t>
      </w:r>
    </w:p>
    <w:p w14:paraId="471956B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二、采购品种及采购周期</w:t>
      </w:r>
    </w:p>
    <w:p w14:paraId="7B50A9BE">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本次带量联动采购品种为</w:t>
      </w:r>
      <w:r>
        <w:rPr>
          <w:rFonts w:hint="eastAsia" w:ascii="仿宋" w:hAnsi="仿宋" w:eastAsia="仿宋" w:cs="仿宋"/>
          <w:color w:val="auto"/>
          <w:sz w:val="32"/>
          <w:szCs w:val="32"/>
          <w:highlight w:val="none"/>
          <w:lang w:val="en-US" w:eastAsia="zh-CN"/>
        </w:rPr>
        <w:t>一次性使用导尿包</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医用</w:t>
      </w:r>
      <w:r>
        <w:rPr>
          <w:rFonts w:hint="eastAsia" w:ascii="仿宋" w:hAnsi="仿宋" w:eastAsia="仿宋" w:cs="仿宋"/>
          <w:color w:val="auto"/>
          <w:sz w:val="32"/>
          <w:szCs w:val="32"/>
          <w:highlight w:val="none"/>
        </w:rPr>
        <w:t>耗材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产品分类</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乳胶/普通/单腔、乳胶/普通/多腔、乳胶/超滑/单腔、乳胶/超滑/多腔、硅胶/普通/单腔、硅胶/普通/多腔、硅胶/超滑/单腔、硅胶/超滑/多腔，</w:t>
      </w:r>
      <w:r>
        <w:rPr>
          <w:rFonts w:ascii="仿宋_GB2312" w:hAnsi="仿宋_GB2312" w:eastAsia="仿宋_GB2312" w:cs="仿宋_GB2312"/>
          <w:color w:val="auto"/>
          <w:kern w:val="0"/>
          <w:sz w:val="31"/>
          <w:szCs w:val="31"/>
          <w:lang w:val="en-US" w:eastAsia="zh-CN" w:bidi="ar"/>
        </w:rPr>
        <w:t>包括但不限于</w:t>
      </w:r>
      <w:r>
        <w:rPr>
          <w:rFonts w:hint="eastAsia" w:ascii="仿宋_GB2312" w:hAnsi="仿宋_GB2312" w:eastAsia="仿宋_GB2312" w:cs="仿宋_GB2312"/>
          <w:color w:val="auto"/>
          <w:kern w:val="0"/>
          <w:sz w:val="31"/>
          <w:szCs w:val="31"/>
          <w:lang w:val="en-US" w:eastAsia="zh-CN" w:bidi="ar"/>
        </w:rPr>
        <w:t>国家医用耗材代码</w:t>
      </w:r>
      <w:r>
        <w:rPr>
          <w:rFonts w:ascii="仿宋_GB2312" w:hAnsi="仿宋_GB2312" w:eastAsia="仿宋_GB2312" w:cs="仿宋_GB2312"/>
          <w:color w:val="auto"/>
          <w:kern w:val="0"/>
          <w:sz w:val="31"/>
          <w:szCs w:val="31"/>
          <w:lang w:val="en-US" w:eastAsia="zh-CN" w:bidi="ar"/>
        </w:rPr>
        <w:t>前10位为C141704195，</w:t>
      </w:r>
      <w:r>
        <w:rPr>
          <w:rFonts w:hint="eastAsia" w:ascii="仿宋_GB2312" w:hAnsi="仿宋_GB2312" w:eastAsia="仿宋_GB2312" w:cs="仿宋_GB2312"/>
          <w:color w:val="auto"/>
          <w:kern w:val="0"/>
          <w:sz w:val="31"/>
          <w:szCs w:val="31"/>
          <w:lang w:val="en-US" w:eastAsia="zh-CN" w:bidi="ar"/>
        </w:rPr>
        <w:t>具体目录如下</w:t>
      </w:r>
      <w:r>
        <w:rPr>
          <w:rFonts w:ascii="仿宋_GB2312" w:hAnsi="仿宋_GB2312" w:eastAsia="仿宋_GB2312" w:cs="仿宋_GB2312"/>
          <w:color w:val="auto"/>
          <w:kern w:val="0"/>
          <w:sz w:val="31"/>
          <w:szCs w:val="31"/>
          <w:lang w:val="en-US" w:eastAsia="zh-CN" w:bidi="ar"/>
        </w:rPr>
        <w:t>。</w:t>
      </w:r>
      <w:r>
        <w:rPr>
          <w:rFonts w:hint="eastAsia" w:ascii="仿宋" w:hAnsi="仿宋" w:eastAsia="仿宋" w:cs="仿宋"/>
          <w:color w:val="auto"/>
          <w:sz w:val="32"/>
          <w:szCs w:val="32"/>
          <w:highlight w:val="none"/>
          <w:lang w:val="en-US" w:eastAsia="zh-CN"/>
        </w:rPr>
        <w:t>本次带量联动</w:t>
      </w:r>
      <w:r>
        <w:rPr>
          <w:rFonts w:hint="eastAsia" w:ascii="仿宋" w:hAnsi="仿宋" w:eastAsia="仿宋" w:cs="仿宋"/>
          <w:color w:val="auto"/>
          <w:sz w:val="32"/>
          <w:szCs w:val="32"/>
          <w:highlight w:val="none"/>
        </w:rPr>
        <w:t>采购周期为2年，每年签订三方采购协议。</w:t>
      </w:r>
    </w:p>
    <w:p w14:paraId="1E0755EF">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p>
    <w:p w14:paraId="3639C246">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p>
    <w:p w14:paraId="31036E1A">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p>
    <w:p w14:paraId="6215C226">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p>
    <w:tbl>
      <w:tblPr>
        <w:tblStyle w:val="4"/>
        <w:tblpPr w:leftFromText="180" w:rightFromText="180" w:vertAnchor="text" w:horzAnchor="page" w:tblpX="1697" w:tblpY="81"/>
        <w:tblOverlap w:val="never"/>
        <w:tblW w:w="485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70"/>
        <w:gridCol w:w="2579"/>
        <w:gridCol w:w="4492"/>
      </w:tblGrid>
      <w:tr w14:paraId="0C3B4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955" w:type="pct"/>
            <w:noWrap w:val="0"/>
            <w:vAlign w:val="center"/>
          </w:tcPr>
          <w:p w14:paraId="2D3F23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32"/>
                <w:szCs w:val="32"/>
                <w:highlight w:val="none"/>
                <w:u w:val="none"/>
              </w:rPr>
            </w:pPr>
            <w:r>
              <w:rPr>
                <w:rFonts w:hint="eastAsia" w:ascii="仿宋" w:hAnsi="仿宋" w:eastAsia="仿宋" w:cs="仿宋"/>
                <w:b/>
                <w:bCs w:val="0"/>
                <w:color w:val="auto"/>
                <w:sz w:val="32"/>
                <w:szCs w:val="32"/>
                <w:highlight w:val="none"/>
                <w:u w:val="none"/>
                <w:lang w:eastAsia="zh-CN"/>
              </w:rPr>
              <w:t>采购</w:t>
            </w:r>
            <w:r>
              <w:rPr>
                <w:rFonts w:hint="eastAsia" w:ascii="仿宋" w:hAnsi="仿宋" w:eastAsia="仿宋" w:cs="仿宋"/>
                <w:b/>
                <w:bCs w:val="0"/>
                <w:color w:val="auto"/>
                <w:sz w:val="32"/>
                <w:szCs w:val="32"/>
                <w:highlight w:val="none"/>
                <w:u w:val="none"/>
              </w:rPr>
              <w:t>品种</w:t>
            </w:r>
          </w:p>
        </w:tc>
        <w:tc>
          <w:tcPr>
            <w:tcW w:w="1475" w:type="pct"/>
            <w:noWrap w:val="0"/>
            <w:vAlign w:val="center"/>
          </w:tcPr>
          <w:p w14:paraId="3FB7BA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32"/>
                <w:szCs w:val="32"/>
                <w:highlight w:val="none"/>
                <w:u w:val="none"/>
                <w:lang w:eastAsia="zh-CN"/>
              </w:rPr>
            </w:pPr>
            <w:r>
              <w:rPr>
                <w:rFonts w:hint="eastAsia" w:ascii="仿宋" w:hAnsi="仿宋" w:eastAsia="仿宋" w:cs="仿宋"/>
                <w:b/>
                <w:bCs w:val="0"/>
                <w:color w:val="auto"/>
                <w:sz w:val="32"/>
                <w:szCs w:val="32"/>
                <w:highlight w:val="none"/>
                <w:u w:val="none"/>
                <w:lang w:eastAsia="zh-CN"/>
              </w:rPr>
              <w:t>产品分类</w:t>
            </w:r>
          </w:p>
        </w:tc>
        <w:tc>
          <w:tcPr>
            <w:tcW w:w="2569" w:type="pct"/>
            <w:noWrap w:val="0"/>
            <w:vAlign w:val="center"/>
          </w:tcPr>
          <w:p w14:paraId="01E26D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32"/>
                <w:szCs w:val="32"/>
                <w:highlight w:val="none"/>
                <w:u w:val="none"/>
                <w:lang w:val="en-US" w:eastAsia="zh-CN"/>
              </w:rPr>
            </w:pPr>
            <w:r>
              <w:rPr>
                <w:rFonts w:hint="eastAsia" w:ascii="仿宋" w:hAnsi="仿宋" w:eastAsia="仿宋" w:cs="仿宋"/>
                <w:b/>
                <w:bCs w:val="0"/>
                <w:color w:val="auto"/>
                <w:sz w:val="32"/>
                <w:szCs w:val="32"/>
                <w:highlight w:val="none"/>
                <w:u w:val="none"/>
                <w:lang w:val="en-US" w:eastAsia="zh-CN"/>
              </w:rPr>
              <w:t>采购要求</w:t>
            </w:r>
          </w:p>
        </w:tc>
      </w:tr>
      <w:tr w14:paraId="79B44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955" w:type="pct"/>
            <w:vMerge w:val="restart"/>
            <w:noWrap w:val="0"/>
            <w:vAlign w:val="center"/>
          </w:tcPr>
          <w:p w14:paraId="7FDB3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一次性使用导尿包</w:t>
            </w:r>
          </w:p>
        </w:tc>
        <w:tc>
          <w:tcPr>
            <w:tcW w:w="1475" w:type="pct"/>
            <w:noWrap w:val="0"/>
            <w:vAlign w:val="center"/>
          </w:tcPr>
          <w:p w14:paraId="637860CD">
            <w:pPr>
              <w:keepNext w:val="0"/>
              <w:keepLines w:val="0"/>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color w:val="auto"/>
                <w:kern w:val="2"/>
                <w:sz w:val="30"/>
                <w:szCs w:val="30"/>
                <w:highlight w:val="none"/>
                <w:u w:val="none"/>
                <w:lang w:val="en-US" w:eastAsia="zh-CN" w:bidi="ar-SA"/>
              </w:rPr>
            </w:pPr>
            <w:r>
              <w:rPr>
                <w:rFonts w:hint="eastAsia" w:ascii="仿宋" w:hAnsi="仿宋" w:eastAsia="仿宋" w:cs="仿宋"/>
                <w:color w:val="auto"/>
                <w:sz w:val="32"/>
                <w:szCs w:val="32"/>
                <w:highlight w:val="none"/>
                <w:lang w:val="en-US" w:eastAsia="zh-CN"/>
              </w:rPr>
              <w:t>乳胶/普通/单腔</w:t>
            </w:r>
          </w:p>
        </w:tc>
        <w:tc>
          <w:tcPr>
            <w:tcW w:w="2569" w:type="pct"/>
            <w:vMerge w:val="restart"/>
            <w:noWrap w:val="0"/>
            <w:vAlign w:val="center"/>
          </w:tcPr>
          <w:p w14:paraId="7EEA27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olor w:val="auto"/>
                <w:highlight w:val="none"/>
                <w:lang w:val="en-US" w:eastAsia="zh-CN"/>
              </w:rPr>
            </w:pPr>
            <w:r>
              <w:rPr>
                <w:rFonts w:hint="eastAsia" w:ascii="仿宋" w:hAnsi="仿宋" w:eastAsia="仿宋" w:cs="仿宋"/>
                <w:color w:val="auto"/>
                <w:sz w:val="30"/>
                <w:szCs w:val="30"/>
                <w:highlight w:val="none"/>
                <w:u w:val="none"/>
                <w:lang w:val="en-US" w:eastAsia="zh-CN"/>
              </w:rPr>
              <w:t>须包含但不限于导尿管、引流袋、棉球（不少于12个）、手套（不少于3只）、 注射器、镊子、洞巾、包布、纱布块等。不包含测温、抗菌类产品</w:t>
            </w:r>
          </w:p>
        </w:tc>
      </w:tr>
      <w:tr w14:paraId="11E09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955" w:type="pct"/>
            <w:vMerge w:val="continue"/>
            <w:noWrap w:val="0"/>
            <w:vAlign w:val="center"/>
          </w:tcPr>
          <w:p w14:paraId="5C6C6704">
            <w:pPr>
              <w:keepNext w:val="0"/>
              <w:keepLines w:val="0"/>
              <w:pageBreakBefore w:val="0"/>
              <w:kinsoku/>
              <w:overflowPunct/>
              <w:topLinePunct w:val="0"/>
              <w:autoSpaceDE/>
              <w:autoSpaceDN/>
              <w:bidi w:val="0"/>
              <w:adjustRightInd/>
              <w:spacing w:line="560" w:lineRule="exact"/>
              <w:jc w:val="center"/>
              <w:textAlignment w:val="auto"/>
              <w:rPr>
                <w:rFonts w:hint="eastAsia" w:ascii="仿宋" w:hAnsi="仿宋" w:eastAsia="仿宋" w:cs="仿宋"/>
                <w:color w:val="auto"/>
                <w:sz w:val="32"/>
                <w:szCs w:val="32"/>
                <w:highlight w:val="none"/>
                <w:u w:val="none"/>
                <w:lang w:eastAsia="zh-CN"/>
              </w:rPr>
            </w:pPr>
          </w:p>
        </w:tc>
        <w:tc>
          <w:tcPr>
            <w:tcW w:w="1475" w:type="pct"/>
            <w:noWrap w:val="0"/>
            <w:vAlign w:val="center"/>
          </w:tcPr>
          <w:p w14:paraId="6831DF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乳胶/普通/多腔</w:t>
            </w:r>
          </w:p>
        </w:tc>
        <w:tc>
          <w:tcPr>
            <w:tcW w:w="2569" w:type="pct"/>
            <w:vMerge w:val="continue"/>
            <w:noWrap w:val="0"/>
            <w:vAlign w:val="center"/>
          </w:tcPr>
          <w:p w14:paraId="69A365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41A5A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trPr>
        <w:tc>
          <w:tcPr>
            <w:tcW w:w="955" w:type="pct"/>
            <w:vMerge w:val="continue"/>
            <w:noWrap w:val="0"/>
            <w:vAlign w:val="center"/>
          </w:tcPr>
          <w:p w14:paraId="56A69352">
            <w:pPr>
              <w:keepNext w:val="0"/>
              <w:keepLines w:val="0"/>
              <w:pageBreakBefore w:val="0"/>
              <w:kinsoku/>
              <w:overflowPunct/>
              <w:topLinePunct w:val="0"/>
              <w:autoSpaceDE/>
              <w:autoSpaceDN/>
              <w:bidi w:val="0"/>
              <w:adjustRightInd/>
              <w:spacing w:line="560" w:lineRule="exact"/>
              <w:jc w:val="center"/>
              <w:textAlignment w:val="auto"/>
              <w:rPr>
                <w:rFonts w:hint="eastAsia" w:ascii="仿宋" w:hAnsi="仿宋" w:eastAsia="仿宋" w:cs="仿宋"/>
                <w:color w:val="auto"/>
                <w:sz w:val="32"/>
                <w:szCs w:val="32"/>
                <w:highlight w:val="none"/>
                <w:u w:val="none"/>
                <w:lang w:eastAsia="zh-CN"/>
              </w:rPr>
            </w:pPr>
          </w:p>
        </w:tc>
        <w:tc>
          <w:tcPr>
            <w:tcW w:w="1475" w:type="pct"/>
            <w:noWrap w:val="0"/>
            <w:vAlign w:val="center"/>
          </w:tcPr>
          <w:p w14:paraId="22E90E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乳胶/超滑/单腔</w:t>
            </w:r>
          </w:p>
        </w:tc>
        <w:tc>
          <w:tcPr>
            <w:tcW w:w="2569" w:type="pct"/>
            <w:vMerge w:val="continue"/>
            <w:noWrap w:val="0"/>
            <w:vAlign w:val="center"/>
          </w:tcPr>
          <w:p w14:paraId="49E39B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36B57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55" w:type="pct"/>
            <w:vMerge w:val="continue"/>
            <w:noWrap w:val="0"/>
            <w:vAlign w:val="center"/>
          </w:tcPr>
          <w:p w14:paraId="34CEB21F">
            <w:pPr>
              <w:keepNext w:val="0"/>
              <w:keepLines w:val="0"/>
              <w:pageBreakBefore w:val="0"/>
              <w:kinsoku/>
              <w:overflowPunct/>
              <w:topLinePunct w:val="0"/>
              <w:autoSpaceDE/>
              <w:autoSpaceDN/>
              <w:bidi w:val="0"/>
              <w:adjustRightInd/>
              <w:spacing w:line="560" w:lineRule="exact"/>
              <w:jc w:val="center"/>
              <w:textAlignment w:val="auto"/>
              <w:rPr>
                <w:rFonts w:hint="eastAsia" w:ascii="仿宋" w:hAnsi="仿宋" w:eastAsia="仿宋" w:cs="仿宋"/>
                <w:color w:val="auto"/>
                <w:sz w:val="32"/>
                <w:szCs w:val="32"/>
                <w:highlight w:val="none"/>
                <w:u w:val="none"/>
                <w:lang w:eastAsia="zh-CN"/>
              </w:rPr>
            </w:pPr>
          </w:p>
        </w:tc>
        <w:tc>
          <w:tcPr>
            <w:tcW w:w="1475" w:type="pct"/>
            <w:noWrap w:val="0"/>
            <w:vAlign w:val="center"/>
          </w:tcPr>
          <w:p w14:paraId="07495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乳胶/超滑/多腔</w:t>
            </w:r>
          </w:p>
        </w:tc>
        <w:tc>
          <w:tcPr>
            <w:tcW w:w="2569" w:type="pct"/>
            <w:vMerge w:val="continue"/>
            <w:noWrap w:val="0"/>
            <w:vAlign w:val="center"/>
          </w:tcPr>
          <w:p w14:paraId="7CAA96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6DDEF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955" w:type="pct"/>
            <w:vMerge w:val="continue"/>
            <w:noWrap w:val="0"/>
            <w:vAlign w:val="center"/>
          </w:tcPr>
          <w:p w14:paraId="76D0A1A1">
            <w:pPr>
              <w:keepNext w:val="0"/>
              <w:keepLines w:val="0"/>
              <w:pageBreakBefore w:val="0"/>
              <w:kinsoku/>
              <w:overflowPunct/>
              <w:topLinePunct w:val="0"/>
              <w:autoSpaceDE/>
              <w:autoSpaceDN/>
              <w:bidi w:val="0"/>
              <w:adjustRightInd/>
              <w:spacing w:line="560" w:lineRule="exact"/>
              <w:jc w:val="center"/>
              <w:textAlignment w:val="auto"/>
              <w:rPr>
                <w:rFonts w:hint="eastAsia" w:ascii="仿宋" w:hAnsi="仿宋" w:eastAsia="仿宋" w:cs="仿宋"/>
                <w:color w:val="auto"/>
                <w:sz w:val="32"/>
                <w:szCs w:val="32"/>
                <w:highlight w:val="none"/>
                <w:u w:val="none"/>
                <w:lang w:eastAsia="zh-CN"/>
              </w:rPr>
            </w:pPr>
          </w:p>
        </w:tc>
        <w:tc>
          <w:tcPr>
            <w:tcW w:w="1475" w:type="pct"/>
            <w:noWrap w:val="0"/>
            <w:vAlign w:val="center"/>
          </w:tcPr>
          <w:p w14:paraId="6F421D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硅胶/普通/单腔</w:t>
            </w:r>
          </w:p>
        </w:tc>
        <w:tc>
          <w:tcPr>
            <w:tcW w:w="2569" w:type="pct"/>
            <w:vMerge w:val="continue"/>
            <w:noWrap w:val="0"/>
            <w:vAlign w:val="center"/>
          </w:tcPr>
          <w:p w14:paraId="5129DD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4D5A4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955" w:type="pct"/>
            <w:vMerge w:val="continue"/>
            <w:noWrap w:val="0"/>
            <w:vAlign w:val="center"/>
          </w:tcPr>
          <w:p w14:paraId="1E45671C">
            <w:pPr>
              <w:keepNext w:val="0"/>
              <w:keepLines w:val="0"/>
              <w:pageBreakBefore w:val="0"/>
              <w:kinsoku/>
              <w:overflowPunct/>
              <w:topLinePunct w:val="0"/>
              <w:autoSpaceDE/>
              <w:autoSpaceDN/>
              <w:bidi w:val="0"/>
              <w:adjustRightInd/>
              <w:spacing w:line="560" w:lineRule="exact"/>
              <w:jc w:val="center"/>
              <w:textAlignment w:val="auto"/>
              <w:rPr>
                <w:rFonts w:hint="eastAsia" w:ascii="仿宋" w:hAnsi="仿宋" w:eastAsia="仿宋" w:cs="仿宋"/>
                <w:color w:val="auto"/>
                <w:sz w:val="32"/>
                <w:szCs w:val="32"/>
                <w:highlight w:val="none"/>
                <w:u w:val="none"/>
                <w:lang w:eastAsia="zh-CN"/>
              </w:rPr>
            </w:pPr>
          </w:p>
        </w:tc>
        <w:tc>
          <w:tcPr>
            <w:tcW w:w="1475" w:type="pct"/>
            <w:noWrap w:val="0"/>
            <w:vAlign w:val="center"/>
          </w:tcPr>
          <w:p w14:paraId="6A23FE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硅胶/普通/多腔</w:t>
            </w:r>
          </w:p>
        </w:tc>
        <w:tc>
          <w:tcPr>
            <w:tcW w:w="2569" w:type="pct"/>
            <w:vMerge w:val="continue"/>
            <w:noWrap w:val="0"/>
            <w:vAlign w:val="center"/>
          </w:tcPr>
          <w:p w14:paraId="39DC30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10FE1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955" w:type="pct"/>
            <w:vMerge w:val="continue"/>
            <w:noWrap w:val="0"/>
            <w:vAlign w:val="center"/>
          </w:tcPr>
          <w:p w14:paraId="2E3F7B20">
            <w:pPr>
              <w:keepNext w:val="0"/>
              <w:keepLines w:val="0"/>
              <w:pageBreakBefore w:val="0"/>
              <w:kinsoku/>
              <w:overflowPunct/>
              <w:topLinePunct w:val="0"/>
              <w:autoSpaceDE/>
              <w:autoSpaceDN/>
              <w:bidi w:val="0"/>
              <w:adjustRightInd/>
              <w:spacing w:line="560" w:lineRule="exact"/>
              <w:jc w:val="center"/>
              <w:textAlignment w:val="auto"/>
              <w:rPr>
                <w:rFonts w:hint="eastAsia" w:ascii="仿宋" w:hAnsi="仿宋" w:eastAsia="仿宋" w:cs="仿宋"/>
                <w:color w:val="auto"/>
                <w:sz w:val="32"/>
                <w:szCs w:val="32"/>
                <w:highlight w:val="none"/>
                <w:u w:val="none"/>
                <w:lang w:eastAsia="zh-CN"/>
              </w:rPr>
            </w:pPr>
          </w:p>
        </w:tc>
        <w:tc>
          <w:tcPr>
            <w:tcW w:w="1475" w:type="pct"/>
            <w:noWrap w:val="0"/>
            <w:vAlign w:val="center"/>
          </w:tcPr>
          <w:p w14:paraId="0F9AA8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highlight w:val="none"/>
                <w:lang w:val="en-US" w:eastAsia="zh-CN"/>
              </w:rPr>
              <w:t>硅胶/超滑/单腔</w:t>
            </w:r>
          </w:p>
        </w:tc>
        <w:tc>
          <w:tcPr>
            <w:tcW w:w="2569" w:type="pct"/>
            <w:vMerge w:val="continue"/>
            <w:noWrap w:val="0"/>
            <w:vAlign w:val="center"/>
          </w:tcPr>
          <w:p w14:paraId="14337F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57796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55" w:type="pct"/>
            <w:vMerge w:val="continue"/>
            <w:noWrap w:val="0"/>
            <w:vAlign w:val="center"/>
          </w:tcPr>
          <w:p w14:paraId="6C4094F0">
            <w:pPr>
              <w:keepNext w:val="0"/>
              <w:keepLines w:val="0"/>
              <w:pageBreakBefore w:val="0"/>
              <w:kinsoku/>
              <w:overflowPunct/>
              <w:topLinePunct w:val="0"/>
              <w:autoSpaceDE/>
              <w:autoSpaceDN/>
              <w:bidi w:val="0"/>
              <w:adjustRightInd/>
              <w:spacing w:line="560" w:lineRule="exact"/>
              <w:jc w:val="center"/>
              <w:textAlignment w:val="auto"/>
              <w:rPr>
                <w:rFonts w:hint="eastAsia" w:ascii="仿宋" w:hAnsi="仿宋" w:eastAsia="仿宋" w:cs="仿宋"/>
                <w:color w:val="auto"/>
                <w:sz w:val="32"/>
                <w:szCs w:val="32"/>
                <w:highlight w:val="none"/>
                <w:u w:val="none"/>
                <w:lang w:eastAsia="zh-CN"/>
              </w:rPr>
            </w:pPr>
          </w:p>
        </w:tc>
        <w:tc>
          <w:tcPr>
            <w:tcW w:w="1475" w:type="pct"/>
            <w:noWrap w:val="0"/>
            <w:vAlign w:val="center"/>
          </w:tcPr>
          <w:p w14:paraId="47C0C9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2"/>
                <w:szCs w:val="32"/>
                <w:highlight w:val="none"/>
                <w:lang w:val="en-US" w:eastAsia="zh-CN"/>
              </w:rPr>
              <w:t>硅胶/超滑/多腔</w:t>
            </w:r>
          </w:p>
        </w:tc>
        <w:tc>
          <w:tcPr>
            <w:tcW w:w="2569" w:type="pct"/>
            <w:vMerge w:val="continue"/>
            <w:noWrap w:val="0"/>
            <w:vAlign w:val="center"/>
          </w:tcPr>
          <w:p w14:paraId="7B0E93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bl>
    <w:p w14:paraId="29C50E1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三、采购主体</w:t>
      </w:r>
    </w:p>
    <w:p w14:paraId="105E011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公立医疗机构和军队医疗机构作为医用耗材采购主体均应参加，医保定点社会办医疗机构按照定点协议管理的要求参加。</w:t>
      </w:r>
    </w:p>
    <w:p w14:paraId="582C19D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四、采购方式与采购要求</w:t>
      </w:r>
    </w:p>
    <w:p w14:paraId="1BDAC48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（一）经公平竞争审查，本次</w:t>
      </w:r>
      <w:r>
        <w:rPr>
          <w:rFonts w:hint="eastAsia" w:ascii="仿宋" w:hAnsi="仿宋" w:eastAsia="仿宋" w:cs="仿宋"/>
          <w:color w:val="auto"/>
          <w:sz w:val="32"/>
          <w:szCs w:val="32"/>
          <w:lang w:val="en-US" w:eastAsia="zh-CN"/>
        </w:rPr>
        <w:t>一次性使用导尿包</w:t>
      </w:r>
      <w:r>
        <w:rPr>
          <w:rFonts w:hint="eastAsia" w:ascii="仿宋" w:hAnsi="仿宋" w:eastAsia="仿宋" w:cs="仿宋"/>
          <w:color w:val="auto"/>
          <w:sz w:val="32"/>
          <w:szCs w:val="32"/>
        </w:rPr>
        <w:t>采购方式为带量联动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以量换价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即依据采购主体使用需求，参照市场总体价格水平等因素，联动</w:t>
      </w:r>
      <w:r>
        <w:rPr>
          <w:rFonts w:hint="eastAsia" w:ascii="仿宋" w:hAnsi="仿宋" w:eastAsia="仿宋" w:cs="仿宋"/>
          <w:color w:val="auto"/>
          <w:sz w:val="32"/>
          <w:szCs w:val="32"/>
          <w:lang w:val="en-US" w:eastAsia="zh-CN"/>
        </w:rPr>
        <w:t>全国省级（含联盟）</w:t>
      </w:r>
      <w:r>
        <w:rPr>
          <w:rFonts w:hint="eastAsia" w:ascii="仿宋" w:hAnsi="仿宋" w:eastAsia="仿宋" w:cs="仿宋"/>
          <w:color w:val="auto"/>
          <w:sz w:val="32"/>
          <w:szCs w:val="32"/>
        </w:rPr>
        <w:t>集中带量采购价格，确定中选产品，实行带量采购。</w:t>
      </w:r>
    </w:p>
    <w:p w14:paraId="22F5044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（二）采购周期内，采购主体优先使用本次</w:t>
      </w:r>
      <w:r>
        <w:rPr>
          <w:rFonts w:hint="eastAsia" w:ascii="仿宋" w:hAnsi="仿宋" w:eastAsia="仿宋" w:cs="仿宋"/>
          <w:color w:val="auto"/>
          <w:sz w:val="32"/>
          <w:szCs w:val="32"/>
          <w:lang w:val="en-US" w:eastAsia="zh-CN"/>
        </w:rPr>
        <w:t>一次性使用导尿包</w:t>
      </w:r>
      <w:r>
        <w:rPr>
          <w:rFonts w:hint="eastAsia" w:ascii="仿宋" w:hAnsi="仿宋" w:eastAsia="仿宋" w:cs="仿宋"/>
          <w:color w:val="auto"/>
          <w:sz w:val="32"/>
          <w:szCs w:val="32"/>
        </w:rPr>
        <w:t>带量联动采购中选产品，确保完成协议采购量。采购周期内采购主体完成年度协议采购量，超出协议采购量的部分，中选企业仍需按中选价格进行供应，直至采购周期届满。</w:t>
      </w:r>
    </w:p>
    <w:p w14:paraId="4AE1A9D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（三）采购周期内，对中选产品实行动态管理，包括取消中选资格、调整中选信息（价格）、递（替）补产品进入等。如中选企业同一中选产品在</w:t>
      </w:r>
      <w:r>
        <w:rPr>
          <w:rFonts w:hint="eastAsia" w:ascii="仿宋" w:hAnsi="仿宋" w:eastAsia="仿宋" w:cs="仿宋"/>
          <w:color w:val="auto"/>
          <w:sz w:val="32"/>
          <w:szCs w:val="32"/>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w:t>
      </w:r>
      <w:r>
        <w:rPr>
          <w:rFonts w:hint="eastAsia" w:ascii="仿宋" w:hAnsi="仿宋" w:eastAsia="仿宋" w:cs="仿宋"/>
          <w:color w:val="auto"/>
          <w:sz w:val="32"/>
          <w:szCs w:val="32"/>
          <w:u w:val="none"/>
          <w:lang w:val="en-US" w:eastAsia="zh-CN"/>
        </w:rPr>
        <w:t>产生新的低价，中选结果落地实施后30日内，向河北省医用药品器械集中采购中心进行申报，中心将根据申报情况调整至新的低价。</w:t>
      </w:r>
    </w:p>
    <w:p w14:paraId="343F728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第一个采购年度</w:t>
      </w:r>
      <w:r>
        <w:rPr>
          <w:rFonts w:hint="eastAsia" w:ascii="仿宋" w:hAnsi="仿宋" w:eastAsia="仿宋" w:cs="仿宋"/>
          <w:color w:val="auto"/>
          <w:sz w:val="32"/>
          <w:szCs w:val="32"/>
        </w:rPr>
        <w:t>内，如</w:t>
      </w:r>
      <w:r>
        <w:rPr>
          <w:rFonts w:hint="eastAsia" w:ascii="仿宋" w:hAnsi="仿宋" w:eastAsia="仿宋" w:cs="仿宋"/>
          <w:color w:val="000000" w:themeColor="text1"/>
          <w:sz w:val="32"/>
          <w:szCs w:val="32"/>
          <w:lang w:val="en-US" w:eastAsia="zh-CN"/>
          <w14:textFill>
            <w14:solidFill>
              <w14:schemeClr w14:val="tx1"/>
            </w14:solidFill>
          </w14:textFill>
        </w:rPr>
        <w:t>有新产品在</w:t>
      </w:r>
      <w:r>
        <w:rPr>
          <w:rFonts w:hint="eastAsia" w:ascii="仿宋" w:hAnsi="仿宋" w:eastAsia="仿宋" w:cs="仿宋"/>
          <w:color w:val="000000" w:themeColor="text1"/>
          <w:sz w:val="32"/>
          <w:szCs w:val="32"/>
          <w14:textFill>
            <w14:solidFill>
              <w14:schemeClr w14:val="tx1"/>
            </w14:solidFill>
          </w14:textFill>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级（含联盟）集中带量采购中选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采购年度结束后统一调整，价格须低于同采购品种同产品分类最低中选价格。</w:t>
      </w:r>
    </w:p>
    <w:p w14:paraId="4CF202B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五、企业申报要求</w:t>
      </w:r>
    </w:p>
    <w:p w14:paraId="05438C71">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仿宋" w:hAnsi="仿宋" w:eastAsia="仿宋" w:cs="仿宋"/>
          <w:color w:val="auto"/>
          <w:sz w:val="32"/>
          <w:szCs w:val="32"/>
        </w:rPr>
        <w:t>（一）申报企业应遵守《中华人民共和国专利法》、《中华人民共和国反不正当竞争法》等相关法律法规。取得</w:t>
      </w:r>
      <w:r>
        <w:rPr>
          <w:rFonts w:hint="eastAsia" w:ascii="仿宋" w:hAnsi="仿宋" w:eastAsia="仿宋" w:cs="仿宋"/>
          <w:color w:val="auto"/>
          <w:sz w:val="32"/>
          <w:szCs w:val="32"/>
          <w:lang w:val="en-US" w:eastAsia="zh-CN"/>
        </w:rPr>
        <w:t>一次性使用导尿包</w:t>
      </w:r>
      <w:r>
        <w:rPr>
          <w:rFonts w:hint="eastAsia" w:ascii="仿宋" w:hAnsi="仿宋" w:eastAsia="仿宋" w:cs="仿宋"/>
          <w:color w:val="auto"/>
          <w:sz w:val="32"/>
          <w:szCs w:val="32"/>
        </w:rPr>
        <w:t>产品合法资质的医疗器械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人作为申报企业，均可参加。</w:t>
      </w:r>
      <w:r>
        <w:rPr>
          <w:rFonts w:hint="eastAsia" w:ascii="仿宋" w:hAnsi="仿宋" w:eastAsia="仿宋" w:cs="仿宋"/>
          <w:strike w:val="0"/>
          <w:dstrike w:val="0"/>
          <w:color w:val="auto"/>
          <w:sz w:val="32"/>
          <w:szCs w:val="32"/>
        </w:rPr>
        <w:t>进口医疗器械境外</w:t>
      </w:r>
      <w:r>
        <w:rPr>
          <w:rFonts w:hint="eastAsia" w:ascii="仿宋" w:hAnsi="仿宋" w:eastAsia="仿宋" w:cs="仿宋"/>
          <w:strike w:val="0"/>
          <w:dstrike w:val="0"/>
          <w:color w:val="auto"/>
          <w:sz w:val="32"/>
          <w:szCs w:val="32"/>
          <w:lang w:val="en-US" w:eastAsia="zh-CN"/>
        </w:rPr>
        <w:t>注册</w:t>
      </w:r>
      <w:r>
        <w:rPr>
          <w:rFonts w:hint="eastAsia" w:ascii="仿宋" w:hAnsi="仿宋" w:eastAsia="仿宋" w:cs="仿宋"/>
          <w:strike w:val="0"/>
          <w:dstrike w:val="0"/>
          <w:color w:val="auto"/>
          <w:sz w:val="32"/>
          <w:szCs w:val="32"/>
        </w:rPr>
        <w:t>人在中华人民共和国境内设立的代表机构或者指定企业法人视同</w:t>
      </w:r>
      <w:r>
        <w:rPr>
          <w:rFonts w:hint="eastAsia" w:ascii="仿宋" w:hAnsi="仿宋" w:eastAsia="仿宋" w:cs="仿宋"/>
          <w:strike w:val="0"/>
          <w:dstrike w:val="0"/>
          <w:color w:val="auto"/>
          <w:sz w:val="32"/>
          <w:szCs w:val="32"/>
          <w:lang w:val="en-US" w:eastAsia="zh-CN"/>
        </w:rPr>
        <w:t>注册</w:t>
      </w:r>
      <w:r>
        <w:rPr>
          <w:rFonts w:hint="eastAsia" w:ascii="仿宋" w:hAnsi="仿宋" w:eastAsia="仿宋" w:cs="仿宋"/>
          <w:strike w:val="0"/>
          <w:dstrike w:val="0"/>
          <w:color w:val="auto"/>
          <w:sz w:val="32"/>
          <w:szCs w:val="32"/>
        </w:rPr>
        <w:t>人。</w:t>
      </w:r>
      <w:r>
        <w:rPr>
          <w:rFonts w:hint="eastAsia" w:ascii="仿宋" w:hAnsi="仿宋" w:eastAsia="仿宋" w:cs="仿宋"/>
          <w:color w:val="auto"/>
          <w:sz w:val="32"/>
          <w:szCs w:val="32"/>
          <w:highlight w:val="none"/>
          <w:u w:val="none"/>
        </w:rPr>
        <w:t>同一医疗器械注册人的同一采购品种不得委托不同企业进行申报</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同一采购品种不同医疗器械注册人不得委托同一家企业申报。</w:t>
      </w:r>
    </w:p>
    <w:p w14:paraId="1E8E615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_GB2312" w:eastAsia="仿宋_GB2312"/>
          <w:color w:val="auto"/>
          <w:sz w:val="32"/>
          <w:szCs w:val="32"/>
        </w:rPr>
        <w:t>申报产品应属于采购品种范围并获得有效中华人民共和国医疗器械注册证，符合国家有关部门的质量标准要求，并按国家有关部门要求组织生产。</w:t>
      </w:r>
    </w:p>
    <w:p w14:paraId="5149D8A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_GB2312" w:eastAsia="仿宋_GB2312"/>
          <w:color w:val="auto"/>
          <w:sz w:val="32"/>
          <w:szCs w:val="32"/>
        </w:rPr>
        <w:t>本次带量联动采购以</w:t>
      </w:r>
      <w:r>
        <w:rPr>
          <w:rFonts w:hint="eastAsia" w:ascii="仿宋_GB2312" w:eastAsia="仿宋_GB2312"/>
          <w:color w:val="auto"/>
          <w:sz w:val="32"/>
          <w:szCs w:val="32"/>
          <w:lang w:val="en-US" w:eastAsia="zh-CN"/>
        </w:rPr>
        <w:t>企业为单位</w:t>
      </w:r>
      <w:r>
        <w:rPr>
          <w:rFonts w:hint="eastAsia" w:ascii="仿宋_GB2312" w:eastAsia="仿宋_GB2312"/>
          <w:color w:val="auto"/>
          <w:sz w:val="32"/>
          <w:szCs w:val="32"/>
          <w:lang w:eastAsia="zh-CN"/>
        </w:rPr>
        <w:t>进行</w:t>
      </w:r>
      <w:r>
        <w:rPr>
          <w:rFonts w:hint="eastAsia" w:ascii="仿宋_GB2312" w:eastAsia="仿宋_GB2312"/>
          <w:color w:val="auto"/>
          <w:sz w:val="32"/>
          <w:szCs w:val="32"/>
        </w:rPr>
        <w:t>申报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每家企业每个</w:t>
      </w:r>
      <w:r>
        <w:rPr>
          <w:rFonts w:hint="eastAsia" w:ascii="仿宋_GB2312" w:eastAsia="仿宋_GB2312"/>
          <w:color w:val="auto"/>
          <w:sz w:val="32"/>
          <w:szCs w:val="32"/>
          <w:highlight w:val="none"/>
          <w:lang w:val="en-US" w:eastAsia="zh-CN"/>
        </w:rPr>
        <w:t>产品分类</w:t>
      </w:r>
      <w:r>
        <w:rPr>
          <w:rFonts w:hint="eastAsia" w:ascii="仿宋_GB2312" w:eastAsia="仿宋_GB2312"/>
          <w:color w:val="auto"/>
          <w:sz w:val="32"/>
          <w:szCs w:val="32"/>
          <w:lang w:val="en-US" w:eastAsia="zh-CN"/>
        </w:rPr>
        <w:t>只能申报一个价格</w:t>
      </w:r>
      <w:r>
        <w:rPr>
          <w:rFonts w:hint="eastAsia" w:ascii="仿宋_GB2312" w:eastAsia="仿宋_GB2312"/>
          <w:color w:val="auto"/>
          <w:sz w:val="32"/>
          <w:szCs w:val="32"/>
        </w:rPr>
        <w:t>。</w:t>
      </w:r>
    </w:p>
    <w:p w14:paraId="5F6CF44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）申报企业须在规定时间内参加，并完成相关系统操作。须承诺中选产品在采购周期内满足</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采购需求，保持带量联动采购前后伴随服务供给的延续性，维持服务内容及费用标准不变，同意相关信用承诺可根据工作需要进行公开。</w:t>
      </w:r>
    </w:p>
    <w:p w14:paraId="2D26761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）本次带量联动采购工作依托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
        </w:rPr>
        <w:t>河北省药品和医用耗材招采管理子系统</w:t>
      </w:r>
      <w:r>
        <w:rPr>
          <w:rFonts w:hint="eastAsia" w:ascii="仿宋" w:hAnsi="仿宋" w:eastAsia="仿宋" w:cs="仿宋"/>
          <w:color w:val="auto"/>
          <w:sz w:val="32"/>
          <w:szCs w:val="32"/>
          <w:highlight w:val="none"/>
          <w:lang w:val="en" w:eastAsia="zh-CN"/>
        </w:rPr>
        <w:t>”</w:t>
      </w:r>
      <w:r>
        <w:rPr>
          <w:rFonts w:hint="eastAsia" w:ascii="仿宋" w:hAnsi="仿宋" w:eastAsia="仿宋" w:cs="仿宋"/>
          <w:color w:val="auto"/>
          <w:sz w:val="32"/>
          <w:szCs w:val="32"/>
          <w:highlight w:val="none"/>
          <w:lang w:val="en"/>
        </w:rPr>
        <w:t>（http://ylbzj.hebei.gov.cn/pub/#/unitLogin）</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rPr>
        <w:t>申报企业须领取河北省</w:t>
      </w:r>
      <w:r>
        <w:rPr>
          <w:rFonts w:hint="eastAsia" w:ascii="仿宋" w:hAnsi="仿宋" w:eastAsia="仿宋" w:cs="仿宋"/>
          <w:color w:val="auto"/>
          <w:sz w:val="32"/>
          <w:szCs w:val="32"/>
          <w:lang w:val="en-US" w:eastAsia="zh-CN"/>
        </w:rPr>
        <w:t>医疗保障局单位网厅</w:t>
      </w:r>
      <w:r>
        <w:rPr>
          <w:rFonts w:hint="eastAsia" w:ascii="仿宋" w:hAnsi="仿宋" w:eastAsia="仿宋" w:cs="仿宋"/>
          <w:color w:val="auto"/>
          <w:sz w:val="32"/>
          <w:szCs w:val="32"/>
        </w:rPr>
        <w:t>数字证书。已领取数字证书的企业无需重复领取。</w:t>
      </w:r>
    </w:p>
    <w:p w14:paraId="45118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六、中选产品的确定规则</w:t>
      </w:r>
    </w:p>
    <w:p w14:paraId="6C1D81C8">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此产品联动河南省豫东片区联盟和其他省级（含联盟）集中带量采购中选结果，已中选企业产品需由企业重新报价，申报价格不得高于本企业该产品所申报的规格型号在上述集中带量采购最低中选价格(含已产生中选结果未落地执行的价格)，且不得高于本企业该产品所申报的规格型号在各省级医药采购平台上最低挂网价格。</w:t>
      </w:r>
    </w:p>
    <w:p w14:paraId="633E880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企业产品申报价格在河南省豫东片区联盟采购同产品分类最低中选价格1.5倍（含）或低于最低中选价格的为中选产品，高于最低中选价格1.5倍，则为非中选产品。</w:t>
      </w:r>
    </w:p>
    <w:p w14:paraId="31B9548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（二）未参加及未中选的企业产品也可报价，申报价格除满足第一条集采中选和挂网价格外，低于上述第一条产生的新的最低中选价格的企业产品全部为中选企业。</w:t>
      </w:r>
    </w:p>
    <w:p w14:paraId="397D5D7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（三）当采购品种中选企业为1家时，可根据产品供应能力和临床需求，从非中选企业中按申报价格由低到高的顺序进行谈判（谈判规则另行制定），新增中选企业数量最多不超过2家。</w:t>
      </w:r>
    </w:p>
    <w:p w14:paraId="30DA924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黑体" w:cs="仿宋"/>
          <w:b/>
          <w:bCs/>
          <w:color w:val="FF0000"/>
          <w:sz w:val="32"/>
          <w:szCs w:val="32"/>
          <w:lang w:eastAsia="zh-CN"/>
        </w:rPr>
      </w:pPr>
      <w:r>
        <w:rPr>
          <w:rFonts w:hint="eastAsia" w:ascii="黑体" w:hAnsi="黑体" w:eastAsia="黑体" w:cs="黑体"/>
          <w:color w:val="auto"/>
          <w:sz w:val="32"/>
          <w:szCs w:val="32"/>
        </w:rPr>
        <w:t>七、</w:t>
      </w:r>
      <w:r>
        <w:rPr>
          <w:rFonts w:hint="eastAsia" w:ascii="黑体" w:hAnsi="黑体" w:eastAsia="黑体" w:cs="黑体"/>
          <w:color w:val="000000" w:themeColor="text1"/>
          <w:sz w:val="32"/>
          <w:szCs w:val="32"/>
          <w:lang w:val="en-US" w:eastAsia="zh-CN"/>
          <w14:textFill>
            <w14:solidFill>
              <w14:schemeClr w14:val="tx1"/>
            </w14:solidFill>
          </w14:textFill>
        </w:rPr>
        <w:t>协议采购量</w:t>
      </w:r>
      <w:r>
        <w:rPr>
          <w:rFonts w:hint="eastAsia" w:ascii="黑体" w:hAnsi="黑体" w:eastAsia="黑体" w:cs="黑体"/>
          <w:color w:val="000000" w:themeColor="text1"/>
          <w:sz w:val="32"/>
          <w:szCs w:val="32"/>
          <w14:textFill>
            <w14:solidFill>
              <w14:schemeClr w14:val="tx1"/>
            </w14:solidFill>
          </w14:textFill>
        </w:rPr>
        <w:t>的</w:t>
      </w:r>
      <w:r>
        <w:rPr>
          <w:rFonts w:hint="eastAsia" w:ascii="黑体" w:hAnsi="黑体" w:eastAsia="黑体" w:cs="黑体"/>
          <w:color w:val="000000" w:themeColor="text1"/>
          <w:sz w:val="32"/>
          <w:szCs w:val="32"/>
          <w:lang w:val="en-US" w:eastAsia="zh-CN"/>
          <w14:textFill>
            <w14:solidFill>
              <w14:schemeClr w14:val="tx1"/>
            </w14:solidFill>
          </w14:textFill>
        </w:rPr>
        <w:t>分配规则</w:t>
      </w:r>
    </w:p>
    <w:p w14:paraId="0B68231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1"/>
          <w:szCs w:val="31"/>
          <w:shd w:val="clear" w:fill="FFFFFF"/>
          <w:lang w:val="en-US" w:eastAsia="zh-CN"/>
        </w:rPr>
      </w:pPr>
      <w:r>
        <w:rPr>
          <w:rFonts w:hint="eastAsia" w:ascii="仿宋" w:hAnsi="仿宋" w:eastAsia="仿宋" w:cs="仿宋"/>
          <w:color w:val="auto"/>
          <w:kern w:val="0"/>
          <w:sz w:val="32"/>
          <w:szCs w:val="32"/>
          <w:highlight w:val="none"/>
          <w:shd w:val="clear" w:color="auto" w:fill="FFFFFF"/>
          <w:lang w:val="en-US" w:eastAsia="zh-CN" w:bidi="ar"/>
        </w:rPr>
        <w:t>协议采购量由医疗机构自行选择分配，优先选择</w:t>
      </w:r>
      <w:r>
        <w:rPr>
          <w:rFonts w:hint="eastAsia" w:ascii="仿宋" w:hAnsi="仿宋" w:eastAsia="仿宋" w:cs="仿宋"/>
          <w:i w:val="0"/>
          <w:caps w:val="0"/>
          <w:color w:val="auto"/>
          <w:spacing w:val="0"/>
          <w:sz w:val="31"/>
          <w:szCs w:val="31"/>
          <w:shd w:val="clear" w:fill="FFFFFF"/>
        </w:rPr>
        <w:t>价格低或价格较低的中选</w:t>
      </w:r>
      <w:r>
        <w:rPr>
          <w:rFonts w:hint="eastAsia" w:ascii="仿宋" w:hAnsi="仿宋" w:eastAsia="仿宋" w:cs="仿宋"/>
          <w:i w:val="0"/>
          <w:caps w:val="0"/>
          <w:color w:val="auto"/>
          <w:spacing w:val="0"/>
          <w:sz w:val="31"/>
          <w:szCs w:val="31"/>
          <w:shd w:val="clear" w:fill="FFFFFF"/>
          <w:lang w:val="en-US" w:eastAsia="zh-CN"/>
        </w:rPr>
        <w:t>产品。</w:t>
      </w:r>
    </w:p>
    <w:p w14:paraId="00F3E7E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八、工作流程</w:t>
      </w:r>
    </w:p>
    <w:p w14:paraId="61EE369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申报企业维护产品信息</w:t>
      </w:r>
    </w:p>
    <w:p w14:paraId="32A1D3E7">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符合本次</w:t>
      </w:r>
      <w:r>
        <w:rPr>
          <w:rFonts w:hint="eastAsia" w:ascii="仿宋" w:hAnsi="仿宋" w:eastAsia="仿宋" w:cs="仿宋"/>
          <w:color w:val="auto"/>
          <w:sz w:val="32"/>
          <w:szCs w:val="32"/>
          <w:lang w:val="en-US" w:eastAsia="zh-CN"/>
        </w:rPr>
        <w:t>一次性使用导尿包</w:t>
      </w:r>
      <w:r>
        <w:rPr>
          <w:rFonts w:hint="eastAsia" w:ascii="仿宋" w:hAnsi="仿宋" w:eastAsia="仿宋" w:cs="仿宋"/>
          <w:color w:val="auto"/>
          <w:kern w:val="2"/>
          <w:sz w:val="32"/>
          <w:szCs w:val="32"/>
          <w:lang w:val="en-US" w:eastAsia="zh-CN" w:bidi="ar-SA"/>
        </w:rPr>
        <w:t>带量联动采购申报要求的企业</w:t>
      </w:r>
      <w:r>
        <w:rPr>
          <w:rFonts w:hint="default" w:ascii="仿宋" w:hAnsi="仿宋" w:eastAsia="仿宋" w:cs="仿宋"/>
          <w:color w:val="auto"/>
          <w:kern w:val="2"/>
          <w:sz w:val="32"/>
          <w:szCs w:val="32"/>
          <w:lang w:val="en-US" w:eastAsia="zh-CN" w:bidi="ar-SA"/>
        </w:rPr>
        <w:t>登录</w:t>
      </w:r>
      <w:r>
        <w:rPr>
          <w:rFonts w:hint="eastAsia" w:ascii="仿宋" w:hAnsi="仿宋" w:eastAsia="仿宋" w:cs="仿宋"/>
          <w:color w:val="auto"/>
          <w:kern w:val="2"/>
          <w:sz w:val="32"/>
          <w:szCs w:val="32"/>
          <w:lang w:val="en-US" w:eastAsia="zh-CN" w:bidi="ar-SA"/>
        </w:rPr>
        <w:t>“</w:t>
      </w:r>
      <w:bookmarkStart w:id="1" w:name="_GoBack"/>
      <w:r>
        <w:rPr>
          <w:rFonts w:hint="default" w:ascii="仿宋" w:hAnsi="仿宋" w:eastAsia="仿宋" w:cs="仿宋"/>
          <w:color w:val="auto"/>
          <w:kern w:val="2"/>
          <w:sz w:val="32"/>
          <w:szCs w:val="32"/>
          <w:lang w:val="en-US" w:eastAsia="zh-CN" w:bidi="ar-SA"/>
        </w:rPr>
        <w:t>河北</w:t>
      </w:r>
      <w:r>
        <w:rPr>
          <w:rFonts w:hint="eastAsia" w:ascii="仿宋" w:hAnsi="仿宋" w:eastAsia="仿宋" w:cs="仿宋"/>
          <w:color w:val="auto"/>
          <w:kern w:val="2"/>
          <w:sz w:val="32"/>
          <w:szCs w:val="32"/>
          <w:lang w:val="en-US" w:eastAsia="zh-CN" w:bidi="ar-SA"/>
        </w:rPr>
        <w:t>省</w:t>
      </w:r>
      <w:r>
        <w:rPr>
          <w:rFonts w:hint="default" w:ascii="仿宋" w:hAnsi="仿宋" w:eastAsia="仿宋" w:cs="仿宋"/>
          <w:color w:val="auto"/>
          <w:kern w:val="2"/>
          <w:sz w:val="32"/>
          <w:szCs w:val="32"/>
          <w:lang w:val="en-US" w:eastAsia="zh-CN" w:bidi="ar-SA"/>
        </w:rPr>
        <w:t>药品和医用耗材招采管理子系统</w:t>
      </w:r>
      <w:bookmarkEnd w:id="1"/>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（http://ylbzj.hebei.gov.cn/pub/#/unitLogin），进行产品信息维护。</w:t>
      </w:r>
    </w:p>
    <w:p w14:paraId="374CA2DD">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采购主体填报采购</w:t>
      </w:r>
      <w:r>
        <w:rPr>
          <w:rFonts w:hint="eastAsia" w:ascii="仿宋" w:hAnsi="仿宋" w:eastAsia="仿宋" w:cs="仿宋"/>
          <w:color w:val="auto"/>
          <w:sz w:val="32"/>
          <w:szCs w:val="32"/>
          <w:lang w:val="en-US" w:eastAsia="zh-CN"/>
        </w:rPr>
        <w:t>需求</w:t>
      </w:r>
      <w:r>
        <w:rPr>
          <w:rFonts w:hint="eastAsia" w:ascii="仿宋" w:hAnsi="仿宋" w:eastAsia="仿宋" w:cs="仿宋"/>
          <w:color w:val="auto"/>
          <w:sz w:val="32"/>
          <w:szCs w:val="32"/>
        </w:rPr>
        <w:t>量</w:t>
      </w:r>
    </w:p>
    <w:p w14:paraId="6BC37E9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（http://ylbzj.hebei.gov.cn/pub/#/unitLogin）。填报</w:t>
      </w:r>
      <w:r>
        <w:rPr>
          <w:rFonts w:hint="eastAsia" w:ascii="仿宋" w:hAnsi="仿宋" w:eastAsia="仿宋" w:cs="仿宋"/>
          <w:color w:val="auto"/>
          <w:sz w:val="32"/>
          <w:szCs w:val="32"/>
          <w:lang w:val="en-US" w:eastAsia="zh-CN"/>
        </w:rPr>
        <w:t>一次性使用导尿包</w:t>
      </w:r>
      <w:r>
        <w:rPr>
          <w:rFonts w:hint="eastAsia" w:ascii="仿宋" w:hAnsi="仿宋" w:eastAsia="仿宋" w:cs="仿宋"/>
          <w:color w:val="auto"/>
          <w:sz w:val="32"/>
          <w:szCs w:val="32"/>
        </w:rPr>
        <w:t>未来一年的采购需求量，</w:t>
      </w:r>
      <w:r>
        <w:rPr>
          <w:rFonts w:hint="eastAsia" w:ascii="仿宋" w:hAnsi="仿宋" w:eastAsia="仿宋" w:cs="仿宋"/>
          <w:color w:val="auto"/>
          <w:sz w:val="32"/>
          <w:szCs w:val="32"/>
          <w:lang w:val="en-US" w:eastAsia="zh-CN"/>
        </w:rPr>
        <w:t>填报到产品分类，不</w:t>
      </w:r>
      <w:r>
        <w:rPr>
          <w:rFonts w:hint="eastAsia" w:ascii="仿宋" w:hAnsi="仿宋" w:eastAsia="仿宋" w:cs="仿宋"/>
          <w:color w:val="auto"/>
          <w:sz w:val="32"/>
          <w:szCs w:val="32"/>
        </w:rPr>
        <w:t>具体</w:t>
      </w:r>
      <w:r>
        <w:rPr>
          <w:rFonts w:hint="eastAsia" w:ascii="仿宋" w:hAnsi="仿宋" w:eastAsia="仿宋" w:cs="仿宋"/>
          <w:color w:val="auto"/>
          <w:sz w:val="32"/>
          <w:szCs w:val="32"/>
          <w:lang w:val="en-US" w:eastAsia="zh-CN"/>
        </w:rPr>
        <w:t>填报到生产企业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河北省医用药品器械集中采购中心汇总</w:t>
      </w:r>
      <w:r>
        <w:rPr>
          <w:rFonts w:hint="eastAsia" w:ascii="仿宋" w:hAnsi="仿宋" w:eastAsia="仿宋" w:cs="仿宋"/>
          <w:color w:val="auto"/>
          <w:sz w:val="32"/>
          <w:szCs w:val="32"/>
          <w:highlight w:val="none"/>
        </w:rPr>
        <w:t>形成</w:t>
      </w:r>
      <w:r>
        <w:rPr>
          <w:rFonts w:hint="eastAsia" w:ascii="仿宋" w:hAnsi="仿宋" w:eastAsia="仿宋" w:cs="仿宋"/>
          <w:color w:val="auto"/>
          <w:sz w:val="32"/>
          <w:szCs w:val="32"/>
          <w:highlight w:val="none"/>
          <w:lang w:eastAsia="zh-CN"/>
        </w:rPr>
        <w:t>约定</w:t>
      </w:r>
      <w:r>
        <w:rPr>
          <w:rFonts w:hint="eastAsia" w:ascii="仿宋" w:hAnsi="仿宋" w:eastAsia="仿宋" w:cs="仿宋"/>
          <w:color w:val="auto"/>
          <w:sz w:val="32"/>
          <w:szCs w:val="32"/>
          <w:highlight w:val="none"/>
        </w:rPr>
        <w:t>采购量。为保证数据填</w:t>
      </w:r>
      <w:r>
        <w:rPr>
          <w:rFonts w:hint="eastAsia" w:ascii="仿宋" w:hAnsi="仿宋" w:eastAsia="仿宋" w:cs="仿宋"/>
          <w:color w:val="auto"/>
          <w:sz w:val="32"/>
          <w:szCs w:val="32"/>
        </w:rPr>
        <w:t>报工作的严肃性、准确性，各采购主体在平台内填报相关数据时，须上传经采购主体主要负责人签章确认的授权承诺书。</w:t>
      </w:r>
    </w:p>
    <w:p w14:paraId="40620DE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申报企业填报价格</w:t>
      </w:r>
    </w:p>
    <w:p w14:paraId="6AE79B0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所有参加本次带量联动采购的申报企业只进行一次价格填报。</w:t>
      </w:r>
      <w:r>
        <w:rPr>
          <w:rFonts w:hint="eastAsia" w:ascii="仿宋" w:hAnsi="仿宋" w:eastAsia="仿宋" w:cs="仿宋"/>
          <w:color w:val="auto"/>
          <w:sz w:val="32"/>
          <w:szCs w:val="32"/>
        </w:rPr>
        <w:t>申报企业</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w:t>
      </w:r>
      <w:r>
        <w:rPr>
          <w:rFonts w:hint="eastAsia" w:ascii="仿宋" w:hAnsi="仿宋" w:eastAsia="仿宋" w:cs="仿宋"/>
          <w:color w:val="auto"/>
          <w:sz w:val="32"/>
          <w:szCs w:val="32"/>
        </w:rPr>
        <w:t>查看本企业</w:t>
      </w:r>
      <w:r>
        <w:rPr>
          <w:rFonts w:hint="eastAsia" w:ascii="仿宋" w:hAnsi="仿宋" w:eastAsia="仿宋" w:cs="仿宋"/>
          <w:color w:val="auto"/>
          <w:sz w:val="32"/>
          <w:szCs w:val="32"/>
          <w:lang w:val="en-US" w:eastAsia="zh-CN"/>
        </w:rPr>
        <w:t>一次性使用导尿包</w:t>
      </w:r>
      <w:r>
        <w:rPr>
          <w:rFonts w:hint="eastAsia" w:ascii="仿宋" w:hAnsi="仿宋" w:eastAsia="仿宋" w:cs="仿宋"/>
          <w:color w:val="auto"/>
          <w:sz w:val="32"/>
          <w:szCs w:val="32"/>
        </w:rPr>
        <w:t>产品信息，填报产品价格。</w:t>
      </w:r>
    </w:p>
    <w:p w14:paraId="289EF33B">
      <w:pPr>
        <w:keepNext w:val="0"/>
        <w:keepLines w:val="0"/>
        <w:pageBreakBefore w:val="0"/>
        <w:kinsoku/>
        <w:wordWrap w:val="0"/>
        <w:overflowPunct/>
        <w:topLinePunct w:val="0"/>
        <w:autoSpaceDE/>
        <w:autoSpaceDN/>
        <w:bidi w:val="0"/>
        <w:adjustRightInd/>
        <w:snapToGrid/>
        <w:spacing w:line="560" w:lineRule="exact"/>
        <w:ind w:left="638" w:leftChars="304"/>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填报价格时间：202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p>
    <w:p w14:paraId="46B933FB">
      <w:pPr>
        <w:keepNext w:val="0"/>
        <w:keepLines w:val="0"/>
        <w:pageBreakBefore w:val="0"/>
        <w:numPr>
          <w:ilvl w:val="0"/>
          <w:numId w:val="1"/>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确定拟中选产品</w:t>
      </w:r>
    </w:p>
    <w:p w14:paraId="3EE7CE5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按照本方案中选产品的确定</w:t>
      </w:r>
      <w:r>
        <w:rPr>
          <w:rFonts w:hint="eastAsia" w:ascii="仿宋" w:hAnsi="仿宋" w:eastAsia="仿宋" w:cs="仿宋"/>
          <w:color w:val="auto"/>
          <w:sz w:val="32"/>
          <w:szCs w:val="32"/>
          <w:lang w:eastAsia="zh-CN"/>
        </w:rPr>
        <w:t>规则</w:t>
      </w:r>
      <w:r>
        <w:rPr>
          <w:rFonts w:hint="eastAsia" w:ascii="仿宋" w:hAnsi="仿宋" w:eastAsia="仿宋" w:cs="仿宋"/>
          <w:color w:val="auto"/>
          <w:sz w:val="32"/>
          <w:szCs w:val="32"/>
        </w:rPr>
        <w:t>，确定拟中选产品</w:t>
      </w:r>
      <w:r>
        <w:rPr>
          <w:rFonts w:hint="eastAsia" w:ascii="仿宋" w:hAnsi="仿宋" w:eastAsia="仿宋" w:cs="仿宋"/>
          <w:color w:val="auto"/>
          <w:sz w:val="32"/>
          <w:szCs w:val="32"/>
          <w:lang w:eastAsia="zh-CN"/>
        </w:rPr>
        <w:t>。</w:t>
      </w:r>
    </w:p>
    <w:p w14:paraId="605A3F1F">
      <w:pPr>
        <w:keepNext w:val="0"/>
        <w:keepLines w:val="0"/>
        <w:pageBreakBefore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w:t>
      </w:r>
      <w:r>
        <w:rPr>
          <w:rFonts w:hint="eastAsia" w:ascii="仿宋" w:hAnsi="仿宋" w:eastAsia="仿宋" w:cs="仿宋"/>
          <w:color w:val="auto"/>
          <w:sz w:val="32"/>
          <w:szCs w:val="32"/>
        </w:rPr>
        <w:t>中选产品</w:t>
      </w:r>
    </w:p>
    <w:p w14:paraId="2E7EEC9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bookmarkStart w:id="0" w:name="_Hlk88474425"/>
      <w:r>
        <w:rPr>
          <w:rFonts w:hint="eastAsia" w:ascii="仿宋" w:hAnsi="仿宋" w:eastAsia="仿宋" w:cs="仿宋"/>
          <w:color w:val="auto"/>
          <w:sz w:val="32"/>
          <w:szCs w:val="32"/>
        </w:rPr>
        <w:t>拟中选产品经公示无异议即为中选产品。河北省医用药品器械集中采购中心在“河北省医用药品器械集中采购中心网站”公布中选产品。中选企业为保障供应第一责任人，确保临床用量。</w:t>
      </w:r>
    </w:p>
    <w:bookmarkEnd w:id="0"/>
    <w:p w14:paraId="220CC75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）签订协议，执行网上采购</w:t>
      </w:r>
    </w:p>
    <w:p w14:paraId="6359931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中选企业、中选企业确定的配送企业按中选价格签订三方采购协议。协议要明确品种、数量、价格、供货时限、付款程序和时间、履约方式、违约责任等。采购主体应按要求，严格执行医用耗材网上采购。</w:t>
      </w:r>
    </w:p>
    <w:p w14:paraId="2541E2B8">
      <w:pPr>
        <w:pStyle w:val="2"/>
        <w:keepNext w:val="0"/>
        <w:keepLines w:val="0"/>
        <w:pageBreakBefore w:val="0"/>
        <w:kinsoku/>
        <w:overflowPunct/>
        <w:topLinePunct w:val="0"/>
        <w:autoSpaceDE/>
        <w:autoSpaceDN/>
        <w:bidi w:val="0"/>
        <w:adjustRightInd/>
        <w:spacing w:line="560" w:lineRule="exact"/>
        <w:textAlignment w:val="auto"/>
        <w:rPr>
          <w:rFonts w:hint="eastAsia" w:ascii="仿宋" w:hAnsi="仿宋" w:eastAsia="仿宋" w:cs="仿宋"/>
          <w:color w:val="auto"/>
          <w:sz w:val="32"/>
          <w:szCs w:val="32"/>
        </w:rPr>
      </w:pPr>
    </w:p>
    <w:p w14:paraId="61D1B60F">
      <w:pPr>
        <w:keepNext w:val="0"/>
        <w:keepLines w:val="0"/>
        <w:pageBreakBefore w:val="0"/>
        <w:kinsoku/>
        <w:overflowPunct/>
        <w:topLinePunct w:val="0"/>
        <w:autoSpaceDE/>
        <w:autoSpaceDN/>
        <w:bidi w:val="0"/>
        <w:adjustRightInd/>
        <w:spacing w:line="560" w:lineRule="exact"/>
        <w:textAlignment w:val="auto"/>
        <w:rPr>
          <w:rFonts w:hint="eastAsia" w:ascii="仿宋" w:hAnsi="仿宋" w:eastAsia="仿宋" w:cs="仿宋"/>
          <w:color w:val="auto"/>
          <w:sz w:val="32"/>
          <w:szCs w:val="32"/>
        </w:rPr>
      </w:pPr>
    </w:p>
    <w:p w14:paraId="26807A8B">
      <w:pPr>
        <w:pStyle w:val="2"/>
        <w:keepNext w:val="0"/>
        <w:keepLines w:val="0"/>
        <w:pageBreakBefore w:val="0"/>
        <w:kinsoku/>
        <w:overflowPunct/>
        <w:topLinePunct w:val="0"/>
        <w:autoSpaceDE/>
        <w:autoSpaceDN/>
        <w:bidi w:val="0"/>
        <w:adjustRightInd/>
        <w:spacing w:line="560" w:lineRule="exact"/>
        <w:textAlignment w:val="auto"/>
        <w:rPr>
          <w:rFonts w:hint="eastAsia"/>
        </w:rPr>
      </w:pPr>
    </w:p>
    <w:p w14:paraId="55D09123">
      <w:pPr>
        <w:keepNext w:val="0"/>
        <w:keepLines w:val="0"/>
        <w:pageBreakBefore w:val="0"/>
        <w:kinsoku/>
        <w:overflowPunct/>
        <w:topLinePunct w:val="0"/>
        <w:autoSpaceDE/>
        <w:autoSpaceDN/>
        <w:bidi w:val="0"/>
        <w:adjustRightInd/>
        <w:spacing w:line="560" w:lineRule="exact"/>
        <w:ind w:left="4798" w:leftChars="304" w:hanging="4160" w:hangingChars="13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rPr>
        <w:t xml:space="preserve">                </w:t>
      </w:r>
      <w:r>
        <w:rPr>
          <w:rFonts w:hint="eastAsia" w:ascii="仿宋" w:hAnsi="仿宋" w:eastAsia="仿宋" w:cs="仿宋"/>
          <w:color w:val="auto"/>
          <w:kern w:val="2"/>
          <w:sz w:val="32"/>
          <w:szCs w:val="32"/>
          <w:highlight w:val="none"/>
          <w:u w:val="none"/>
          <w:lang w:val="en-US" w:eastAsia="zh-CN" w:bidi="ar-SA"/>
        </w:rPr>
        <w:t>河北省医用药品器械集中采购中心</w:t>
      </w:r>
    </w:p>
    <w:p w14:paraId="6D7FCF78">
      <w:pPr>
        <w:keepNext w:val="0"/>
        <w:keepLines w:val="0"/>
        <w:pageBreakBefore w:val="0"/>
        <w:kinsoku/>
        <w:overflowPunct/>
        <w:topLinePunct w:val="0"/>
        <w:autoSpaceDE/>
        <w:autoSpaceDN/>
        <w:bidi w:val="0"/>
        <w:adjustRightInd/>
        <w:spacing w:line="560" w:lineRule="exact"/>
        <w:ind w:left="4788" w:leftChars="2280"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w:t>
      </w:r>
    </w:p>
    <w:p w14:paraId="736171E3">
      <w:pPr>
        <w:rPr>
          <w:color w:val="auto"/>
        </w:rPr>
      </w:pPr>
    </w:p>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306B">
    <w:pPr>
      <w:pStyle w:val="3"/>
      <w:jc w:val="center"/>
    </w:pPr>
    <w:r>
      <w:fldChar w:fldCharType="begin"/>
    </w:r>
    <w:r>
      <w:instrText xml:space="preserve">PAGE   \* MERGEFORMAT</w:instrText>
    </w:r>
    <w:r>
      <w:fldChar w:fldCharType="separate"/>
    </w:r>
    <w:r>
      <w:rPr>
        <w:lang w:val="zh-CN"/>
      </w:rPr>
      <w:t>3</w:t>
    </w:r>
    <w:r>
      <w:fldChar w:fldCharType="end"/>
    </w:r>
  </w:p>
  <w:p w14:paraId="36B0CE5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C0FF0"/>
    <w:multiLevelType w:val="singleLevel"/>
    <w:tmpl w:val="408C0F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jMzYTAwY2MxOWRiNDM5MGZjOWMwMDFiZjJkMzQifQ=="/>
  </w:docVars>
  <w:rsids>
    <w:rsidRoot w:val="738A0C02"/>
    <w:rsid w:val="013948DA"/>
    <w:rsid w:val="087451DB"/>
    <w:rsid w:val="0B7A1CEF"/>
    <w:rsid w:val="125D132B"/>
    <w:rsid w:val="153D0834"/>
    <w:rsid w:val="1EE95587"/>
    <w:rsid w:val="201920D3"/>
    <w:rsid w:val="240D2E7E"/>
    <w:rsid w:val="25E244B9"/>
    <w:rsid w:val="263317DE"/>
    <w:rsid w:val="2B2A7653"/>
    <w:rsid w:val="2BD93CEE"/>
    <w:rsid w:val="30EE1123"/>
    <w:rsid w:val="366F1639"/>
    <w:rsid w:val="36944962"/>
    <w:rsid w:val="38A741E7"/>
    <w:rsid w:val="3AEC5966"/>
    <w:rsid w:val="3F4168C2"/>
    <w:rsid w:val="3FE94F8F"/>
    <w:rsid w:val="401E7524"/>
    <w:rsid w:val="41521985"/>
    <w:rsid w:val="42C343E7"/>
    <w:rsid w:val="45FB3C6E"/>
    <w:rsid w:val="471F573B"/>
    <w:rsid w:val="48272AF9"/>
    <w:rsid w:val="4CD07C03"/>
    <w:rsid w:val="4CFF7B38"/>
    <w:rsid w:val="51C714BE"/>
    <w:rsid w:val="54DE4E87"/>
    <w:rsid w:val="592117E6"/>
    <w:rsid w:val="5B6B685F"/>
    <w:rsid w:val="5BE757FA"/>
    <w:rsid w:val="5E3E2739"/>
    <w:rsid w:val="60AC7BE7"/>
    <w:rsid w:val="6BD273F5"/>
    <w:rsid w:val="6D30738D"/>
    <w:rsid w:val="713347BB"/>
    <w:rsid w:val="727A2F07"/>
    <w:rsid w:val="738A0C02"/>
    <w:rsid w:val="748B334F"/>
    <w:rsid w:val="74D2670E"/>
    <w:rsid w:val="75F55735"/>
    <w:rsid w:val="7658545C"/>
    <w:rsid w:val="776364E5"/>
    <w:rsid w:val="7A4D7AED"/>
    <w:rsid w:val="7F0E6B3F"/>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2528</Words>
  <Characters>2714</Characters>
  <Lines>0</Lines>
  <Paragraphs>0</Paragraphs>
  <TotalTime>4</TotalTime>
  <ScaleCrop>false</ScaleCrop>
  <LinksUpToDate>false</LinksUpToDate>
  <CharactersWithSpaces>2734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老男孩</dc:creator>
  <cp:lastModifiedBy>老男孩</cp:lastModifiedBy>
  <cp:lastPrinted>2024-07-17T01:34:00Z</cp:lastPrinted>
  <dcterms:modified xsi:type="dcterms:W3CDTF">2024-07-19T07:46:02Z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CDA992872D1F4622968DBE48F8AEF9D7_11</vt:lpwstr>
  </property>
</Properties>
</file>