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57" w:rsidRDefault="007B7857" w:rsidP="007B7857">
      <w:pPr>
        <w:spacing w:line="560" w:lineRule="exact"/>
        <w:rPr>
          <w:rFonts w:ascii="黑体" w:eastAsia="黑体" w:hAnsi="黑体" w:cs="黑体"/>
          <w:sz w:val="32"/>
          <w:szCs w:val="32"/>
        </w:rPr>
      </w:pPr>
      <w:r>
        <w:rPr>
          <w:rFonts w:ascii="黑体" w:eastAsia="黑体" w:hAnsi="黑体" w:cs="黑体" w:hint="eastAsia"/>
          <w:sz w:val="32"/>
          <w:szCs w:val="32"/>
        </w:rPr>
        <w:t>附件1</w:t>
      </w:r>
    </w:p>
    <w:p w:rsidR="007B7857" w:rsidRDefault="007B7857" w:rsidP="007B7857">
      <w:pPr>
        <w:spacing w:line="560" w:lineRule="exact"/>
        <w:rPr>
          <w:rFonts w:ascii="黑体" w:eastAsia="黑体" w:hAnsi="黑体" w:cs="黑体"/>
          <w:sz w:val="32"/>
          <w:szCs w:val="32"/>
        </w:rPr>
      </w:pPr>
    </w:p>
    <w:p w:rsidR="009B44DD" w:rsidRPr="00CD76E5" w:rsidRDefault="00153495" w:rsidP="005E67DD">
      <w:pPr>
        <w:adjustRightInd w:val="0"/>
        <w:snapToGrid w:val="0"/>
        <w:spacing w:line="560" w:lineRule="exact"/>
        <w:jc w:val="center"/>
        <w:rPr>
          <w:rFonts w:ascii="方正小标宋简体" w:eastAsia="方正小标宋简体"/>
          <w:sz w:val="44"/>
          <w:szCs w:val="44"/>
        </w:rPr>
      </w:pPr>
      <w:r w:rsidRPr="00CD76E5">
        <w:rPr>
          <w:rFonts w:ascii="方正小标宋简体" w:eastAsia="方正小标宋简体" w:hint="eastAsia"/>
          <w:sz w:val="44"/>
          <w:szCs w:val="44"/>
        </w:rPr>
        <w:t>关于简化港澳已上市传统口服中成药内地</w:t>
      </w:r>
    </w:p>
    <w:p w:rsidR="009B44DD" w:rsidRPr="00CD76E5" w:rsidRDefault="00153495">
      <w:pPr>
        <w:adjustRightInd w:val="0"/>
        <w:snapToGrid w:val="0"/>
        <w:spacing w:line="560" w:lineRule="exact"/>
        <w:jc w:val="center"/>
        <w:rPr>
          <w:rFonts w:ascii="方正小标宋简体" w:eastAsia="方正小标宋简体"/>
          <w:sz w:val="44"/>
          <w:szCs w:val="44"/>
        </w:rPr>
      </w:pPr>
      <w:r w:rsidRPr="00CD76E5">
        <w:rPr>
          <w:rFonts w:ascii="方正小标宋简体" w:eastAsia="方正小标宋简体" w:hint="eastAsia"/>
          <w:sz w:val="44"/>
          <w:szCs w:val="44"/>
        </w:rPr>
        <w:t>上市注册审批的公告</w:t>
      </w:r>
    </w:p>
    <w:p w:rsidR="009B44DD" w:rsidRDefault="00153495">
      <w:pPr>
        <w:adjustRightInd w:val="0"/>
        <w:snapToGrid w:val="0"/>
        <w:spacing w:line="560" w:lineRule="exact"/>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（征求意见稿）</w:t>
      </w:r>
    </w:p>
    <w:p w:rsidR="009B44DD" w:rsidRDefault="009B44DD">
      <w:pPr>
        <w:adjustRightInd w:val="0"/>
        <w:snapToGrid w:val="0"/>
        <w:spacing w:line="560" w:lineRule="exact"/>
        <w:jc w:val="center"/>
        <w:rPr>
          <w:rFonts w:eastAsia="方正小标宋_GBK"/>
          <w:sz w:val="44"/>
          <w:szCs w:val="44"/>
        </w:rPr>
      </w:pPr>
    </w:p>
    <w:p w:rsidR="009B44DD" w:rsidRDefault="00153495">
      <w:pPr>
        <w:snapToGrid w:val="0"/>
        <w:spacing w:line="560" w:lineRule="exact"/>
        <w:ind w:firstLineChars="200" w:firstLine="640"/>
        <w:textAlignment w:val="baseline"/>
        <w:rPr>
          <w:rFonts w:eastAsia="仿宋_GB2312"/>
          <w:color w:val="000000"/>
          <w:sz w:val="32"/>
          <w:szCs w:val="32"/>
        </w:rPr>
      </w:pPr>
      <w:r>
        <w:rPr>
          <w:rFonts w:eastAsia="仿宋_GB2312"/>
          <w:color w:val="000000"/>
          <w:sz w:val="32"/>
          <w:szCs w:val="32"/>
        </w:rPr>
        <w:t>为贯彻落实国家建设粤港澳大湾区战略部署，进一步支持香港特别行政区、澳门特别行政区（以下简称香港、澳门特区）中医药发展，更好融入国家发展大局，国家药监局对港澳已上市传统口服中成药在内地上市注册实施简化审批，现将有关事项公告如下：</w:t>
      </w:r>
    </w:p>
    <w:p w:rsidR="009B44DD" w:rsidRDefault="00153495">
      <w:pPr>
        <w:numPr>
          <w:ilvl w:val="0"/>
          <w:numId w:val="1"/>
        </w:numPr>
        <w:snapToGrid w:val="0"/>
        <w:spacing w:line="560" w:lineRule="exact"/>
        <w:ind w:firstLineChars="200" w:firstLine="640"/>
        <w:textAlignment w:val="baseline"/>
        <w:rPr>
          <w:rFonts w:eastAsia="仿宋_GB2312"/>
          <w:color w:val="000000"/>
          <w:sz w:val="32"/>
          <w:szCs w:val="32"/>
        </w:rPr>
      </w:pPr>
      <w:r>
        <w:rPr>
          <w:rFonts w:eastAsia="仿宋_GB2312"/>
          <w:sz w:val="32"/>
          <w:szCs w:val="32"/>
        </w:rPr>
        <w:t>【适用范围】</w:t>
      </w:r>
      <w:r>
        <w:rPr>
          <w:rFonts w:eastAsia="仿宋_GB2312"/>
          <w:color w:val="000000"/>
          <w:sz w:val="32"/>
          <w:szCs w:val="32"/>
        </w:rPr>
        <w:t>本公告适用于由香港、澳门特区本地登记的生产企业持有，并经香港、澳门特区药品监督管理部门批准上</w:t>
      </w:r>
      <w:bookmarkStart w:id="0" w:name="_GoBack"/>
      <w:bookmarkEnd w:id="0"/>
      <w:r>
        <w:rPr>
          <w:rFonts w:eastAsia="仿宋_GB2312"/>
          <w:color w:val="000000"/>
          <w:sz w:val="32"/>
          <w:szCs w:val="32"/>
        </w:rPr>
        <w:t>市且在香港、澳门特区使用</w:t>
      </w:r>
      <w:r>
        <w:rPr>
          <w:rFonts w:eastAsia="仿宋_GB2312"/>
          <w:color w:val="000000"/>
          <w:sz w:val="32"/>
          <w:szCs w:val="32"/>
        </w:rPr>
        <w:t>15</w:t>
      </w:r>
      <w:r>
        <w:rPr>
          <w:rFonts w:eastAsia="仿宋_GB2312"/>
          <w:color w:val="000000"/>
          <w:sz w:val="32"/>
          <w:szCs w:val="32"/>
        </w:rPr>
        <w:t>年以上的传统口服中成药，其生产过程应当符合药品生产质量管理规范</w:t>
      </w:r>
      <w:r>
        <w:rPr>
          <w:rFonts w:eastAsia="仿宋_GB2312" w:hint="eastAsia"/>
          <w:color w:val="000000"/>
          <w:sz w:val="32"/>
          <w:szCs w:val="32"/>
        </w:rPr>
        <w:t>（</w:t>
      </w:r>
      <w:r>
        <w:rPr>
          <w:rFonts w:eastAsia="仿宋_GB2312"/>
          <w:color w:val="000000"/>
          <w:sz w:val="32"/>
          <w:szCs w:val="32"/>
        </w:rPr>
        <w:t>GMP</w:t>
      </w:r>
      <w:r>
        <w:rPr>
          <w:rFonts w:eastAsia="仿宋_GB2312" w:hint="eastAsia"/>
          <w:color w:val="000000"/>
          <w:sz w:val="32"/>
          <w:szCs w:val="32"/>
        </w:rPr>
        <w:t>）</w:t>
      </w:r>
      <w:r>
        <w:rPr>
          <w:rFonts w:eastAsia="仿宋_GB2312"/>
          <w:color w:val="000000"/>
          <w:sz w:val="32"/>
          <w:szCs w:val="32"/>
        </w:rPr>
        <w:t>要求。</w:t>
      </w:r>
    </w:p>
    <w:p w:rsidR="009B44DD" w:rsidRDefault="00153495">
      <w:pPr>
        <w:numPr>
          <w:ilvl w:val="0"/>
          <w:numId w:val="1"/>
        </w:numPr>
        <w:snapToGrid w:val="0"/>
        <w:spacing w:line="560" w:lineRule="exact"/>
        <w:ind w:firstLineChars="200" w:firstLine="640"/>
        <w:textAlignment w:val="baseline"/>
        <w:rPr>
          <w:rFonts w:eastAsia="仿宋_GB2312"/>
          <w:color w:val="000000"/>
          <w:sz w:val="32"/>
          <w:szCs w:val="32"/>
        </w:rPr>
      </w:pPr>
      <w:r>
        <w:rPr>
          <w:rFonts w:eastAsia="仿宋_GB2312"/>
          <w:sz w:val="32"/>
          <w:szCs w:val="32"/>
        </w:rPr>
        <w:t>【职责分工】</w:t>
      </w:r>
      <w:r>
        <w:rPr>
          <w:rFonts w:eastAsia="仿宋_GB2312"/>
          <w:color w:val="000000"/>
          <w:sz w:val="32"/>
          <w:szCs w:val="32"/>
        </w:rPr>
        <w:t>国家药监局</w:t>
      </w:r>
      <w:r>
        <w:rPr>
          <w:rFonts w:eastAsia="仿宋_GB2312"/>
          <w:color w:val="000000"/>
          <w:sz w:val="32"/>
          <w:szCs w:val="32"/>
          <w:lang w:val="en"/>
        </w:rPr>
        <w:t>药品审评检查大湾区分中心协助国家药监局药品审评中心</w:t>
      </w:r>
      <w:r>
        <w:rPr>
          <w:rFonts w:eastAsia="仿宋_GB2312"/>
          <w:color w:val="000000"/>
          <w:sz w:val="32"/>
          <w:szCs w:val="32"/>
        </w:rPr>
        <w:t>承担该类品种的上市许可、上市后变更和再注册申请的受理、审评工作。</w:t>
      </w:r>
      <w:r>
        <w:rPr>
          <w:rFonts w:eastAsia="仿宋_GB2312" w:hint="eastAsia"/>
          <w:color w:val="000000"/>
          <w:sz w:val="32"/>
          <w:szCs w:val="32"/>
        </w:rPr>
        <w:t>药典委、药品评价中心、受理和举报中心、信息中心等单位按照有关规定，分别承担药品通用名称核准、非处方药适宜性审查、制证送达以及相应的信息化建设与管理等有关工作。</w:t>
      </w:r>
      <w:r>
        <w:rPr>
          <w:rFonts w:eastAsia="仿宋_GB2312"/>
          <w:color w:val="000000"/>
          <w:sz w:val="32"/>
          <w:szCs w:val="32"/>
        </w:rPr>
        <w:t>广东省药监局承担药品注册检验（含标准复核和样品检验）工作，并按照境外检查有关规定，开展药品注册核查或者药品生产质量管理规范符合性检查。</w:t>
      </w:r>
    </w:p>
    <w:p w:rsidR="009B44DD" w:rsidRDefault="00153495">
      <w:pPr>
        <w:widowControl/>
        <w:numPr>
          <w:ilvl w:val="0"/>
          <w:numId w:val="1"/>
        </w:numPr>
        <w:snapToGrid w:val="0"/>
        <w:spacing w:line="560" w:lineRule="exact"/>
        <w:ind w:firstLineChars="200" w:firstLine="640"/>
        <w:textAlignment w:val="baseline"/>
        <w:rPr>
          <w:rFonts w:eastAsia="仿宋_GB2312"/>
          <w:sz w:val="32"/>
          <w:szCs w:val="32"/>
        </w:rPr>
      </w:pPr>
      <w:r>
        <w:rPr>
          <w:rFonts w:eastAsia="仿宋_GB2312"/>
          <w:sz w:val="32"/>
          <w:szCs w:val="32"/>
        </w:rPr>
        <w:lastRenderedPageBreak/>
        <w:t>【上市申请和申报资料要求】香港、澳门特区</w:t>
      </w:r>
      <w:r>
        <w:rPr>
          <w:rFonts w:eastAsia="仿宋_GB2312"/>
          <w:color w:val="000000"/>
          <w:sz w:val="32"/>
          <w:szCs w:val="32"/>
        </w:rPr>
        <w:t>已上市传统口服中成药持有者，</w:t>
      </w:r>
      <w:r>
        <w:rPr>
          <w:rFonts w:eastAsia="仿宋_GB2312"/>
          <w:sz w:val="32"/>
          <w:szCs w:val="32"/>
        </w:rPr>
        <w:t>应当指定内地的企业法人（以下简称申请人）办理相关药品注册事项。申请人可直接提出上市许可申请，按照简化注册审批的资料要求提交申报资料。其原在香港、澳门特区上市注册时提交的试验研究资料可作为相应的申报资料。申请人可根据品种情况，提供其已上市使用</w:t>
      </w:r>
      <w:r>
        <w:rPr>
          <w:rFonts w:eastAsia="仿宋_GB2312"/>
          <w:sz w:val="32"/>
          <w:szCs w:val="32"/>
        </w:rPr>
        <w:t>15</w:t>
      </w:r>
      <w:r>
        <w:rPr>
          <w:rFonts w:eastAsia="仿宋_GB2312"/>
          <w:sz w:val="32"/>
          <w:szCs w:val="32"/>
        </w:rPr>
        <w:t>年的人用经验总结资料</w:t>
      </w:r>
      <w:r>
        <w:rPr>
          <w:rFonts w:eastAsia="仿宋_GB2312" w:hint="eastAsia"/>
          <w:sz w:val="32"/>
          <w:szCs w:val="32"/>
        </w:rPr>
        <w:t>，</w:t>
      </w:r>
      <w:r>
        <w:rPr>
          <w:rFonts w:eastAsia="仿宋_GB2312"/>
          <w:sz w:val="32"/>
          <w:szCs w:val="32"/>
        </w:rPr>
        <w:t>如有已获得港澳药品监管</w:t>
      </w:r>
      <w:r>
        <w:rPr>
          <w:rFonts w:eastAsia="仿宋_GB2312" w:hint="eastAsia"/>
          <w:sz w:val="32"/>
          <w:szCs w:val="32"/>
        </w:rPr>
        <w:t>部门</w:t>
      </w:r>
      <w:r>
        <w:rPr>
          <w:rFonts w:eastAsia="仿宋_GB2312"/>
          <w:sz w:val="32"/>
          <w:szCs w:val="32"/>
        </w:rPr>
        <w:t>认可的药物临床试验资料和非临床安全性试验资料也一并提供。</w:t>
      </w:r>
    </w:p>
    <w:p w:rsidR="009B44DD" w:rsidRDefault="00153495">
      <w:pPr>
        <w:numPr>
          <w:ilvl w:val="0"/>
          <w:numId w:val="1"/>
        </w:numPr>
        <w:snapToGrid w:val="0"/>
        <w:spacing w:line="560" w:lineRule="exact"/>
        <w:ind w:firstLineChars="200" w:firstLine="640"/>
        <w:textAlignment w:val="baseline"/>
        <w:rPr>
          <w:rFonts w:eastAsia="仿宋_GB2312"/>
          <w:sz w:val="32"/>
          <w:szCs w:val="32"/>
        </w:rPr>
      </w:pPr>
      <w:r>
        <w:rPr>
          <w:rFonts w:eastAsia="仿宋_GB2312"/>
          <w:sz w:val="32"/>
          <w:szCs w:val="32"/>
        </w:rPr>
        <w:t>【审评要求】</w:t>
      </w:r>
      <w:r>
        <w:rPr>
          <w:rFonts w:eastAsia="仿宋_GB2312"/>
          <w:color w:val="000000"/>
          <w:sz w:val="32"/>
          <w:szCs w:val="32"/>
        </w:rPr>
        <w:t>审评部门参照现行技术要求开展审评，并在</w:t>
      </w:r>
      <w:r>
        <w:rPr>
          <w:rFonts w:eastAsia="仿宋_GB2312"/>
          <w:sz w:val="32"/>
          <w:szCs w:val="32"/>
        </w:rPr>
        <w:t>80</w:t>
      </w:r>
      <w:r>
        <w:rPr>
          <w:rFonts w:eastAsia="仿宋_GB2312"/>
          <w:sz w:val="32"/>
          <w:szCs w:val="32"/>
        </w:rPr>
        <w:t>个工作日内完成审评</w:t>
      </w:r>
      <w:r>
        <w:rPr>
          <w:rFonts w:eastAsia="仿宋_GB2312"/>
          <w:color w:val="000000"/>
          <w:sz w:val="32"/>
          <w:szCs w:val="32"/>
        </w:rPr>
        <w:t>。经审评，认为获益大于风险的品种，将结合品种情况，在药品注册证书审批结论中明确申请人在下次再注册申请前需完成的上市后研究和评价工作。对未按期完成的，将不予再注册。</w:t>
      </w:r>
    </w:p>
    <w:p w:rsidR="009B44DD" w:rsidRDefault="00153495">
      <w:pPr>
        <w:numPr>
          <w:ilvl w:val="0"/>
          <w:numId w:val="1"/>
        </w:numPr>
        <w:snapToGrid w:val="0"/>
        <w:spacing w:line="560" w:lineRule="exact"/>
        <w:ind w:firstLineChars="200" w:firstLine="640"/>
        <w:textAlignment w:val="baseline"/>
        <w:rPr>
          <w:rFonts w:eastAsia="仿宋_GB2312"/>
          <w:sz w:val="32"/>
          <w:szCs w:val="32"/>
        </w:rPr>
      </w:pPr>
      <w:r>
        <w:rPr>
          <w:rFonts w:eastAsia="仿宋_GB2312"/>
          <w:sz w:val="32"/>
          <w:szCs w:val="32"/>
        </w:rPr>
        <w:t>【上市后要求】</w:t>
      </w:r>
      <w:r>
        <w:rPr>
          <w:rFonts w:eastAsia="仿宋_GB2312"/>
          <w:color w:val="000000"/>
          <w:sz w:val="32"/>
          <w:szCs w:val="32"/>
        </w:rPr>
        <w:t>传统口服中成药获批</w:t>
      </w:r>
      <w:r>
        <w:rPr>
          <w:rFonts w:eastAsia="仿宋_GB2312"/>
          <w:sz w:val="32"/>
          <w:szCs w:val="32"/>
        </w:rPr>
        <w:t>上市后，药品上市许可持有人应当严格落实主体责任，持续加强上市后管理</w:t>
      </w:r>
      <w:r>
        <w:rPr>
          <w:rFonts w:eastAsia="仿宋_GB2312" w:hint="eastAsia"/>
          <w:sz w:val="32"/>
          <w:szCs w:val="32"/>
        </w:rPr>
        <w:t>，规范开展药物警戒活动，</w:t>
      </w:r>
      <w:r>
        <w:rPr>
          <w:rFonts w:eastAsia="仿宋_GB2312"/>
          <w:sz w:val="32"/>
          <w:szCs w:val="32"/>
        </w:rPr>
        <w:t>相关省级药监局应当落实属地监管责任，加强</w:t>
      </w:r>
      <w:r>
        <w:rPr>
          <w:rFonts w:eastAsia="仿宋_GB2312" w:hint="eastAsia"/>
          <w:sz w:val="32"/>
          <w:szCs w:val="32"/>
        </w:rPr>
        <w:t>对</w:t>
      </w:r>
      <w:r>
        <w:rPr>
          <w:rFonts w:eastAsia="仿宋_GB2312"/>
          <w:sz w:val="32"/>
          <w:szCs w:val="32"/>
        </w:rPr>
        <w:t>上市产品的监管。</w:t>
      </w:r>
    </w:p>
    <w:p w:rsidR="009B44DD" w:rsidRDefault="00153495">
      <w:pPr>
        <w:numPr>
          <w:ilvl w:val="0"/>
          <w:numId w:val="1"/>
        </w:numPr>
        <w:snapToGrid w:val="0"/>
        <w:spacing w:line="560" w:lineRule="exact"/>
        <w:ind w:firstLineChars="200" w:firstLine="640"/>
        <w:textAlignment w:val="baseline"/>
        <w:rPr>
          <w:rFonts w:eastAsia="仿宋_GB2312"/>
          <w:sz w:val="32"/>
          <w:szCs w:val="32"/>
        </w:rPr>
      </w:pPr>
      <w:r>
        <w:rPr>
          <w:rFonts w:eastAsia="仿宋_GB2312"/>
          <w:sz w:val="32"/>
          <w:szCs w:val="32"/>
        </w:rPr>
        <w:t>【与其他文件的衔接】本公告自发布之日起施行。本公告未涉及的，按照《药品注册管理办法》《中药注册管理专门规定》《药品上市后变更管理办法》《国家食品药品监督管理总局关于调整部分药品行政审批事项审批程序的决定》等有关规定执行。</w:t>
      </w:r>
    </w:p>
    <w:p w:rsidR="009B44DD" w:rsidRDefault="00153495">
      <w:pPr>
        <w:snapToGrid w:val="0"/>
        <w:spacing w:line="560" w:lineRule="exact"/>
        <w:ind w:firstLineChars="200" w:firstLine="640"/>
        <w:textAlignment w:val="baseline"/>
        <w:rPr>
          <w:rFonts w:eastAsia="仿宋_GB2312"/>
          <w:sz w:val="32"/>
          <w:szCs w:val="32"/>
        </w:rPr>
      </w:pPr>
      <w:r>
        <w:rPr>
          <w:rFonts w:eastAsia="仿宋_GB2312"/>
          <w:sz w:val="32"/>
          <w:szCs w:val="32"/>
        </w:rPr>
        <w:t>特此公告。</w:t>
      </w:r>
    </w:p>
    <w:p w:rsidR="00153495" w:rsidRDefault="00153495">
      <w:pPr>
        <w:rPr>
          <w:rFonts w:ascii="仿宋_GB2312" w:eastAsia="仿宋_GB2312"/>
          <w:sz w:val="28"/>
          <w:szCs w:val="28"/>
        </w:rPr>
      </w:pPr>
    </w:p>
    <w:sectPr w:rsidR="00153495" w:rsidSect="00CD76E5">
      <w:footerReference w:type="even" r:id="rId7"/>
      <w:footerReference w:type="default" r:id="rId8"/>
      <w:pgSz w:w="11906" w:h="16838"/>
      <w:pgMar w:top="1928" w:right="1531" w:bottom="1814" w:left="1531" w:header="851" w:footer="1134"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1D" w:rsidRDefault="00CA4E1D">
      <w:r>
        <w:separator/>
      </w:r>
    </w:p>
  </w:endnote>
  <w:endnote w:type="continuationSeparator" w:id="0">
    <w:p w:rsidR="00CA4E1D" w:rsidRDefault="00CA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4DD" w:rsidRDefault="005E67DD">
    <w:pPr>
      <w:pStyle w:val="a5"/>
      <w:ind w:firstLineChars="100" w:firstLine="280"/>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44DD" w:rsidRDefault="00153495">
                          <w:pPr>
                            <w:pStyle w:val="a5"/>
                          </w:pPr>
                          <w:r>
                            <w:fldChar w:fldCharType="begin"/>
                          </w:r>
                          <w:r>
                            <w:instrText xml:space="preserve"> PAGE  \* MERGEFORMAT </w:instrText>
                          </w:r>
                          <w:r>
                            <w:fldChar w:fldCharType="separate"/>
                          </w:r>
                          <w:r w:rsidR="007B7857">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DL/eG77&#10;AgAAdQYAAA4AAAAAAAAAAAAAAAAALgIAAGRycy9lMm9Eb2MueG1sUEsBAi0AFAAGAAgAAAAhAAxK&#10;8O7WAAAABQEAAA8AAAAAAAAAAAAAAAAAVQUAAGRycy9kb3ducmV2LnhtbFBLBQYAAAAABAAEAPMA&#10;AABYBgAAAAA=&#10;" filled="f" stroked="f">
              <v:textbox style="mso-fit-shape-to-text:t" inset="0,0,0,0">
                <w:txbxContent>
                  <w:p w:rsidR="009B44DD" w:rsidRDefault="00153495">
                    <w:pPr>
                      <w:pStyle w:val="a5"/>
                    </w:pPr>
                    <w:r>
                      <w:fldChar w:fldCharType="begin"/>
                    </w:r>
                    <w:r>
                      <w:instrText xml:space="preserve"> PAGE  \* MERGEFORMAT </w:instrText>
                    </w:r>
                    <w:r>
                      <w:fldChar w:fldCharType="separate"/>
                    </w:r>
                    <w:r w:rsidR="007B7857">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4DD" w:rsidRDefault="005E67DD">
    <w:pPr>
      <w:pStyle w:val="a5"/>
      <w:wordWrap w:val="0"/>
      <w:jc w:val="right"/>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7785" cy="131445"/>
              <wp:effectExtent l="0" t="0" r="0" b="254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44DD" w:rsidRDefault="00153495">
                          <w:pPr>
                            <w:pStyle w:val="a5"/>
                          </w:pPr>
                          <w:r>
                            <w:fldChar w:fldCharType="begin"/>
                          </w:r>
                          <w:r>
                            <w:instrText xml:space="preserve"> PAGE  \* MERGEFORMAT </w:instrText>
                          </w:r>
                          <w:r>
                            <w:fldChar w:fldCharType="separate"/>
                          </w:r>
                          <w:r w:rsidR="007B7857">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46.65pt;margin-top:0;width:4.55pt;height:10.3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" filled="f" stroked="f">
              <v:textbox style="mso-fit-shape-to-text:t" inset="0,0,0,0">
                <w:txbxContent>
                  <w:p w:rsidR="009B44DD" w:rsidRDefault="00153495">
                    <w:pPr>
                      <w:pStyle w:val="a5"/>
                    </w:pPr>
                    <w:r>
                      <w:fldChar w:fldCharType="begin"/>
                    </w:r>
                    <w:r>
                      <w:instrText xml:space="preserve"> PAGE  \* MERGEFORMAT </w:instrText>
                    </w:r>
                    <w:r>
                      <w:fldChar w:fldCharType="separate"/>
                    </w:r>
                    <w:r w:rsidR="007B7857">
                      <w:rPr>
                        <w:noProof/>
                      </w:rPr>
                      <w:t>1</w:t>
                    </w:r>
                    <w:r>
                      <w:fldChar w:fldCharType="end"/>
                    </w:r>
                  </w:p>
                </w:txbxContent>
              </v:textbox>
              <w10:wrap anchorx="margin"/>
            </v:shape>
          </w:pict>
        </mc:Fallback>
      </mc:AlternateContent>
    </w:r>
    <w:r w:rsidR="00153495">
      <w:rPr>
        <w:rFonts w:hint="eastAsia"/>
        <w:sz w:val="28"/>
        <w:szCs w:val="28"/>
      </w:rPr>
      <w:t>—</w:t>
    </w:r>
    <w:r w:rsidR="00153495">
      <w:rPr>
        <w:rFonts w:hint="eastAsia"/>
        <w:sz w:val="28"/>
        <w:szCs w:val="28"/>
      </w:rPr>
      <w:t xml:space="preserve"> </w:t>
    </w:r>
    <w:r w:rsidR="00153495">
      <w:rPr>
        <w:sz w:val="28"/>
        <w:szCs w:val="28"/>
      </w:rPr>
      <w:t>9</w:t>
    </w:r>
    <w:r w:rsidR="00153495">
      <w:rPr>
        <w:rFonts w:hint="eastAsia"/>
        <w:sz w:val="28"/>
        <w:szCs w:val="28"/>
      </w:rPr>
      <w:t xml:space="preserve"> </w:t>
    </w:r>
    <w:r w:rsidR="00153495">
      <w:rPr>
        <w:rFonts w:hint="eastAsia"/>
        <w:sz w:val="28"/>
        <w:szCs w:val="28"/>
      </w:rPr>
      <w:t>—</w:t>
    </w:r>
    <w:r w:rsidR="00153495">
      <w:rPr>
        <w:rFonts w:hint="eastAsia"/>
        <w:color w:val="FFFFFF"/>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1D" w:rsidRDefault="00CA4E1D">
      <w:r>
        <w:separator/>
      </w:r>
    </w:p>
  </w:footnote>
  <w:footnote w:type="continuationSeparator" w:id="0">
    <w:p w:rsidR="00CA4E1D" w:rsidRDefault="00CA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F630AF"/>
    <w:multiLevelType w:val="singleLevel"/>
    <w:tmpl w:val="BAF630AF"/>
    <w:lvl w:ilvl="0">
      <w:start w:val="1"/>
      <w:numFmt w:val="chineseCounting"/>
      <w:suff w:val="nothing"/>
      <w:lvlText w:val="%1、"/>
      <w:lvlJc w:val="left"/>
      <w:pPr>
        <w:ind w:left="-19"/>
      </w:pPr>
      <w:rPr>
        <w:rFonts w:hint="eastAsia"/>
      </w:rPr>
    </w:lvl>
  </w:abstractNum>
  <w:abstractNum w:abstractNumId="1" w15:restartNumberingAfterBreak="0">
    <w:nsid w:val="DEF7F22E"/>
    <w:multiLevelType w:val="singleLevel"/>
    <w:tmpl w:val="DEF7F22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evenAndOddHeaders/>
  <w:drawingGridHorizontalSpacing w:val="105"/>
  <w:drawingGridVerticalSpacing w:val="31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7FF317C"/>
    <w:rsid w:val="9FED3331"/>
    <w:rsid w:val="9FFE264D"/>
    <w:rsid w:val="AFFF639B"/>
    <w:rsid w:val="BBFFAAB6"/>
    <w:rsid w:val="BFAE8414"/>
    <w:rsid w:val="C6EEA021"/>
    <w:rsid w:val="CBF55A22"/>
    <w:rsid w:val="CBFD6B75"/>
    <w:rsid w:val="CF5F8491"/>
    <w:rsid w:val="CF7F4C8E"/>
    <w:rsid w:val="CF9FEF93"/>
    <w:rsid w:val="CFDF8A27"/>
    <w:rsid w:val="D1DF7D94"/>
    <w:rsid w:val="DBBE5EBC"/>
    <w:rsid w:val="DBFE5583"/>
    <w:rsid w:val="DFDFFBA2"/>
    <w:rsid w:val="DFEC1FD1"/>
    <w:rsid w:val="DFFD2186"/>
    <w:rsid w:val="E07780AD"/>
    <w:rsid w:val="E2771DB4"/>
    <w:rsid w:val="EBBFD9FE"/>
    <w:rsid w:val="EEBF1709"/>
    <w:rsid w:val="EED46F4E"/>
    <w:rsid w:val="EF2FE02E"/>
    <w:rsid w:val="EFF630B2"/>
    <w:rsid w:val="EFF7E32B"/>
    <w:rsid w:val="F2DE4AB4"/>
    <w:rsid w:val="F2E74509"/>
    <w:rsid w:val="F3F59F5A"/>
    <w:rsid w:val="F7742368"/>
    <w:rsid w:val="F7FC9635"/>
    <w:rsid w:val="F9F0D255"/>
    <w:rsid w:val="FCF71644"/>
    <w:rsid w:val="FDFA06A2"/>
    <w:rsid w:val="FF472000"/>
    <w:rsid w:val="FF5BFFA9"/>
    <w:rsid w:val="FF5D613C"/>
    <w:rsid w:val="FFECA112"/>
    <w:rsid w:val="FFFE0783"/>
    <w:rsid w:val="FFFF03D0"/>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53495"/>
    <w:rsid w:val="001666C7"/>
    <w:rsid w:val="00171D86"/>
    <w:rsid w:val="001723F7"/>
    <w:rsid w:val="00172A2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67D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A76CA"/>
    <w:rsid w:val="006B6A1D"/>
    <w:rsid w:val="006C20D6"/>
    <w:rsid w:val="006C50E4"/>
    <w:rsid w:val="006E0A51"/>
    <w:rsid w:val="006F7A06"/>
    <w:rsid w:val="007045D9"/>
    <w:rsid w:val="00724899"/>
    <w:rsid w:val="00727597"/>
    <w:rsid w:val="00754F98"/>
    <w:rsid w:val="00766D9A"/>
    <w:rsid w:val="007A3E48"/>
    <w:rsid w:val="007B051B"/>
    <w:rsid w:val="007B7857"/>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44DD"/>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A4E1D"/>
    <w:rsid w:val="00CB042A"/>
    <w:rsid w:val="00CB2F44"/>
    <w:rsid w:val="00CB79BE"/>
    <w:rsid w:val="00CD0FA7"/>
    <w:rsid w:val="00CD13DB"/>
    <w:rsid w:val="00CD76E5"/>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09FE54A8"/>
    <w:rsid w:val="0C3D40E6"/>
    <w:rsid w:val="0FFB8ECB"/>
    <w:rsid w:val="1EFBCDAA"/>
    <w:rsid w:val="26D734E3"/>
    <w:rsid w:val="29FFCE97"/>
    <w:rsid w:val="2D507037"/>
    <w:rsid w:val="2D8253D0"/>
    <w:rsid w:val="2DF1378D"/>
    <w:rsid w:val="311F20B3"/>
    <w:rsid w:val="334D7CFE"/>
    <w:rsid w:val="373FE33A"/>
    <w:rsid w:val="37DF9695"/>
    <w:rsid w:val="37FD988C"/>
    <w:rsid w:val="3B678D5D"/>
    <w:rsid w:val="3BBBDDCB"/>
    <w:rsid w:val="3DFFE70C"/>
    <w:rsid w:val="3ED31A52"/>
    <w:rsid w:val="3EFFB3FB"/>
    <w:rsid w:val="3F5E76C0"/>
    <w:rsid w:val="3FCF256F"/>
    <w:rsid w:val="426E57C3"/>
    <w:rsid w:val="43D85486"/>
    <w:rsid w:val="476B1D48"/>
    <w:rsid w:val="4CF4E75B"/>
    <w:rsid w:val="51DF6A1A"/>
    <w:rsid w:val="55775312"/>
    <w:rsid w:val="559C8DA4"/>
    <w:rsid w:val="56EEA051"/>
    <w:rsid w:val="57CE6FC3"/>
    <w:rsid w:val="5BB7BE24"/>
    <w:rsid w:val="5D3C1C15"/>
    <w:rsid w:val="5DBF259C"/>
    <w:rsid w:val="5DEFCA16"/>
    <w:rsid w:val="5E97BB0E"/>
    <w:rsid w:val="5EDE3290"/>
    <w:rsid w:val="5EFFCC6A"/>
    <w:rsid w:val="5EFFD625"/>
    <w:rsid w:val="5FFC4FC5"/>
    <w:rsid w:val="62CD212E"/>
    <w:rsid w:val="63FFCE2A"/>
    <w:rsid w:val="677E37C3"/>
    <w:rsid w:val="6C95179E"/>
    <w:rsid w:val="6ECDC78D"/>
    <w:rsid w:val="6ED415F7"/>
    <w:rsid w:val="6F0EDEAF"/>
    <w:rsid w:val="6F3FB890"/>
    <w:rsid w:val="6FE77838"/>
    <w:rsid w:val="7177E118"/>
    <w:rsid w:val="72B7D4B3"/>
    <w:rsid w:val="76E325FF"/>
    <w:rsid w:val="76F39A26"/>
    <w:rsid w:val="778061B1"/>
    <w:rsid w:val="77A237FD"/>
    <w:rsid w:val="7A7E2D92"/>
    <w:rsid w:val="7AF70F24"/>
    <w:rsid w:val="7B4E21E4"/>
    <w:rsid w:val="7C491389"/>
    <w:rsid w:val="7CBF2336"/>
    <w:rsid w:val="7D5EAA62"/>
    <w:rsid w:val="7DEFCDFF"/>
    <w:rsid w:val="7E7E9055"/>
    <w:rsid w:val="7F7E6090"/>
    <w:rsid w:val="7F9FA812"/>
    <w:rsid w:val="7FD498A3"/>
    <w:rsid w:val="7FF7A8EA"/>
    <w:rsid w:val="7FF99672"/>
    <w:rsid w:val="7FFB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F193A9-A35A-4E0F-8BA2-1583344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9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863</Characters>
  <Application>Microsoft Office Word</Application>
  <DocSecurity>0</DocSecurity>
  <Lines>7</Lines>
  <Paragraphs>2</Paragraphs>
  <ScaleCrop>false</ScaleCrop>
  <Company>Xtzj.Com</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5</cp:revision>
  <cp:lastPrinted>2024-12-09T16:01:00Z</cp:lastPrinted>
  <dcterms:created xsi:type="dcterms:W3CDTF">2024-12-09T09:13:00Z</dcterms:created>
  <dcterms:modified xsi:type="dcterms:W3CDTF">2024-12-09T09:21:00Z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11501EF4BDEED61A48A05667A7E33A20</vt:lpwstr>
  </property>
</Properties>
</file>