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33CD4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433CD4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433CD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肝水解肽注射剂</w:t>
      </w:r>
      <w:r>
        <w:rPr>
          <w:rFonts w:eastAsia="方正小标宋简体"/>
          <w:sz w:val="44"/>
          <w:szCs w:val="44"/>
        </w:rPr>
        <w:t>说明书修订要求</w:t>
      </w:r>
    </w:p>
    <w:p w:rsidR="00000000" w:rsidRDefault="00433CD4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00000" w:rsidRDefault="00433CD4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一、应增加警示语，内容如下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本品不良反应包括过敏性休克，应在有抢救条件的医疗机构使用，用药后出现过敏反应或其他严重不良反应须立即停药并及时救治。</w:t>
      </w:r>
    </w:p>
    <w:p w:rsidR="00000000" w:rsidRDefault="00433CD4">
      <w:pPr>
        <w:spacing w:line="56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二、【不良反应】</w:t>
      </w:r>
      <w:r>
        <w:rPr>
          <w:rFonts w:ascii="黑体" w:eastAsia="黑体" w:hAnsi="黑体" w:hint="eastAsia"/>
          <w:color w:val="000000"/>
          <w:sz w:val="32"/>
          <w:szCs w:val="32"/>
        </w:rPr>
        <w:t>项下</w:t>
      </w:r>
      <w:r>
        <w:rPr>
          <w:rFonts w:ascii="黑体" w:eastAsia="黑体" w:hAnsi="黑体" w:hint="eastAsia"/>
          <w:color w:val="000000"/>
          <w:sz w:val="32"/>
          <w:szCs w:val="32"/>
        </w:rPr>
        <w:t>应包</w:t>
      </w:r>
      <w:r>
        <w:rPr>
          <w:rFonts w:ascii="黑体" w:eastAsia="黑体" w:hAnsi="黑体" w:hint="eastAsia"/>
          <w:color w:val="000000"/>
          <w:sz w:val="32"/>
          <w:szCs w:val="32"/>
        </w:rPr>
        <w:t>含以下内容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上市后监测数据显示本品可</w:t>
      </w:r>
      <w:r>
        <w:rPr>
          <w:rFonts w:eastAsia="仿宋_GB2312" w:hint="eastAsia"/>
          <w:sz w:val="32"/>
          <w:szCs w:val="32"/>
        </w:rPr>
        <w:t>见以下不良反应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事件：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全身性</w:t>
      </w:r>
      <w:r>
        <w:rPr>
          <w:rFonts w:eastAsia="仿宋_GB2312" w:hint="eastAsia"/>
          <w:sz w:val="32"/>
          <w:szCs w:val="32"/>
        </w:rPr>
        <w:t>反应：超敏反应，过敏性休克，</w:t>
      </w:r>
      <w:r>
        <w:rPr>
          <w:rFonts w:eastAsia="仿宋_GB2312"/>
          <w:sz w:val="32"/>
          <w:szCs w:val="32"/>
        </w:rPr>
        <w:t>寒战</w:t>
      </w:r>
      <w:r>
        <w:rPr>
          <w:rFonts w:eastAsia="仿宋_GB2312" w:hint="eastAsia"/>
          <w:sz w:val="32"/>
          <w:szCs w:val="32"/>
        </w:rPr>
        <w:t>，发热，</w:t>
      </w:r>
      <w:r>
        <w:rPr>
          <w:rFonts w:eastAsia="仿宋_GB2312"/>
          <w:sz w:val="32"/>
          <w:szCs w:val="32"/>
        </w:rPr>
        <w:t>高热</w:t>
      </w:r>
      <w:r>
        <w:rPr>
          <w:rFonts w:eastAsia="仿宋_GB2312" w:hint="eastAsia"/>
          <w:sz w:val="32"/>
          <w:szCs w:val="32"/>
        </w:rPr>
        <w:t>，乏力；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皮肤及</w:t>
      </w:r>
      <w:r>
        <w:rPr>
          <w:rFonts w:eastAsia="仿宋_GB2312" w:hint="eastAsia"/>
          <w:sz w:val="32"/>
          <w:szCs w:val="32"/>
        </w:rPr>
        <w:t>皮下组织</w:t>
      </w:r>
      <w:r>
        <w:rPr>
          <w:rFonts w:eastAsia="仿宋_GB2312"/>
          <w:sz w:val="32"/>
          <w:szCs w:val="32"/>
        </w:rPr>
        <w:t>：瘙痒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皮疹</w:t>
      </w:r>
      <w:r>
        <w:rPr>
          <w:rFonts w:eastAsia="仿宋_GB2312" w:hint="eastAsia"/>
          <w:sz w:val="32"/>
          <w:szCs w:val="32"/>
        </w:rPr>
        <w:t>（荨麻疹、斑丘疹、红斑疹等），潮红</w:t>
      </w:r>
      <w:r>
        <w:rPr>
          <w:rFonts w:eastAsia="仿宋_GB2312"/>
          <w:sz w:val="32"/>
          <w:szCs w:val="32"/>
        </w:rPr>
        <w:t>；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胃肠系统</w:t>
      </w:r>
      <w:r>
        <w:rPr>
          <w:rFonts w:eastAsia="仿宋_GB2312"/>
          <w:sz w:val="32"/>
          <w:szCs w:val="32"/>
        </w:rPr>
        <w:t>：恶心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呕吐</w:t>
      </w:r>
      <w:r>
        <w:rPr>
          <w:rFonts w:eastAsia="仿宋_GB2312" w:hint="eastAsia"/>
          <w:sz w:val="32"/>
          <w:szCs w:val="32"/>
        </w:rPr>
        <w:t>，腹痛，腹泻，腹部不适；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呼吸系统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胸闷，呼吸困难，呼吸急促；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心血管系统：心悸</w:t>
      </w:r>
      <w:r>
        <w:rPr>
          <w:rFonts w:eastAsia="仿宋_GB2312" w:hint="eastAsia"/>
          <w:sz w:val="32"/>
          <w:szCs w:val="32"/>
        </w:rPr>
        <w:t>，心慌，低血压；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神经系统：头晕</w:t>
      </w:r>
      <w:r>
        <w:rPr>
          <w:rFonts w:eastAsia="仿宋_GB2312" w:hint="eastAsia"/>
          <w:sz w:val="32"/>
          <w:szCs w:val="32"/>
        </w:rPr>
        <w:t>，头痛，震颤，意识障碍；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用药部位反应：静脉炎，注射部位疼痛、红肿、瘙痒。</w:t>
      </w:r>
    </w:p>
    <w:p w:rsidR="00000000" w:rsidRDefault="00433CD4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三、【注意事项】</w:t>
      </w:r>
      <w:r>
        <w:rPr>
          <w:rFonts w:ascii="黑体" w:eastAsia="黑体" w:hAnsi="黑体" w:hint="eastAsia"/>
          <w:color w:val="000000"/>
          <w:sz w:val="32"/>
          <w:szCs w:val="32"/>
        </w:rPr>
        <w:t>项下</w:t>
      </w:r>
      <w:r>
        <w:rPr>
          <w:rFonts w:ascii="黑体" w:eastAsia="黑体" w:hAnsi="黑体" w:hint="eastAsia"/>
          <w:color w:val="000000"/>
          <w:sz w:val="32"/>
          <w:szCs w:val="32"/>
        </w:rPr>
        <w:t>应包</w:t>
      </w:r>
      <w:r>
        <w:rPr>
          <w:rFonts w:ascii="黑体" w:eastAsia="黑体" w:hAnsi="黑体" w:hint="eastAsia"/>
          <w:color w:val="000000"/>
          <w:sz w:val="32"/>
          <w:szCs w:val="32"/>
        </w:rPr>
        <w:t>含以下内容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本品不良反应包括过敏性休克，应在有抢救条件的医疗机构使用，用药后出现过敏反应或其他严重不</w:t>
      </w:r>
      <w:r>
        <w:rPr>
          <w:rFonts w:eastAsia="仿宋_GB2312" w:hint="eastAsia"/>
          <w:sz w:val="32"/>
          <w:szCs w:val="32"/>
        </w:rPr>
        <w:t>良反应须立即停药并及时救治。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2.</w:t>
      </w:r>
      <w:r>
        <w:rPr>
          <w:rFonts w:eastAsia="仿宋_GB2312" w:hint="eastAsia"/>
          <w:sz w:val="32"/>
          <w:szCs w:val="32"/>
        </w:rPr>
        <w:t>本品应即配即用，</w:t>
      </w:r>
      <w:r>
        <w:rPr>
          <w:rFonts w:eastAsia="仿宋_GB2312"/>
          <w:sz w:val="32"/>
          <w:szCs w:val="32"/>
        </w:rPr>
        <w:t>单独给药，禁忌与其他药品混合配伍使用。如确需要联合使用其他药品时，应谨慎考虑与本品的间隔时间，输注两种药物之间须以适量稀释液对输液管道进行冲洗。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用药前应仔细询问患者用药史和过敏史。用药过程中加强监护，密切观察用药反应，特别是开始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分钟。发现异常，立即停药，采用积极救治措施，救治患者。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缺乏相关研究资料，不推荐孕妇使用。</w:t>
      </w:r>
    </w:p>
    <w:p w:rsidR="00000000" w:rsidRDefault="00433C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目前尚无儿童应用本品的系统研究资料，不推荐儿童使用。</w:t>
      </w:r>
    </w:p>
    <w:p w:rsidR="00000000" w:rsidRDefault="00433CD4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有文献报道，本品与注射用对氨基水杨酸钠、地塞米松存</w:t>
      </w:r>
    </w:p>
    <w:p w:rsidR="00000000" w:rsidRDefault="00433CD4">
      <w:pPr>
        <w:spacing w:line="560" w:lineRule="exact"/>
        <w:rPr>
          <w:rFonts w:ascii="仿宋_GB2312" w:eastAsia="仿宋_GB2312" w:hAnsi="华文仿宋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在配伍禁忌。</w:t>
      </w:r>
    </w:p>
    <w:p w:rsidR="00000000" w:rsidRDefault="00433CD4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33CD4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仿宋_GB2312" w:eastAsia="仿宋_GB2312" w:hAnsi="华文仿宋" w:hint="eastAsia"/>
          <w:sz w:val="32"/>
          <w:szCs w:val="32"/>
        </w:rPr>
        <w:t>）</w:t>
      </w:r>
    </w:p>
    <w:p w:rsidR="00000000" w:rsidRDefault="00433CD4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33CD4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33CD4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33CD4">
      <w:pPr>
        <w:spacing w:line="240" w:lineRule="exact"/>
        <w:rPr>
          <w:rFonts w:ascii="仿宋_GB2312" w:eastAsia="仿宋_GB2312" w:hAnsi="华文仿宋" w:hint="eastAsia"/>
          <w:sz w:val="32"/>
          <w:szCs w:val="32"/>
        </w:rPr>
      </w:pPr>
    </w:p>
    <w:p w:rsidR="00433CD4" w:rsidRDefault="00433CD4">
      <w:bookmarkStart w:id="0" w:name="_GoBack"/>
      <w:bookmarkEnd w:id="0"/>
    </w:p>
    <w:sectPr w:rsidR="00433CD4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D4" w:rsidRDefault="00433CD4">
      <w:r>
        <w:separator/>
      </w:r>
    </w:p>
  </w:endnote>
  <w:endnote w:type="continuationSeparator" w:id="0">
    <w:p w:rsidR="00433CD4" w:rsidRDefault="0043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567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33CD4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6708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b9vgIAALI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AMXoeSPKWxCxFCAyUCqMPjAaIT9iNMAYSTGHOYdR+5LDMzATZzLkZGwmg/ACLqZY&#10;YzSaKz1OpptesroB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1jqW/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433CD4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56708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D4" w:rsidRDefault="00433CD4">
      <w:r>
        <w:separator/>
      </w:r>
    </w:p>
  </w:footnote>
  <w:footnote w:type="continuationSeparator" w:id="0">
    <w:p w:rsidR="00433CD4" w:rsidRDefault="0043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B474F"/>
    <w:rsid w:val="00056708"/>
    <w:rsid w:val="00433CD4"/>
    <w:rsid w:val="00720A72"/>
    <w:rsid w:val="0094619C"/>
    <w:rsid w:val="2DEB474F"/>
    <w:rsid w:val="735FCB22"/>
    <w:rsid w:val="7B79E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9954F6-89F1-4874-8D57-4D790D10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2022-11-02T07:08:00Z</dcterms:created>
  <dcterms:modified xsi:type="dcterms:W3CDTF">2022-11-02T07:08:00Z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