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before="118" w:beforeLines="20" w:line="700" w:lineRule="exact"/>
        <w:jc w:val="center"/>
        <w:textAlignment w:val="auto"/>
        <w:rPr>
          <w:rFonts w:hint="default"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z w:val="44"/>
          <w:szCs w:val="44"/>
        </w:rPr>
        <w:t>广东省老年友善医疗机构建设标准</w:t>
      </w:r>
      <w:r>
        <w:rPr>
          <w:rFonts w:hint="default" w:ascii="Times New Roman" w:hAnsi="Times New Roman" w:eastAsia="方正小标宋简体" w:cs="Times New Roman"/>
          <w:b w:val="0"/>
          <w:bCs w:val="0"/>
          <w:color w:val="000000"/>
          <w:sz w:val="44"/>
          <w:szCs w:val="40"/>
        </w:rPr>
        <w:t>（试行）</w:t>
      </w:r>
    </w:p>
    <w:bookmarkEnd w:id="0"/>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b w:val="0"/>
          <w:bCs/>
          <w:color w:val="000000"/>
          <w:sz w:val="32"/>
          <w:szCs w:val="32"/>
        </w:rPr>
      </w:pPr>
      <w:r>
        <w:rPr>
          <w:rFonts w:hint="default" w:ascii="Times New Roman" w:hAnsi="Times New Roman" w:eastAsia="楷体_GB2312" w:cs="Times New Roman"/>
          <w:b w:val="0"/>
          <w:bCs/>
          <w:color w:val="000000"/>
          <w:sz w:val="32"/>
          <w:szCs w:val="32"/>
        </w:rPr>
        <w:t>（康复医院、护理院和基层医疗机构适用）</w:t>
      </w:r>
    </w:p>
    <w:p>
      <w:pPr>
        <w:keepNext w:val="0"/>
        <w:keepLines w:val="0"/>
        <w:pageBreakBefore w:val="0"/>
        <w:widowControl w:val="0"/>
        <w:kinsoku/>
        <w:wordWrap/>
        <w:overflowPunct/>
        <w:topLinePunct w:val="0"/>
        <w:autoSpaceDE/>
        <w:autoSpaceDN/>
        <w:bidi w:val="0"/>
        <w:adjustRightInd/>
        <w:snapToGrid/>
        <w:spacing w:after="292" w:afterLines="50" w:line="560" w:lineRule="exact"/>
        <w:jc w:val="center"/>
        <w:textAlignment w:val="auto"/>
        <w:rPr>
          <w:rFonts w:hint="default" w:ascii="Times New Roman" w:hAnsi="Times New Roman" w:eastAsia="楷体_GB2312" w:cs="Times New Roman"/>
          <w:b w:val="0"/>
          <w:bCs/>
          <w:color w:val="000000"/>
          <w:sz w:val="32"/>
          <w:szCs w:val="32"/>
          <w:lang w:val="en-US" w:eastAsia="zh-CN"/>
        </w:rPr>
      </w:pPr>
      <w:r>
        <w:rPr>
          <w:rFonts w:hint="default" w:ascii="Times New Roman" w:hAnsi="Times New Roman" w:eastAsia="楷体_GB2312" w:cs="Times New Roman"/>
          <w:b w:val="0"/>
          <w:bCs/>
          <w:color w:val="000000"/>
          <w:sz w:val="32"/>
          <w:szCs w:val="32"/>
          <w:lang w:val="en-US" w:eastAsia="zh-CN"/>
        </w:rPr>
        <w:t>（</w:t>
      </w:r>
      <w:r>
        <w:rPr>
          <w:rFonts w:hint="default" w:ascii="Times New Roman" w:hAnsi="Times New Roman" w:eastAsia="楷体_GB2312" w:cs="Times New Roman"/>
          <w:b w:val="0"/>
          <w:bCs/>
          <w:color w:val="000000"/>
          <w:sz w:val="32"/>
          <w:szCs w:val="32"/>
        </w:rPr>
        <w:t>2022</w:t>
      </w:r>
      <w:r>
        <w:rPr>
          <w:rFonts w:hint="default" w:ascii="Times New Roman" w:hAnsi="Times New Roman" w:eastAsia="楷体_GB2312" w:cs="Times New Roman"/>
          <w:b w:val="0"/>
          <w:bCs/>
          <w:color w:val="000000"/>
          <w:sz w:val="32"/>
          <w:szCs w:val="32"/>
          <w:lang w:eastAsia="zh-CN"/>
        </w:rPr>
        <w:t>年</w:t>
      </w:r>
      <w:r>
        <w:rPr>
          <w:rFonts w:hint="default" w:ascii="Times New Roman" w:hAnsi="Times New Roman" w:eastAsia="楷体_GB2312" w:cs="Times New Roman"/>
          <w:b w:val="0"/>
          <w:bCs/>
          <w:color w:val="000000"/>
          <w:sz w:val="32"/>
          <w:szCs w:val="32"/>
          <w:lang w:val="en-US" w:eastAsia="zh-CN"/>
        </w:rPr>
        <w:t>4月）</w:t>
      </w:r>
    </w:p>
    <w:tbl>
      <w:tblPr>
        <w:tblStyle w:val="3"/>
        <w:tblW w:w="139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1535"/>
        <w:gridCol w:w="6691"/>
        <w:gridCol w:w="3520"/>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281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评价指标</w:t>
            </w:r>
          </w:p>
        </w:tc>
        <w:tc>
          <w:tcPr>
            <w:tcW w:w="669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评价内容</w:t>
            </w:r>
          </w:p>
        </w:tc>
        <w:tc>
          <w:tcPr>
            <w:tcW w:w="35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评审方法</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1" w:leftChars="0" w:hanging="101" w:hangingChars="45"/>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9" w:hRule="atLeast"/>
          <w:jc w:val="center"/>
        </w:trPr>
        <w:tc>
          <w:tcPr>
            <w:tcW w:w="12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1.老年友善文化（15分）</w:t>
            </w:r>
          </w:p>
        </w:tc>
        <w:tc>
          <w:tcPr>
            <w:tcW w:w="153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1.1构建老年友善文化，形成老年友善氛围(8分)</w:t>
            </w:r>
          </w:p>
        </w:tc>
        <w:tc>
          <w:tcPr>
            <w:tcW w:w="6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1.1.1在医疗机构文化中有关心关爱老年人、保障老年人权益、维护老年人尊严等内容(2分)</w:t>
            </w:r>
          </w:p>
        </w:tc>
        <w:tc>
          <w:tcPr>
            <w:tcW w:w="3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查看机构相关文件、网站、展板、宣传等资料</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6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1.1.2职工手册、行为守则等规范中有对老年人态度、行为和用语等要求(2分)</w:t>
            </w:r>
          </w:p>
        </w:tc>
        <w:tc>
          <w:tcPr>
            <w:tcW w:w="3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查看机构职工手册、服务手册等资料</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atLeast"/>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6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1.1.3机构工作人员以尊敬的态度、易懂的语言、清晰的文字或图片与老年人交流。(1分)</w:t>
            </w:r>
          </w:p>
        </w:tc>
        <w:tc>
          <w:tcPr>
            <w:tcW w:w="3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现场观察工作人员与患者的交流互动情况；访谈患者或家属</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6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1.1.4在院内院外开展尊老、敬老、爱老等义诊活动(1分)</w:t>
            </w:r>
          </w:p>
        </w:tc>
        <w:tc>
          <w:tcPr>
            <w:tcW w:w="3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查看义诊活动的记录、图片和宣传报道等</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6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1.1.5有体现尊老、敬老、爱老等的宣传内容(1分)</w:t>
            </w:r>
          </w:p>
        </w:tc>
        <w:tc>
          <w:tcPr>
            <w:tcW w:w="3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查看宣传资料</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6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1.1.6公示的服务信息便于老年人阅读与理解(1分)</w:t>
            </w:r>
          </w:p>
        </w:tc>
        <w:tc>
          <w:tcPr>
            <w:tcW w:w="3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查看导医、物价等需要公示的内容</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1.2提供就医指导及健康宣教（4分）</w:t>
            </w:r>
          </w:p>
        </w:tc>
        <w:tc>
          <w:tcPr>
            <w:tcW w:w="6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1.2.1建立健康教育制度(2分)</w:t>
            </w:r>
          </w:p>
        </w:tc>
        <w:tc>
          <w:tcPr>
            <w:tcW w:w="3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查看健康宣教的制度、活动记录和相关材料(1分)；检查是否在醒目位置有针对老年人的就医指导宣传(1分)</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6" w:hRule="atLeast"/>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6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1.2.2向老年人及家属提供就医指导和健康宣教服务(2分)</w:t>
            </w:r>
          </w:p>
        </w:tc>
        <w:tc>
          <w:tcPr>
            <w:tcW w:w="3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访谈员工或患者</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7" w:hRule="atLeast"/>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1.3志愿者服务（3分）</w:t>
            </w:r>
          </w:p>
        </w:tc>
        <w:tc>
          <w:tcPr>
            <w:tcW w:w="6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1.3.1有志愿者管理的制度和计划，鼓励健康老年人参加志愿者服务(1.5分)</w:t>
            </w:r>
          </w:p>
        </w:tc>
        <w:tc>
          <w:tcPr>
            <w:tcW w:w="3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查阅资料，有无招募志愿者的信息，招募条件是否有鼓励老年人参与的内容</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6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1.3.2为老年人提供导引、交通、阅读、书写、陪伴或其他志愿者服务(1.5分)</w:t>
            </w:r>
          </w:p>
        </w:tc>
        <w:tc>
          <w:tcPr>
            <w:tcW w:w="3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查阅志愿者服务记录</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7" w:hRule="atLeast"/>
          <w:jc w:val="center"/>
        </w:trPr>
        <w:tc>
          <w:tcPr>
            <w:tcW w:w="12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2.老年友善管理（15分）</w:t>
            </w:r>
          </w:p>
        </w:tc>
        <w:tc>
          <w:tcPr>
            <w:tcW w:w="15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2.1运行机制(3分)</w:t>
            </w:r>
          </w:p>
        </w:tc>
        <w:tc>
          <w:tcPr>
            <w:tcW w:w="6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2.1.1有创建老年友善医疗机构的领导小组(1.5分)和技术指导小组(1.5分)，有分管领导</w:t>
            </w:r>
          </w:p>
        </w:tc>
        <w:tc>
          <w:tcPr>
            <w:tcW w:w="3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查阅文件</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2.2持续改进机制(3分)</w:t>
            </w:r>
          </w:p>
        </w:tc>
        <w:tc>
          <w:tcPr>
            <w:tcW w:w="6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2.2.1建立持续改进机制，有老年友善医疗机构年度工作计划、总结、检查和整改记录(2分)</w:t>
            </w:r>
          </w:p>
        </w:tc>
        <w:tc>
          <w:tcPr>
            <w:tcW w:w="3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查阅年度工作计划、工作记录、相关会议记录等资料</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6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2.2.2开展患者满意度调查，并根据调查结果进行评估和改善(1分)</w:t>
            </w:r>
          </w:p>
        </w:tc>
        <w:tc>
          <w:tcPr>
            <w:tcW w:w="3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查阅资料，是否有患者满意度调查(0.5分)；是否有整改措施(0.5分)</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2.3共同参与和监督机制(1分)</w:t>
            </w:r>
          </w:p>
        </w:tc>
        <w:tc>
          <w:tcPr>
            <w:tcW w:w="6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2.3.1工作人员能参与老年友善医疗机构政策的制定、完善和监督(1分)</w:t>
            </w:r>
          </w:p>
        </w:tc>
        <w:tc>
          <w:tcPr>
            <w:tcW w:w="3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 xml:space="preserve">查阅有关部门关于老年友善医疗机构政策制定、完善和监督的相关记录(如会议记录、照片等) </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2.4培训管理(3分)</w:t>
            </w:r>
          </w:p>
        </w:tc>
        <w:tc>
          <w:tcPr>
            <w:tcW w:w="6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2.4.1建立老年学和老年医学知识、技能等教育、培训的长效机制，每年对全院医护人员有老年友善医疗机构管理和老年医学知识等相关内容的培训，其中包括与老年人沟通交流技巧方面的培训(2分)</w:t>
            </w:r>
          </w:p>
        </w:tc>
        <w:tc>
          <w:tcPr>
            <w:tcW w:w="3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查阅是否有创建老年友善医疗机构和老年医学培训的计划、课程表、授课老师教案和签到表等</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6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2.4.2加强陪护人员/养老护理员培训，提高其服务老年患者的能力(1分)</w:t>
            </w:r>
          </w:p>
        </w:tc>
        <w:tc>
          <w:tcPr>
            <w:tcW w:w="3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查阅资料或现场检查</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2.5分级诊疗(3分)</w:t>
            </w:r>
          </w:p>
        </w:tc>
        <w:tc>
          <w:tcPr>
            <w:tcW w:w="6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2.5.1参加医联体或医共体建设，建立老年患者的双向转诊机制，形成医联体的协作管理模式(1分)</w:t>
            </w:r>
          </w:p>
        </w:tc>
        <w:tc>
          <w:tcPr>
            <w:tcW w:w="3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查阅相关文件</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6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2.5.2有负责转诊管理的部门及提供双向转诊服务(2分)</w:t>
            </w:r>
          </w:p>
        </w:tc>
        <w:tc>
          <w:tcPr>
            <w:tcW w:w="3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查阅资料，是否有负责双向转诊的部门及提供双向转诊服务</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3.老年友善服务（45分）</w:t>
            </w:r>
          </w:p>
        </w:tc>
        <w:tc>
          <w:tcPr>
            <w:tcW w:w="153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3.1优化老年人就医服务流程（12分）</w:t>
            </w:r>
          </w:p>
        </w:tc>
        <w:tc>
          <w:tcPr>
            <w:tcW w:w="6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3.1.1建立老年人就医绿色通道。设立老年人快速预检通道。常态化疫情防控期间，机构入口可通过增设老年患者“无健康码”通道、配备人员帮助老年人进行健康码查询等方式，协助没有手机或无法提供健康码的老年人通过手工填写流调表等方式完成流行病学史调查，为老年患者就医提供方便(3分)</w:t>
            </w:r>
          </w:p>
        </w:tc>
        <w:tc>
          <w:tcPr>
            <w:tcW w:w="3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查阅资料或现场查看</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9" w:hRule="atLeast"/>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6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3.1.2提供多渠道预约挂号服务（设有门诊服务的医疗机构适用，3分）</w:t>
            </w:r>
          </w:p>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3.1.2.1提供网络、现场预约等多渠道预约挂号服务（1分）</w:t>
            </w:r>
          </w:p>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3.1.2.2畅通家人、亲友、医务人员等代为老年人挂号的渠道（1分）</w:t>
            </w:r>
          </w:p>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3.1.2.3为包括老年人在内的特殊就医人群提供一定比例的现场号源（1分）</w:t>
            </w:r>
          </w:p>
        </w:tc>
        <w:tc>
          <w:tcPr>
            <w:tcW w:w="3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查阅资料或现场查看</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6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3.1.3挂号、收费等设有人工服务窗口及现金收费窗口（设有门诊服务的医疗机构适用，1分）</w:t>
            </w:r>
          </w:p>
        </w:tc>
        <w:tc>
          <w:tcPr>
            <w:tcW w:w="3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现场查看是否有挂号和交费老人优先窗口</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6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3.1.4为老年人提供咨询、助老器具借用等综合服务（1分）</w:t>
            </w:r>
          </w:p>
        </w:tc>
        <w:tc>
          <w:tcPr>
            <w:tcW w:w="3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查阅资料或现场查看</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6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3.1.5安排社工、志愿者或其他工作人员为老年人提供导医服务（1分）</w:t>
            </w:r>
          </w:p>
        </w:tc>
        <w:tc>
          <w:tcPr>
            <w:tcW w:w="3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查阅资料或现场查看</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6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3.1.6向老年人宣传运用智能技术就医（0.5分）。智能设备配有人工值守（0.5分）</w:t>
            </w:r>
          </w:p>
        </w:tc>
        <w:tc>
          <w:tcPr>
            <w:tcW w:w="3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查阅资料或现场查看，自助挂号机等</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6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3.1.7推动老年人居家医疗与医养结合服务。通过家庭病床、上门巡视、与养老机构合作等形式（社卫机构、护理院适用，1分）</w:t>
            </w:r>
          </w:p>
        </w:tc>
        <w:tc>
          <w:tcPr>
            <w:tcW w:w="3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查阅资料或现场检查</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6691"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3.1.8与上级医疗机构合作，为老年人提供远程医疗服务，如远程会诊等（1分）</w:t>
            </w:r>
          </w:p>
        </w:tc>
        <w:tc>
          <w:tcPr>
            <w:tcW w:w="352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查看现场和业务记录</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3.2建立老年综合评估、老年综合征管理、多学科团队等技术规范和持续改进机制（12分）</w:t>
            </w:r>
          </w:p>
        </w:tc>
        <w:tc>
          <w:tcPr>
            <w:tcW w:w="6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3.2.1有老年综合评估技术规范(1分)</w:t>
            </w:r>
          </w:p>
        </w:tc>
        <w:tc>
          <w:tcPr>
            <w:tcW w:w="3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查阅资料</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6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3.2.2开展老年综合评估服务(3分)</w:t>
            </w:r>
          </w:p>
        </w:tc>
        <w:tc>
          <w:tcPr>
            <w:tcW w:w="3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现场检查或查阅资料</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669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3.2.3有老年综合征和常见问题的管理指南或诊疗规范(5分)</w:t>
            </w:r>
          </w:p>
        </w:tc>
        <w:tc>
          <w:tcPr>
            <w:tcW w:w="3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开展失智/痴呆友善服务，包括宣传、诊疗规范等（2分）</w:t>
            </w:r>
          </w:p>
        </w:tc>
        <w:tc>
          <w:tcPr>
            <w:tcW w:w="97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669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3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查阅资料，至少有衰弱、营养不良、跌倒、失能等管理指南或诊疗规范（3分）</w:t>
            </w:r>
          </w:p>
        </w:tc>
        <w:tc>
          <w:tcPr>
            <w:tcW w:w="97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6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3.2.4对住院老年患者进行高风险筛查，重点开展跌倒、肺栓塞、误吸和坠床等项目，建立高风险防范措施与应急预案和高风险筛查后知情告知制度(此条目病房适用，2分)</w:t>
            </w:r>
          </w:p>
        </w:tc>
        <w:tc>
          <w:tcPr>
            <w:tcW w:w="3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查阅资料或现场查看</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6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3.2.5各种老年医学相关技术规范的持续改进(1分)</w:t>
            </w:r>
          </w:p>
        </w:tc>
        <w:tc>
          <w:tcPr>
            <w:tcW w:w="3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查阅技术规范是否有定期或及时更新</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3.3便利药事服务（3分）</w:t>
            </w:r>
          </w:p>
        </w:tc>
        <w:tc>
          <w:tcPr>
            <w:tcW w:w="6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3.3.1落实慢性病长期处方有关要求（1.5分）</w:t>
            </w:r>
          </w:p>
        </w:tc>
        <w:tc>
          <w:tcPr>
            <w:tcW w:w="3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查阅处方</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6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3.3.2为老年患者提供用药咨询和用药评估服务(1.5分)</w:t>
            </w:r>
          </w:p>
        </w:tc>
        <w:tc>
          <w:tcPr>
            <w:tcW w:w="3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查阅资料或现场查看</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3.4患者参与（2分）</w:t>
            </w:r>
          </w:p>
        </w:tc>
        <w:tc>
          <w:tcPr>
            <w:tcW w:w="6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3.4.1鼓励患者及其照护者参与照护计划的制定与实施，医患共同决策(2分)</w:t>
            </w:r>
          </w:p>
        </w:tc>
        <w:tc>
          <w:tcPr>
            <w:tcW w:w="3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查阅病历或记录或访谈，患者及其家属或照护者是否参与制定患者照护计划</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3.5老年专科服务（8分）</w:t>
            </w:r>
          </w:p>
        </w:tc>
        <w:tc>
          <w:tcPr>
            <w:tcW w:w="6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3.5.1有老年医学专业医师，或老年医学亚专业人才，或相关医务人员接受过老年医学培训并有证书，且开展老年门诊或老年护理门诊或病房或上门服务（2分）</w:t>
            </w:r>
          </w:p>
        </w:tc>
        <w:tc>
          <w:tcPr>
            <w:tcW w:w="3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听取汇报或现场检查</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6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3.5.2有临床营养师或营养师，提供老年营养服务（1分）</w:t>
            </w:r>
          </w:p>
        </w:tc>
        <w:tc>
          <w:tcPr>
            <w:tcW w:w="3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听取汇报或现场检查</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6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3.5.3开展老年康复服务，如住院康复、日间康复或社区康复等（2分）</w:t>
            </w:r>
          </w:p>
        </w:tc>
        <w:tc>
          <w:tcPr>
            <w:tcW w:w="3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听取汇报或现场检查</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6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3.5.4开展老年人能力评估（1分）及长期照护服务， 如长照病房、养护中心或日间照护中心等（1分）</w:t>
            </w:r>
          </w:p>
        </w:tc>
        <w:tc>
          <w:tcPr>
            <w:tcW w:w="3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听取汇报或现场检查</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6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3.5.5有临终关怀、安宁疗护技术规范并提供或与其他机构合作提供相关服务，如死亡教育、舒缓治疗等，有开展医疗预嘱宣传工作(1分)</w:t>
            </w:r>
          </w:p>
        </w:tc>
        <w:tc>
          <w:tcPr>
            <w:tcW w:w="3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听取汇报或现场检查</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3.6老年社区服务（此条目社卫中心适用，8分）</w:t>
            </w:r>
          </w:p>
        </w:tc>
        <w:tc>
          <w:tcPr>
            <w:tcW w:w="6691"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3.6.1规范开展老年人家庭医生签约服务，失能、高龄等特殊困难老年人签约率不低于70%（2分）</w:t>
            </w:r>
          </w:p>
        </w:tc>
        <w:tc>
          <w:tcPr>
            <w:tcW w:w="352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查阅资料或信息系统</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6691"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3.6.2规范开展老年人健康管理服务，65岁及以上老年人健康管理率达到55%以上（2）</w:t>
            </w:r>
          </w:p>
        </w:tc>
        <w:tc>
          <w:tcPr>
            <w:tcW w:w="352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查阅资料或信息系统</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6691"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3.6.3规范开展老年人中医药健康管理服务，65岁及以上老年人中医药健康管理率达到60%以上（2分）</w:t>
            </w:r>
          </w:p>
        </w:tc>
        <w:tc>
          <w:tcPr>
            <w:tcW w:w="352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查阅资料或信息系统</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6691"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3.6.4宣传老年痴呆防治知识，筛查痴呆高危患者。公众对老年痴呆防治知识的知晓率达到80%；65岁以上老年人认知功能筛查率达80%（2）</w:t>
            </w:r>
          </w:p>
        </w:tc>
        <w:tc>
          <w:tcPr>
            <w:tcW w:w="352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查阅资料或信息系统，未开展不得分，已开展得分50%，达到40%得分75%，达到80%得满分</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4.老年友善环境（25分）</w:t>
            </w:r>
          </w:p>
        </w:tc>
        <w:tc>
          <w:tcPr>
            <w:tcW w:w="153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4.1交通便利设施(6分)</w:t>
            </w:r>
          </w:p>
        </w:tc>
        <w:tc>
          <w:tcPr>
            <w:tcW w:w="6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4.1.1机构内备有辅助转移设备（如轮椅、平车等）并方便取用(1分)</w:t>
            </w:r>
          </w:p>
        </w:tc>
        <w:tc>
          <w:tcPr>
            <w:tcW w:w="3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现场检查或提供照片</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6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4.1.2.在主入口处有方便老年人上下车的临时停车区，有安全标识(1分)</w:t>
            </w:r>
          </w:p>
        </w:tc>
        <w:tc>
          <w:tcPr>
            <w:tcW w:w="3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现场检查或提供照片</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Layout w:type="fixed"/>
          <w:tblCellMar>
            <w:top w:w="0" w:type="dxa"/>
            <w:left w:w="108" w:type="dxa"/>
            <w:bottom w:w="0" w:type="dxa"/>
            <w:right w:w="108" w:type="dxa"/>
          </w:tblCellMar>
        </w:tblPrEx>
        <w:trPr>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6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4.1.3.所有出入口、门、台阶、坡道、转弯处、轮椅坡道及信息标识系统等的设置均应当符合国家标准《无障碍设计规范》（GB50763）(4分)</w:t>
            </w:r>
          </w:p>
        </w:tc>
        <w:tc>
          <w:tcPr>
            <w:tcW w:w="3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现场检查或提供照片(如限速、禁止鸣笛、急转弯和减速带等标识)</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4.2整体环境与标识系统(12分)</w:t>
            </w:r>
          </w:p>
        </w:tc>
        <w:tc>
          <w:tcPr>
            <w:tcW w:w="6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4.2.1建筑外墙采用暖色，室内避免采用过度刺激视觉的图案，但光线明亮、有足够的照明(1分)</w:t>
            </w:r>
          </w:p>
        </w:tc>
        <w:tc>
          <w:tcPr>
            <w:tcW w:w="3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现场检查或提供照片</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6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4.2.2机构内地面防滑、无反光(2分)</w:t>
            </w:r>
          </w:p>
        </w:tc>
        <w:tc>
          <w:tcPr>
            <w:tcW w:w="3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现场检查或提供照片</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6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4.2.3适老性病房应保持温馨整洁，病房中应当配有时钟和提示板，温、湿度适中，病房、卫生间旁应设置夜灯，病床旁及卫生间均安装有紧急呼叫铃(此条目病房适用，3分)</w:t>
            </w:r>
          </w:p>
        </w:tc>
        <w:tc>
          <w:tcPr>
            <w:tcW w:w="3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现场检查或提供照片</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6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4.2.4设置有无障碍卫生间，门宽应当适宜轮椅进出，遇紧急情况时门可从外面打开（1分）</w:t>
            </w:r>
          </w:p>
        </w:tc>
        <w:tc>
          <w:tcPr>
            <w:tcW w:w="3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现场检查或提供照片</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6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4.2.5坐便器及洗手盆侧面均安装无障碍扶手，冲凉房放置有坐椅（此条目病房适用，2分）</w:t>
            </w:r>
          </w:p>
        </w:tc>
        <w:tc>
          <w:tcPr>
            <w:tcW w:w="3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现场检查或提供照片</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6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4.2.6尽可能减少公共广播的使用，避免人为噪声(1分)</w:t>
            </w:r>
          </w:p>
        </w:tc>
        <w:tc>
          <w:tcPr>
            <w:tcW w:w="3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现场检查</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6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4.2.7机构内标识醒目、简明、易懂，具有良好的导向性，且安装在适当的高度和位置(2分)</w:t>
            </w:r>
          </w:p>
        </w:tc>
        <w:tc>
          <w:tcPr>
            <w:tcW w:w="3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现场检查或提供照片</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4.3其他适老环境（7分）</w:t>
            </w:r>
          </w:p>
        </w:tc>
        <w:tc>
          <w:tcPr>
            <w:tcW w:w="6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4.3.1家具要稳固，桌椅的四条腿不能带轮子；床头柜如有轮子，必须是制动脚轮(1分)</w:t>
            </w:r>
          </w:p>
        </w:tc>
        <w:tc>
          <w:tcPr>
            <w:tcW w:w="3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现场检查或提供照片</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6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4.3.2病床床头床尾可调节，有床档；病床之间以及病床与家具之间有足够空间供轮椅通行(此条目病房适用，1分)</w:t>
            </w:r>
          </w:p>
        </w:tc>
        <w:tc>
          <w:tcPr>
            <w:tcW w:w="3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现场检查或提供照片</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6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4.3.3楼梯和走廊两侧要安装扶手，有坡道的地方至少有一侧安装扶手，扶手要有延伸并超出坡道和楼梯的两端，高度要适当(1分)</w:t>
            </w:r>
          </w:p>
        </w:tc>
        <w:tc>
          <w:tcPr>
            <w:tcW w:w="3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现场检查或提供照片</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6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4.3.4长的走道、坡道间隔、长楼梯拐角要设有休息区或休息椅(1分)</w:t>
            </w:r>
          </w:p>
        </w:tc>
        <w:tc>
          <w:tcPr>
            <w:tcW w:w="3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现场检查或提供照片</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6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4.3.5走道、坡道的宽度足以让两个轮椅并行通过(1分)</w:t>
            </w:r>
          </w:p>
        </w:tc>
        <w:tc>
          <w:tcPr>
            <w:tcW w:w="3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现场检查或提供照片</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6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4.3.6不同区域地面连接处要平滑，避免轮椅、拐杖和助行器卡住(1分)</w:t>
            </w:r>
          </w:p>
        </w:tc>
        <w:tc>
          <w:tcPr>
            <w:tcW w:w="3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现场检查或提供照片</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6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4.3.7电梯功能按照无障碍电梯设置(1分)</w:t>
            </w:r>
          </w:p>
        </w:tc>
        <w:tc>
          <w:tcPr>
            <w:tcW w:w="3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现场检查或提供照片</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5.加减分项（5分）</w:t>
            </w:r>
          </w:p>
        </w:tc>
        <w:tc>
          <w:tcPr>
            <w:tcW w:w="153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5.1加分项（最多5分）</w:t>
            </w:r>
          </w:p>
        </w:tc>
        <w:tc>
          <w:tcPr>
            <w:tcW w:w="6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5.1.1医疗机构获评国家级、省级敬老文明号（1-2分）</w:t>
            </w:r>
          </w:p>
        </w:tc>
        <w:tc>
          <w:tcPr>
            <w:tcW w:w="3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查阅资料，省级得1分，国家级2分</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6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5.1.2有老年友善医疗机构建设的创新经验，或在全省或在全国推广（1-3分）</w:t>
            </w:r>
          </w:p>
        </w:tc>
        <w:tc>
          <w:tcPr>
            <w:tcW w:w="3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有专家或同行认可的创新经验得1分，在全省推广得2分，在全国推广得3分</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66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5.1.3医疗机构信息系统支持老年综合评估等技术规范开展、调阅和统计（2分）</w:t>
            </w:r>
          </w:p>
        </w:tc>
        <w:tc>
          <w:tcPr>
            <w:tcW w:w="35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现场检查或查阅资料</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5.2减分项</w:t>
            </w:r>
          </w:p>
        </w:tc>
        <w:tc>
          <w:tcPr>
            <w:tcW w:w="6691"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5.2.1近一年内有严重侵害老年人权益的事件</w:t>
            </w:r>
          </w:p>
        </w:tc>
        <w:tc>
          <w:tcPr>
            <w:tcW w:w="352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有相关事件取消评定资格</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15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c>
          <w:tcPr>
            <w:tcW w:w="6691"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5.2.2发现有歧视、侮辱老人的言行</w:t>
            </w:r>
          </w:p>
        </w:tc>
        <w:tc>
          <w:tcPr>
            <w:tcW w:w="352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4"/>
                <w:szCs w:val="24"/>
                <w:u w:val="none"/>
              </w:rPr>
              <w:t>视情节扣5-8分</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仿宋_GB2312" w:cs="Times New Roman"/>
                <w:sz w:val="24"/>
                <w:szCs w:val="24"/>
                <w:u w:val="none"/>
              </w:rPr>
            </w:pPr>
          </w:p>
        </w:tc>
      </w:tr>
    </w:tbl>
    <w:p>
      <w:pPr>
        <w:spacing w:line="500" w:lineRule="exact"/>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val="0"/>
          <w:sz w:val="24"/>
        </w:rPr>
        <w:t>注：</w:t>
      </w:r>
      <w:r>
        <w:rPr>
          <w:rFonts w:hint="default" w:ascii="Times New Roman" w:hAnsi="Times New Roman" w:eastAsia="楷体_GB2312" w:cs="Times New Roman"/>
          <w:bCs/>
          <w:sz w:val="24"/>
        </w:rPr>
        <w:t>如缺少某项非必须项目则按缺项处理，计算标准分。如非社区卫生服务机构，则标准分=原始分/（100-8）；未设病房的机构，则病房评估内容（包括3.2.4；4.2.3；4.2.5；4.3.2共4条8分）按缺项，则标准分=原始分/（100-8）</w:t>
      </w:r>
    </w:p>
    <w:p>
      <w:pPr>
        <w:spacing w:line="560" w:lineRule="exact"/>
        <w:ind w:firstLine="4848" w:firstLineChars="1600"/>
        <w:rPr>
          <w:rFonts w:hint="default" w:ascii="Times New Roman" w:hAnsi="Times New Roman" w:eastAsia="仿宋_GB2312" w:cs="Times New Roman"/>
          <w:snapToGrid w:val="0"/>
          <w:kern w:val="0"/>
          <w:sz w:val="32"/>
          <w:szCs w:val="32"/>
        </w:rPr>
        <w:sectPr>
          <w:pgSz w:w="16838" w:h="11906" w:orient="landscape"/>
          <w:pgMar w:top="1531" w:right="1531" w:bottom="1531" w:left="1531" w:header="851" w:footer="1332" w:gutter="0"/>
          <w:pgNumType w:fmt="numberInDash"/>
          <w:cols w:space="720" w:num="1"/>
          <w:rtlGutter w:val="0"/>
          <w:docGrid w:type="linesAndChars" w:linePitch="579" w:charSpace="-3633"/>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332237"/>
    <w:rsid w:val="5B332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rPr>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2022-05-07T03:03:00Z</dcterms:created>
  <dc:creator>user</dc:creator>
  <cp:lastModifiedBy>user</cp:lastModifiedBy>
  <dcterms:modified xsi:type="dcterms:W3CDTF">2022-05-07T03:04:30Z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