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line="560" w:lineRule="exact"/>
        <w:rPr>
          <w:rFonts w:ascii="黑体" w:hAnsi="黑体" w:eastAsia="黑体" w:cs="黑体"/>
          <w:bCs/>
          <w:sz w:val="32"/>
          <w:szCs w:val="32"/>
        </w:rPr>
      </w:pPr>
      <w:bookmarkStart w:id="19" w:name="_GoBack"/>
      <w:bookmarkEnd w:id="19"/>
      <w:r>
        <w:rPr>
          <w:rFonts w:hint="eastAsia" w:ascii="黑体" w:hAnsi="黑体" w:eastAsia="黑体" w:cs="黑体"/>
          <w:bCs/>
          <w:sz w:val="32"/>
          <w:szCs w:val="32"/>
        </w:rPr>
        <w:t>附件1</w:t>
      </w:r>
    </w:p>
    <w:p>
      <w:pPr>
        <w:snapToGrid w:val="0"/>
        <w:spacing w:after="312" w:afterLines="100" w:line="560" w:lineRule="exact"/>
        <w:rPr>
          <w:rFonts w:ascii="黑体" w:hAnsi="黑体" w:eastAsia="黑体" w:cs="黑体"/>
          <w:bCs/>
          <w:sz w:val="32"/>
          <w:szCs w:val="32"/>
        </w:rPr>
      </w:pPr>
    </w:p>
    <w:p>
      <w:pPr>
        <w:adjustRightInd w:val="0"/>
        <w:snapToGrid w:val="0"/>
        <w:spacing w:line="288" w:lineRule="auto"/>
        <w:jc w:val="both"/>
        <w:rPr>
          <w:rFonts w:ascii="黑体" w:hAnsi="黑体" w:eastAsia="黑体" w:cs="黑体"/>
          <w:sz w:val="84"/>
          <w:szCs w:val="84"/>
        </w:rPr>
      </w:pPr>
    </w:p>
    <w:p>
      <w:pPr>
        <w:snapToGrid w:val="0"/>
        <w:spacing w:line="288" w:lineRule="auto"/>
        <w:jc w:val="center"/>
        <w:rPr>
          <w:rFonts w:ascii="黑体" w:hAnsi="黑体" w:eastAsia="黑体" w:cs="黑体"/>
          <w:b/>
          <w:bCs/>
          <w:sz w:val="52"/>
          <w:szCs w:val="52"/>
        </w:rPr>
      </w:pPr>
      <w:r>
        <w:rPr>
          <w:rFonts w:hint="eastAsia" w:ascii="黑体" w:hAnsi="黑体" w:eastAsia="黑体" w:cs="黑体"/>
          <w:b/>
          <w:bCs/>
          <w:sz w:val="56"/>
          <w:szCs w:val="56"/>
        </w:rPr>
        <w:t>体外哺乳动物细胞染色体畸变试验技术指导原则</w:t>
      </w:r>
    </w:p>
    <w:p>
      <w:pPr>
        <w:snapToGrid w:val="0"/>
        <w:spacing w:line="288" w:lineRule="auto"/>
        <w:jc w:val="center"/>
        <w:rPr>
          <w:rFonts w:ascii="黑体" w:hAnsi="黑体" w:eastAsia="黑体" w:cs="黑体"/>
          <w:b/>
          <w:bCs/>
          <w:sz w:val="48"/>
          <w:szCs w:val="48"/>
        </w:rPr>
      </w:pPr>
    </w:p>
    <w:p>
      <w:pPr>
        <w:snapToGrid w:val="0"/>
        <w:spacing w:line="288" w:lineRule="auto"/>
        <w:jc w:val="center"/>
        <w:rPr>
          <w:rFonts w:ascii="黑体" w:hAnsi="黑体" w:eastAsia="黑体" w:cs="黑体"/>
          <w:b/>
          <w:bCs/>
          <w:sz w:val="48"/>
          <w:szCs w:val="48"/>
        </w:rPr>
      </w:pPr>
      <w:r>
        <w:rPr>
          <w:rFonts w:hint="eastAsia" w:ascii="黑体" w:hAnsi="黑体" w:eastAsia="黑体" w:cs="黑体"/>
          <w:b/>
          <w:bCs/>
          <w:sz w:val="48"/>
          <w:szCs w:val="48"/>
        </w:rPr>
        <w:t>（征求意见稿）</w:t>
      </w:r>
    </w:p>
    <w:p>
      <w:pPr>
        <w:snapToGrid w:val="0"/>
        <w:spacing w:line="360" w:lineRule="auto"/>
        <w:jc w:val="center"/>
        <w:rPr>
          <w:rFonts w:ascii="仿宋" w:hAnsi="仿宋" w:eastAsia="仿宋" w:cs="仿宋"/>
          <w:sz w:val="44"/>
          <w:szCs w:val="44"/>
        </w:rPr>
      </w:pPr>
    </w:p>
    <w:p>
      <w:pPr>
        <w:snapToGrid w:val="0"/>
        <w:spacing w:line="360" w:lineRule="auto"/>
        <w:jc w:val="center"/>
        <w:rPr>
          <w:rFonts w:ascii="仿宋" w:hAnsi="仿宋" w:eastAsia="仿宋" w:cs="仿宋"/>
          <w:sz w:val="44"/>
          <w:szCs w:val="44"/>
        </w:rPr>
      </w:pPr>
    </w:p>
    <w:p>
      <w:pPr>
        <w:snapToGrid w:val="0"/>
        <w:spacing w:line="360" w:lineRule="auto"/>
        <w:jc w:val="center"/>
        <w:rPr>
          <w:rFonts w:ascii="仿宋" w:hAnsi="仿宋" w:eastAsia="仿宋" w:cs="仿宋"/>
          <w:sz w:val="44"/>
          <w:szCs w:val="44"/>
        </w:rPr>
      </w:pPr>
    </w:p>
    <w:p>
      <w:pPr>
        <w:snapToGrid w:val="0"/>
        <w:spacing w:line="360" w:lineRule="auto"/>
        <w:jc w:val="center"/>
        <w:rPr>
          <w:rFonts w:ascii="仿宋" w:hAnsi="仿宋" w:eastAsia="仿宋" w:cs="仿宋"/>
          <w:sz w:val="44"/>
          <w:szCs w:val="44"/>
        </w:rPr>
      </w:pPr>
    </w:p>
    <w:p>
      <w:pPr>
        <w:snapToGrid w:val="0"/>
        <w:spacing w:line="360" w:lineRule="auto"/>
        <w:jc w:val="center"/>
        <w:rPr>
          <w:rFonts w:ascii="仿宋" w:hAnsi="仿宋" w:eastAsia="仿宋" w:cs="仿宋"/>
          <w:sz w:val="44"/>
          <w:szCs w:val="44"/>
        </w:rPr>
      </w:pPr>
    </w:p>
    <w:p>
      <w:pPr>
        <w:snapToGrid w:val="0"/>
        <w:spacing w:line="360" w:lineRule="auto"/>
        <w:jc w:val="center"/>
        <w:rPr>
          <w:rFonts w:ascii="楷体" w:hAnsi="楷体" w:eastAsia="楷体" w:cs="楷体"/>
          <w:sz w:val="44"/>
          <w:szCs w:val="44"/>
        </w:rPr>
      </w:pPr>
      <w:r>
        <w:rPr>
          <w:rFonts w:hint="eastAsia" w:ascii="楷体" w:hAnsi="楷体" w:eastAsia="楷体" w:cs="楷体"/>
          <w:sz w:val="44"/>
          <w:szCs w:val="44"/>
        </w:rPr>
        <w:t>中国食品药品检定研究院</w:t>
      </w:r>
    </w:p>
    <w:p>
      <w:pPr>
        <w:snapToGrid w:val="0"/>
        <w:spacing w:line="360" w:lineRule="auto"/>
        <w:jc w:val="center"/>
        <w:rPr>
          <w:rFonts w:ascii="楷体" w:hAnsi="楷体" w:eastAsia="楷体" w:cs="楷体"/>
          <w:sz w:val="40"/>
          <w:szCs w:val="40"/>
        </w:rPr>
      </w:pPr>
      <w:r>
        <w:rPr>
          <w:rFonts w:ascii="楷体" w:hAnsi="楷体" w:eastAsia="楷体" w:cs="楷体"/>
          <w:sz w:val="40"/>
          <w:szCs w:val="40"/>
        </w:rPr>
        <w:t>202</w:t>
      </w:r>
      <w:r>
        <w:rPr>
          <w:rFonts w:hint="eastAsia" w:ascii="楷体" w:hAnsi="楷体" w:eastAsia="楷体" w:cs="楷体"/>
          <w:sz w:val="40"/>
          <w:szCs w:val="40"/>
        </w:rPr>
        <w:t>3</w:t>
      </w:r>
      <w:r>
        <w:rPr>
          <w:rFonts w:ascii="楷体" w:hAnsi="楷体" w:eastAsia="楷体" w:cs="楷体"/>
          <w:sz w:val="40"/>
          <w:szCs w:val="40"/>
        </w:rPr>
        <w:t>年</w:t>
      </w:r>
      <w:r>
        <w:rPr>
          <w:rFonts w:hint="eastAsia" w:ascii="楷体" w:hAnsi="楷体" w:eastAsia="楷体" w:cs="楷体"/>
          <w:sz w:val="40"/>
          <w:szCs w:val="40"/>
        </w:rPr>
        <w:t>2</w:t>
      </w:r>
      <w:r>
        <w:rPr>
          <w:rFonts w:ascii="楷体" w:hAnsi="楷体" w:eastAsia="楷体" w:cs="楷体"/>
          <w:sz w:val="40"/>
          <w:szCs w:val="40"/>
        </w:rPr>
        <w:t>月</w:t>
      </w:r>
    </w:p>
    <w:p>
      <w:pPr>
        <w:snapToGrid w:val="0"/>
        <w:spacing w:line="360" w:lineRule="auto"/>
        <w:jc w:val="both"/>
        <w:rPr>
          <w:rFonts w:ascii="楷体" w:hAnsi="楷体" w:eastAsia="楷体" w:cs="楷体"/>
          <w:sz w:val="40"/>
          <w:szCs w:val="40"/>
        </w:rPr>
      </w:pPr>
    </w:p>
    <w:p>
      <w:pPr>
        <w:snapToGrid w:val="0"/>
        <w:spacing w:line="360" w:lineRule="auto"/>
        <w:jc w:val="both"/>
        <w:rPr>
          <w:rFonts w:ascii="楷体" w:hAnsi="楷体" w:eastAsia="楷体" w:cs="楷体"/>
          <w:sz w:val="40"/>
          <w:szCs w:val="40"/>
        </w:rPr>
      </w:pPr>
    </w:p>
    <w:sdt>
      <w:sdtPr>
        <w:rPr>
          <w:rFonts w:ascii="宋体" w:hAnsi="宋体" w:eastAsia="宋体"/>
        </w:rPr>
        <w:id w:val="147463053"/>
        <w:docPartObj>
          <w:docPartGallery w:val="Table of Contents"/>
          <w:docPartUnique/>
        </w:docPartObj>
      </w:sdtPr>
      <w:sdtEndPr>
        <w:rPr>
          <w:rFonts w:ascii="宋体" w:hAnsi="宋体" w:eastAsia="宋体"/>
        </w:rPr>
      </w:sdtEndPr>
      <w:sdtContent>
        <w:p>
          <w:pPr>
            <w:jc w:val="center"/>
            <w:rPr>
              <w:rFonts w:ascii="黑体" w:hAnsi="黑体" w:eastAsia="黑体" w:cs="黑体"/>
              <w:sz w:val="36"/>
              <w:szCs w:val="44"/>
            </w:rPr>
          </w:pPr>
          <w:r>
            <w:rPr>
              <w:rFonts w:hint="eastAsia" w:ascii="黑体" w:hAnsi="黑体" w:eastAsia="黑体" w:cs="黑体"/>
              <w:sz w:val="36"/>
              <w:szCs w:val="44"/>
            </w:rPr>
            <w:t>目</w:t>
          </w:r>
          <w:r>
            <w:rPr>
              <w:rFonts w:ascii="黑体" w:hAnsi="黑体" w:eastAsia="黑体" w:cs="黑体"/>
              <w:sz w:val="36"/>
              <w:szCs w:val="44"/>
            </w:rPr>
            <w:t xml:space="preserve">  </w:t>
          </w:r>
          <w:r>
            <w:rPr>
              <w:rFonts w:hint="eastAsia" w:ascii="黑体" w:hAnsi="黑体" w:eastAsia="黑体" w:cs="黑体"/>
              <w:sz w:val="36"/>
              <w:szCs w:val="44"/>
            </w:rPr>
            <w:t>录</w:t>
          </w:r>
        </w:p>
        <w:p>
          <w:pPr>
            <w:jc w:val="both"/>
            <w:rPr>
              <w:rFonts w:ascii="黑体" w:hAnsi="黑体" w:eastAsia="黑体" w:cs="黑体"/>
              <w:sz w:val="36"/>
              <w:szCs w:val="44"/>
            </w:rPr>
          </w:pPr>
        </w:p>
        <w:p>
          <w:pPr>
            <w:pStyle w:val="5"/>
            <w:tabs>
              <w:tab w:val="right" w:leader="dot" w:pos="8296"/>
            </w:tabs>
            <w:spacing w:line="360" w:lineRule="auto"/>
            <w:rPr>
              <w:sz w:val="28"/>
              <w:szCs w:val="28"/>
            </w:rPr>
          </w:pPr>
          <w:r>
            <w:rPr>
              <w:rFonts w:ascii="黑体" w:hAnsi="黑体" w:eastAsia="黑体"/>
              <w:sz w:val="32"/>
              <w:szCs w:val="32"/>
            </w:rPr>
            <w:fldChar w:fldCharType="begin"/>
          </w:r>
          <w:r>
            <w:rPr>
              <w:rFonts w:ascii="黑体" w:hAnsi="黑体" w:eastAsia="黑体"/>
              <w:sz w:val="32"/>
              <w:szCs w:val="32"/>
            </w:rPr>
            <w:instrText xml:space="preserve">TOC \o "1-4" \h \u </w:instrText>
          </w:r>
          <w:r>
            <w:rPr>
              <w:rFonts w:ascii="黑体" w:hAnsi="黑体" w:eastAsia="黑体"/>
              <w:sz w:val="32"/>
              <w:szCs w:val="32"/>
            </w:rPr>
            <w:fldChar w:fldCharType="separate"/>
          </w:r>
          <w:r>
            <w:rPr>
              <w:rStyle w:val="10"/>
              <w:sz w:val="28"/>
              <w:szCs w:val="28"/>
            </w:rPr>
            <w:fldChar w:fldCharType="begin"/>
          </w:r>
          <w:r>
            <w:rPr>
              <w:rStyle w:val="10"/>
              <w:sz w:val="28"/>
              <w:szCs w:val="28"/>
            </w:rPr>
            <w:instrText xml:space="preserve"> </w:instrText>
          </w:r>
          <w:r>
            <w:rPr>
              <w:sz w:val="28"/>
              <w:szCs w:val="28"/>
            </w:rPr>
            <w:instrText xml:space="preserve">HYPERLINK \l "_Toc127013428"</w:instrText>
          </w:r>
          <w:r>
            <w:rPr>
              <w:rStyle w:val="10"/>
              <w:sz w:val="28"/>
              <w:szCs w:val="28"/>
            </w:rPr>
            <w:instrText xml:space="preserve"> </w:instrText>
          </w:r>
          <w:r>
            <w:rPr>
              <w:rStyle w:val="10"/>
              <w:sz w:val="28"/>
              <w:szCs w:val="28"/>
            </w:rPr>
            <w:fldChar w:fldCharType="separate"/>
          </w:r>
          <w:r>
            <w:rPr>
              <w:rStyle w:val="10"/>
              <w:rFonts w:hint="eastAsia" w:ascii="黑体" w:hAnsi="黑体" w:eastAsia="黑体" w:cs="黑体"/>
              <w:bCs/>
              <w:sz w:val="28"/>
              <w:szCs w:val="28"/>
            </w:rPr>
            <w:t>一、概述</w:t>
          </w:r>
          <w:r>
            <w:rPr>
              <w:sz w:val="28"/>
              <w:szCs w:val="28"/>
            </w:rPr>
            <w:tab/>
          </w:r>
          <w:r>
            <w:rPr>
              <w:sz w:val="28"/>
              <w:szCs w:val="28"/>
            </w:rPr>
            <w:fldChar w:fldCharType="begin"/>
          </w:r>
          <w:r>
            <w:rPr>
              <w:sz w:val="28"/>
              <w:szCs w:val="28"/>
            </w:rPr>
            <w:instrText xml:space="preserve"> PAGEREF _Toc127013428 \h </w:instrText>
          </w:r>
          <w:r>
            <w:rPr>
              <w:sz w:val="28"/>
              <w:szCs w:val="28"/>
            </w:rPr>
            <w:fldChar w:fldCharType="separate"/>
          </w:r>
          <w:r>
            <w:rPr>
              <w:sz w:val="28"/>
              <w:szCs w:val="28"/>
            </w:rPr>
            <w:t>1</w:t>
          </w:r>
          <w:r>
            <w:rPr>
              <w:sz w:val="28"/>
              <w:szCs w:val="28"/>
            </w:rPr>
            <w:fldChar w:fldCharType="end"/>
          </w:r>
          <w:r>
            <w:rPr>
              <w:rStyle w:val="10"/>
              <w:sz w:val="28"/>
              <w:szCs w:val="28"/>
            </w:rPr>
            <w:fldChar w:fldCharType="end"/>
          </w:r>
        </w:p>
        <w:p>
          <w:pPr>
            <w:pStyle w:val="5"/>
            <w:tabs>
              <w:tab w:val="right" w:leader="dot" w:pos="8296"/>
            </w:tabs>
            <w:spacing w:line="360" w:lineRule="auto"/>
            <w:rPr>
              <w:sz w:val="28"/>
              <w:szCs w:val="28"/>
            </w:rPr>
          </w:pPr>
          <w:r>
            <w:rPr>
              <w:rStyle w:val="10"/>
              <w:sz w:val="28"/>
              <w:szCs w:val="28"/>
            </w:rPr>
            <w:fldChar w:fldCharType="begin"/>
          </w:r>
          <w:r>
            <w:rPr>
              <w:rStyle w:val="10"/>
              <w:sz w:val="28"/>
              <w:szCs w:val="28"/>
            </w:rPr>
            <w:instrText xml:space="preserve"> </w:instrText>
          </w:r>
          <w:r>
            <w:rPr>
              <w:sz w:val="28"/>
              <w:szCs w:val="28"/>
            </w:rPr>
            <w:instrText xml:space="preserve">HYPERLINK \l "_Toc127013429"</w:instrText>
          </w:r>
          <w:r>
            <w:rPr>
              <w:rStyle w:val="10"/>
              <w:sz w:val="28"/>
              <w:szCs w:val="28"/>
            </w:rPr>
            <w:instrText xml:space="preserve"> </w:instrText>
          </w:r>
          <w:r>
            <w:rPr>
              <w:rStyle w:val="10"/>
              <w:sz w:val="28"/>
              <w:szCs w:val="28"/>
            </w:rPr>
            <w:fldChar w:fldCharType="separate"/>
          </w:r>
          <w:r>
            <w:rPr>
              <w:rStyle w:val="10"/>
              <w:rFonts w:hint="eastAsia" w:ascii="黑体" w:hAnsi="黑体" w:eastAsia="黑体" w:cs="黑体"/>
              <w:bCs/>
              <w:sz w:val="28"/>
              <w:szCs w:val="28"/>
            </w:rPr>
            <w:t>二、基本原则</w:t>
          </w:r>
          <w:r>
            <w:rPr>
              <w:sz w:val="28"/>
              <w:szCs w:val="28"/>
            </w:rPr>
            <w:tab/>
          </w:r>
          <w:r>
            <w:rPr>
              <w:sz w:val="28"/>
              <w:szCs w:val="28"/>
            </w:rPr>
            <w:fldChar w:fldCharType="begin"/>
          </w:r>
          <w:r>
            <w:rPr>
              <w:sz w:val="28"/>
              <w:szCs w:val="28"/>
            </w:rPr>
            <w:instrText xml:space="preserve"> PAGEREF _Toc127013429 \h </w:instrText>
          </w:r>
          <w:r>
            <w:rPr>
              <w:sz w:val="28"/>
              <w:szCs w:val="28"/>
            </w:rPr>
            <w:fldChar w:fldCharType="separate"/>
          </w:r>
          <w:r>
            <w:rPr>
              <w:sz w:val="28"/>
              <w:szCs w:val="28"/>
            </w:rPr>
            <w:t>1</w:t>
          </w:r>
          <w:r>
            <w:rPr>
              <w:sz w:val="28"/>
              <w:szCs w:val="28"/>
            </w:rPr>
            <w:fldChar w:fldCharType="end"/>
          </w:r>
          <w:r>
            <w:rPr>
              <w:rStyle w:val="10"/>
              <w:sz w:val="28"/>
              <w:szCs w:val="28"/>
            </w:rPr>
            <w:fldChar w:fldCharType="end"/>
          </w:r>
        </w:p>
        <w:p>
          <w:pPr>
            <w:pStyle w:val="5"/>
            <w:tabs>
              <w:tab w:val="right" w:leader="dot" w:pos="8296"/>
            </w:tabs>
            <w:spacing w:line="360" w:lineRule="auto"/>
            <w:rPr>
              <w:sz w:val="28"/>
              <w:szCs w:val="28"/>
            </w:rPr>
          </w:pPr>
          <w:r>
            <w:rPr>
              <w:rStyle w:val="10"/>
              <w:sz w:val="28"/>
              <w:szCs w:val="28"/>
            </w:rPr>
            <w:fldChar w:fldCharType="begin"/>
          </w:r>
          <w:r>
            <w:rPr>
              <w:rStyle w:val="10"/>
              <w:sz w:val="28"/>
              <w:szCs w:val="28"/>
            </w:rPr>
            <w:instrText xml:space="preserve"> </w:instrText>
          </w:r>
          <w:r>
            <w:rPr>
              <w:sz w:val="28"/>
              <w:szCs w:val="28"/>
            </w:rPr>
            <w:instrText xml:space="preserve">HYPERLINK \l "_Toc127013430"</w:instrText>
          </w:r>
          <w:r>
            <w:rPr>
              <w:rStyle w:val="10"/>
              <w:sz w:val="28"/>
              <w:szCs w:val="28"/>
            </w:rPr>
            <w:instrText xml:space="preserve"> </w:instrText>
          </w:r>
          <w:r>
            <w:rPr>
              <w:rStyle w:val="10"/>
              <w:sz w:val="28"/>
              <w:szCs w:val="28"/>
            </w:rPr>
            <w:fldChar w:fldCharType="separate"/>
          </w:r>
          <w:r>
            <w:rPr>
              <w:rStyle w:val="10"/>
              <w:rFonts w:hint="eastAsia" w:ascii="黑体" w:hAnsi="黑体" w:eastAsia="黑体" w:cs="黑体"/>
              <w:bCs/>
              <w:sz w:val="28"/>
              <w:szCs w:val="28"/>
            </w:rPr>
            <w:t>三、基本内容</w:t>
          </w:r>
          <w:r>
            <w:rPr>
              <w:sz w:val="28"/>
              <w:szCs w:val="28"/>
            </w:rPr>
            <w:tab/>
          </w:r>
          <w:r>
            <w:rPr>
              <w:sz w:val="28"/>
              <w:szCs w:val="28"/>
            </w:rPr>
            <w:fldChar w:fldCharType="begin"/>
          </w:r>
          <w:r>
            <w:rPr>
              <w:sz w:val="28"/>
              <w:szCs w:val="28"/>
            </w:rPr>
            <w:instrText xml:space="preserve"> PAGEREF _Toc127013430 \h </w:instrText>
          </w:r>
          <w:r>
            <w:rPr>
              <w:sz w:val="28"/>
              <w:szCs w:val="28"/>
            </w:rPr>
            <w:fldChar w:fldCharType="separate"/>
          </w:r>
          <w:r>
            <w:rPr>
              <w:sz w:val="28"/>
              <w:szCs w:val="28"/>
            </w:rPr>
            <w:t>2</w:t>
          </w:r>
          <w:r>
            <w:rPr>
              <w:sz w:val="28"/>
              <w:szCs w:val="28"/>
            </w:rPr>
            <w:fldChar w:fldCharType="end"/>
          </w:r>
          <w:r>
            <w:rPr>
              <w:rStyle w:val="10"/>
              <w:sz w:val="28"/>
              <w:szCs w:val="28"/>
            </w:rPr>
            <w:fldChar w:fldCharType="end"/>
          </w:r>
        </w:p>
        <w:p>
          <w:pPr>
            <w:pStyle w:val="6"/>
            <w:tabs>
              <w:tab w:val="right" w:leader="dot" w:pos="8296"/>
            </w:tabs>
            <w:spacing w:line="360" w:lineRule="auto"/>
            <w:rPr>
              <w:sz w:val="28"/>
              <w:szCs w:val="28"/>
            </w:rPr>
          </w:pPr>
          <w:r>
            <w:rPr>
              <w:rStyle w:val="10"/>
              <w:sz w:val="28"/>
              <w:szCs w:val="28"/>
            </w:rPr>
            <w:fldChar w:fldCharType="begin"/>
          </w:r>
          <w:r>
            <w:rPr>
              <w:rStyle w:val="10"/>
              <w:sz w:val="28"/>
              <w:szCs w:val="28"/>
            </w:rPr>
            <w:instrText xml:space="preserve"> </w:instrText>
          </w:r>
          <w:r>
            <w:rPr>
              <w:sz w:val="28"/>
              <w:szCs w:val="28"/>
            </w:rPr>
            <w:instrText xml:space="preserve">HYPERLINK \l "_Toc127013431"</w:instrText>
          </w:r>
          <w:r>
            <w:rPr>
              <w:rStyle w:val="10"/>
              <w:sz w:val="28"/>
              <w:szCs w:val="28"/>
            </w:rPr>
            <w:instrText xml:space="preserve"> </w:instrText>
          </w:r>
          <w:r>
            <w:rPr>
              <w:rStyle w:val="10"/>
              <w:sz w:val="28"/>
              <w:szCs w:val="28"/>
            </w:rPr>
            <w:fldChar w:fldCharType="separate"/>
          </w:r>
          <w:r>
            <w:rPr>
              <w:rStyle w:val="10"/>
              <w:rFonts w:hint="eastAsia" w:ascii="仿宋" w:hAnsi="仿宋" w:eastAsia="仿宋" w:cs="仿宋"/>
              <w:b/>
              <w:kern w:val="0"/>
              <w:sz w:val="28"/>
              <w:szCs w:val="28"/>
            </w:rPr>
            <w:t>（一）受试物的配制原则</w:t>
          </w:r>
          <w:r>
            <w:rPr>
              <w:sz w:val="28"/>
              <w:szCs w:val="28"/>
            </w:rPr>
            <w:tab/>
          </w:r>
          <w:r>
            <w:rPr>
              <w:sz w:val="28"/>
              <w:szCs w:val="28"/>
            </w:rPr>
            <w:fldChar w:fldCharType="begin"/>
          </w:r>
          <w:r>
            <w:rPr>
              <w:sz w:val="28"/>
              <w:szCs w:val="28"/>
            </w:rPr>
            <w:instrText xml:space="preserve"> PAGEREF _Toc127013431 \h </w:instrText>
          </w:r>
          <w:r>
            <w:rPr>
              <w:sz w:val="28"/>
              <w:szCs w:val="28"/>
            </w:rPr>
            <w:fldChar w:fldCharType="separate"/>
          </w:r>
          <w:r>
            <w:rPr>
              <w:sz w:val="28"/>
              <w:szCs w:val="28"/>
            </w:rPr>
            <w:t>2</w:t>
          </w:r>
          <w:r>
            <w:rPr>
              <w:sz w:val="28"/>
              <w:szCs w:val="28"/>
            </w:rPr>
            <w:fldChar w:fldCharType="end"/>
          </w:r>
          <w:r>
            <w:rPr>
              <w:rStyle w:val="10"/>
              <w:sz w:val="28"/>
              <w:szCs w:val="28"/>
            </w:rPr>
            <w:fldChar w:fldCharType="end"/>
          </w:r>
        </w:p>
        <w:p>
          <w:pPr>
            <w:pStyle w:val="6"/>
            <w:tabs>
              <w:tab w:val="right" w:leader="dot" w:pos="8296"/>
            </w:tabs>
            <w:spacing w:line="360" w:lineRule="auto"/>
            <w:rPr>
              <w:sz w:val="28"/>
              <w:szCs w:val="28"/>
            </w:rPr>
          </w:pPr>
          <w:r>
            <w:rPr>
              <w:rStyle w:val="10"/>
              <w:sz w:val="28"/>
              <w:szCs w:val="28"/>
            </w:rPr>
            <w:fldChar w:fldCharType="begin"/>
          </w:r>
          <w:r>
            <w:rPr>
              <w:rStyle w:val="10"/>
              <w:sz w:val="28"/>
              <w:szCs w:val="28"/>
            </w:rPr>
            <w:instrText xml:space="preserve"> </w:instrText>
          </w:r>
          <w:r>
            <w:rPr>
              <w:sz w:val="28"/>
              <w:szCs w:val="28"/>
            </w:rPr>
            <w:instrText xml:space="preserve">HYPERLINK \l "_Toc127013432"</w:instrText>
          </w:r>
          <w:r>
            <w:rPr>
              <w:rStyle w:val="10"/>
              <w:sz w:val="28"/>
              <w:szCs w:val="28"/>
            </w:rPr>
            <w:instrText xml:space="preserve"> </w:instrText>
          </w:r>
          <w:r>
            <w:rPr>
              <w:rStyle w:val="10"/>
              <w:sz w:val="28"/>
              <w:szCs w:val="28"/>
            </w:rPr>
            <w:fldChar w:fldCharType="separate"/>
          </w:r>
          <w:r>
            <w:rPr>
              <w:rStyle w:val="10"/>
              <w:rFonts w:hint="eastAsia" w:ascii="仿宋" w:hAnsi="仿宋" w:eastAsia="仿宋" w:cs="仿宋"/>
              <w:b/>
              <w:kern w:val="0"/>
              <w:sz w:val="28"/>
              <w:szCs w:val="28"/>
            </w:rPr>
            <w:t>（二）对照物的设置原则</w:t>
          </w:r>
          <w:r>
            <w:rPr>
              <w:sz w:val="28"/>
              <w:szCs w:val="28"/>
            </w:rPr>
            <w:tab/>
          </w:r>
          <w:r>
            <w:rPr>
              <w:sz w:val="28"/>
              <w:szCs w:val="28"/>
            </w:rPr>
            <w:fldChar w:fldCharType="begin"/>
          </w:r>
          <w:r>
            <w:rPr>
              <w:sz w:val="28"/>
              <w:szCs w:val="28"/>
            </w:rPr>
            <w:instrText xml:space="preserve"> PAGEREF _Toc127013432 \h </w:instrText>
          </w:r>
          <w:r>
            <w:rPr>
              <w:sz w:val="28"/>
              <w:szCs w:val="28"/>
            </w:rPr>
            <w:fldChar w:fldCharType="separate"/>
          </w:r>
          <w:r>
            <w:rPr>
              <w:sz w:val="28"/>
              <w:szCs w:val="28"/>
            </w:rPr>
            <w:t>2</w:t>
          </w:r>
          <w:r>
            <w:rPr>
              <w:sz w:val="28"/>
              <w:szCs w:val="28"/>
            </w:rPr>
            <w:fldChar w:fldCharType="end"/>
          </w:r>
          <w:r>
            <w:rPr>
              <w:rStyle w:val="10"/>
              <w:sz w:val="28"/>
              <w:szCs w:val="28"/>
            </w:rPr>
            <w:fldChar w:fldCharType="end"/>
          </w:r>
        </w:p>
        <w:p>
          <w:pPr>
            <w:pStyle w:val="6"/>
            <w:tabs>
              <w:tab w:val="right" w:leader="dot" w:pos="8296"/>
            </w:tabs>
            <w:spacing w:line="360" w:lineRule="auto"/>
            <w:rPr>
              <w:sz w:val="28"/>
              <w:szCs w:val="28"/>
            </w:rPr>
          </w:pPr>
          <w:r>
            <w:rPr>
              <w:rStyle w:val="10"/>
              <w:sz w:val="28"/>
              <w:szCs w:val="28"/>
            </w:rPr>
            <w:fldChar w:fldCharType="begin"/>
          </w:r>
          <w:r>
            <w:rPr>
              <w:rStyle w:val="10"/>
              <w:sz w:val="28"/>
              <w:szCs w:val="28"/>
            </w:rPr>
            <w:instrText xml:space="preserve"> </w:instrText>
          </w:r>
          <w:r>
            <w:rPr>
              <w:sz w:val="28"/>
              <w:szCs w:val="28"/>
            </w:rPr>
            <w:instrText xml:space="preserve">HYPERLINK \l "_Toc127013433"</w:instrText>
          </w:r>
          <w:r>
            <w:rPr>
              <w:rStyle w:val="10"/>
              <w:sz w:val="28"/>
              <w:szCs w:val="28"/>
            </w:rPr>
            <w:instrText xml:space="preserve"> </w:instrText>
          </w:r>
          <w:r>
            <w:rPr>
              <w:rStyle w:val="10"/>
              <w:sz w:val="28"/>
              <w:szCs w:val="28"/>
            </w:rPr>
            <w:fldChar w:fldCharType="separate"/>
          </w:r>
          <w:r>
            <w:rPr>
              <w:rStyle w:val="10"/>
              <w:rFonts w:hint="eastAsia" w:ascii="仿宋" w:hAnsi="仿宋" w:eastAsia="仿宋" w:cs="仿宋"/>
              <w:b/>
              <w:sz w:val="28"/>
              <w:szCs w:val="28"/>
            </w:rPr>
            <w:t>（三）细胞的选择原则</w:t>
          </w:r>
          <w:r>
            <w:rPr>
              <w:sz w:val="28"/>
              <w:szCs w:val="28"/>
            </w:rPr>
            <w:tab/>
          </w:r>
          <w:r>
            <w:rPr>
              <w:sz w:val="28"/>
              <w:szCs w:val="28"/>
            </w:rPr>
            <w:fldChar w:fldCharType="begin"/>
          </w:r>
          <w:r>
            <w:rPr>
              <w:sz w:val="28"/>
              <w:szCs w:val="28"/>
            </w:rPr>
            <w:instrText xml:space="preserve"> PAGEREF _Toc127013433 \h </w:instrText>
          </w:r>
          <w:r>
            <w:rPr>
              <w:sz w:val="28"/>
              <w:szCs w:val="28"/>
            </w:rPr>
            <w:fldChar w:fldCharType="separate"/>
          </w:r>
          <w:r>
            <w:rPr>
              <w:sz w:val="28"/>
              <w:szCs w:val="28"/>
            </w:rPr>
            <w:t>3</w:t>
          </w:r>
          <w:r>
            <w:rPr>
              <w:sz w:val="28"/>
              <w:szCs w:val="28"/>
            </w:rPr>
            <w:fldChar w:fldCharType="end"/>
          </w:r>
          <w:r>
            <w:rPr>
              <w:rStyle w:val="10"/>
              <w:sz w:val="28"/>
              <w:szCs w:val="28"/>
            </w:rPr>
            <w:fldChar w:fldCharType="end"/>
          </w:r>
        </w:p>
        <w:p>
          <w:pPr>
            <w:pStyle w:val="6"/>
            <w:tabs>
              <w:tab w:val="right" w:leader="dot" w:pos="8296"/>
            </w:tabs>
            <w:spacing w:line="360" w:lineRule="auto"/>
            <w:rPr>
              <w:sz w:val="28"/>
              <w:szCs w:val="28"/>
            </w:rPr>
          </w:pPr>
          <w:r>
            <w:rPr>
              <w:rStyle w:val="10"/>
              <w:sz w:val="28"/>
              <w:szCs w:val="28"/>
            </w:rPr>
            <w:fldChar w:fldCharType="begin"/>
          </w:r>
          <w:r>
            <w:rPr>
              <w:rStyle w:val="10"/>
              <w:sz w:val="28"/>
              <w:szCs w:val="28"/>
            </w:rPr>
            <w:instrText xml:space="preserve"> </w:instrText>
          </w:r>
          <w:r>
            <w:rPr>
              <w:sz w:val="28"/>
              <w:szCs w:val="28"/>
            </w:rPr>
            <w:instrText xml:space="preserve">HYPERLINK \l "_Toc127013434"</w:instrText>
          </w:r>
          <w:r>
            <w:rPr>
              <w:rStyle w:val="10"/>
              <w:sz w:val="28"/>
              <w:szCs w:val="28"/>
            </w:rPr>
            <w:instrText xml:space="preserve"> </w:instrText>
          </w:r>
          <w:r>
            <w:rPr>
              <w:rStyle w:val="10"/>
              <w:sz w:val="28"/>
              <w:szCs w:val="28"/>
            </w:rPr>
            <w:fldChar w:fldCharType="separate"/>
          </w:r>
          <w:r>
            <w:rPr>
              <w:rStyle w:val="10"/>
              <w:rFonts w:hint="eastAsia" w:ascii="仿宋" w:hAnsi="仿宋" w:eastAsia="仿宋" w:cs="仿宋"/>
              <w:b/>
              <w:sz w:val="28"/>
              <w:szCs w:val="28"/>
            </w:rPr>
            <w:t>（四）代谢活化系统的选择原则</w:t>
          </w:r>
          <w:r>
            <w:rPr>
              <w:sz w:val="28"/>
              <w:szCs w:val="28"/>
            </w:rPr>
            <w:tab/>
          </w:r>
          <w:r>
            <w:rPr>
              <w:sz w:val="28"/>
              <w:szCs w:val="28"/>
            </w:rPr>
            <w:fldChar w:fldCharType="begin"/>
          </w:r>
          <w:r>
            <w:rPr>
              <w:sz w:val="28"/>
              <w:szCs w:val="28"/>
            </w:rPr>
            <w:instrText xml:space="preserve"> PAGEREF _Toc127013434 \h </w:instrText>
          </w:r>
          <w:r>
            <w:rPr>
              <w:sz w:val="28"/>
              <w:szCs w:val="28"/>
            </w:rPr>
            <w:fldChar w:fldCharType="separate"/>
          </w:r>
          <w:r>
            <w:rPr>
              <w:sz w:val="28"/>
              <w:szCs w:val="28"/>
            </w:rPr>
            <w:t>3</w:t>
          </w:r>
          <w:r>
            <w:rPr>
              <w:sz w:val="28"/>
              <w:szCs w:val="28"/>
            </w:rPr>
            <w:fldChar w:fldCharType="end"/>
          </w:r>
          <w:r>
            <w:rPr>
              <w:rStyle w:val="10"/>
              <w:sz w:val="28"/>
              <w:szCs w:val="28"/>
            </w:rPr>
            <w:fldChar w:fldCharType="end"/>
          </w:r>
        </w:p>
        <w:p>
          <w:pPr>
            <w:pStyle w:val="6"/>
            <w:tabs>
              <w:tab w:val="right" w:leader="dot" w:pos="8296"/>
            </w:tabs>
            <w:spacing w:line="360" w:lineRule="auto"/>
            <w:rPr>
              <w:sz w:val="28"/>
              <w:szCs w:val="28"/>
            </w:rPr>
          </w:pPr>
          <w:r>
            <w:rPr>
              <w:rStyle w:val="10"/>
              <w:sz w:val="28"/>
              <w:szCs w:val="28"/>
            </w:rPr>
            <w:fldChar w:fldCharType="begin"/>
          </w:r>
          <w:r>
            <w:rPr>
              <w:rStyle w:val="10"/>
              <w:sz w:val="28"/>
              <w:szCs w:val="28"/>
            </w:rPr>
            <w:instrText xml:space="preserve"> </w:instrText>
          </w:r>
          <w:r>
            <w:rPr>
              <w:sz w:val="28"/>
              <w:szCs w:val="28"/>
            </w:rPr>
            <w:instrText xml:space="preserve">HYPERLINK \l "_Toc127013435"</w:instrText>
          </w:r>
          <w:r>
            <w:rPr>
              <w:rStyle w:val="10"/>
              <w:sz w:val="28"/>
              <w:szCs w:val="28"/>
            </w:rPr>
            <w:instrText xml:space="preserve"> </w:instrText>
          </w:r>
          <w:r>
            <w:rPr>
              <w:rStyle w:val="10"/>
              <w:sz w:val="28"/>
              <w:szCs w:val="28"/>
            </w:rPr>
            <w:fldChar w:fldCharType="separate"/>
          </w:r>
          <w:r>
            <w:rPr>
              <w:rStyle w:val="10"/>
              <w:rFonts w:hint="eastAsia" w:ascii="仿宋" w:hAnsi="仿宋" w:eastAsia="仿宋" w:cs="仿宋"/>
              <w:b/>
              <w:sz w:val="28"/>
              <w:szCs w:val="28"/>
            </w:rPr>
            <w:t>（五）受试物剂量的设计原则</w:t>
          </w:r>
          <w:r>
            <w:rPr>
              <w:sz w:val="28"/>
              <w:szCs w:val="28"/>
            </w:rPr>
            <w:tab/>
          </w:r>
          <w:r>
            <w:rPr>
              <w:sz w:val="28"/>
              <w:szCs w:val="28"/>
            </w:rPr>
            <w:fldChar w:fldCharType="begin"/>
          </w:r>
          <w:r>
            <w:rPr>
              <w:sz w:val="28"/>
              <w:szCs w:val="28"/>
            </w:rPr>
            <w:instrText xml:space="preserve"> PAGEREF _Toc127013435 \h </w:instrText>
          </w:r>
          <w:r>
            <w:rPr>
              <w:sz w:val="28"/>
              <w:szCs w:val="28"/>
            </w:rPr>
            <w:fldChar w:fldCharType="separate"/>
          </w:r>
          <w:r>
            <w:rPr>
              <w:sz w:val="28"/>
              <w:szCs w:val="28"/>
            </w:rPr>
            <w:t>4</w:t>
          </w:r>
          <w:r>
            <w:rPr>
              <w:sz w:val="28"/>
              <w:szCs w:val="28"/>
            </w:rPr>
            <w:fldChar w:fldCharType="end"/>
          </w:r>
          <w:r>
            <w:rPr>
              <w:rStyle w:val="10"/>
              <w:sz w:val="28"/>
              <w:szCs w:val="28"/>
            </w:rPr>
            <w:fldChar w:fldCharType="end"/>
          </w:r>
        </w:p>
        <w:p>
          <w:pPr>
            <w:pStyle w:val="6"/>
            <w:tabs>
              <w:tab w:val="right" w:leader="dot" w:pos="8296"/>
            </w:tabs>
            <w:spacing w:line="360" w:lineRule="auto"/>
            <w:rPr>
              <w:sz w:val="28"/>
              <w:szCs w:val="28"/>
            </w:rPr>
          </w:pPr>
          <w:r>
            <w:rPr>
              <w:rStyle w:val="10"/>
              <w:sz w:val="28"/>
              <w:szCs w:val="28"/>
            </w:rPr>
            <w:fldChar w:fldCharType="begin"/>
          </w:r>
          <w:r>
            <w:rPr>
              <w:rStyle w:val="10"/>
              <w:sz w:val="28"/>
              <w:szCs w:val="28"/>
            </w:rPr>
            <w:instrText xml:space="preserve"> </w:instrText>
          </w:r>
          <w:r>
            <w:rPr>
              <w:sz w:val="28"/>
              <w:szCs w:val="28"/>
            </w:rPr>
            <w:instrText xml:space="preserve">HYPERLINK \l "_Toc127013436"</w:instrText>
          </w:r>
          <w:r>
            <w:rPr>
              <w:rStyle w:val="10"/>
              <w:sz w:val="28"/>
              <w:szCs w:val="28"/>
            </w:rPr>
            <w:instrText xml:space="preserve"> </w:instrText>
          </w:r>
          <w:r>
            <w:rPr>
              <w:rStyle w:val="10"/>
              <w:sz w:val="28"/>
              <w:szCs w:val="28"/>
            </w:rPr>
            <w:fldChar w:fldCharType="separate"/>
          </w:r>
          <w:r>
            <w:rPr>
              <w:rStyle w:val="10"/>
              <w:rFonts w:hint="eastAsia" w:ascii="仿宋" w:hAnsi="仿宋" w:eastAsia="仿宋" w:cs="仿宋"/>
              <w:b/>
              <w:sz w:val="28"/>
              <w:szCs w:val="28"/>
            </w:rPr>
            <w:t>（六）试验设计</w:t>
          </w:r>
          <w:r>
            <w:rPr>
              <w:sz w:val="28"/>
              <w:szCs w:val="28"/>
            </w:rPr>
            <w:tab/>
          </w:r>
          <w:r>
            <w:rPr>
              <w:sz w:val="28"/>
              <w:szCs w:val="28"/>
            </w:rPr>
            <w:fldChar w:fldCharType="begin"/>
          </w:r>
          <w:r>
            <w:rPr>
              <w:sz w:val="28"/>
              <w:szCs w:val="28"/>
            </w:rPr>
            <w:instrText xml:space="preserve"> PAGEREF _Toc127013436 \h </w:instrText>
          </w:r>
          <w:r>
            <w:rPr>
              <w:sz w:val="28"/>
              <w:szCs w:val="28"/>
            </w:rPr>
            <w:fldChar w:fldCharType="separate"/>
          </w:r>
          <w:r>
            <w:rPr>
              <w:sz w:val="28"/>
              <w:szCs w:val="28"/>
            </w:rPr>
            <w:t>5</w:t>
          </w:r>
          <w:r>
            <w:rPr>
              <w:sz w:val="28"/>
              <w:szCs w:val="28"/>
            </w:rPr>
            <w:fldChar w:fldCharType="end"/>
          </w:r>
          <w:r>
            <w:rPr>
              <w:rStyle w:val="10"/>
              <w:sz w:val="28"/>
              <w:szCs w:val="28"/>
            </w:rPr>
            <w:fldChar w:fldCharType="end"/>
          </w:r>
        </w:p>
        <w:p>
          <w:pPr>
            <w:pStyle w:val="5"/>
            <w:tabs>
              <w:tab w:val="right" w:leader="dot" w:pos="8296"/>
            </w:tabs>
            <w:spacing w:line="360" w:lineRule="auto"/>
            <w:rPr>
              <w:sz w:val="28"/>
              <w:szCs w:val="28"/>
            </w:rPr>
          </w:pPr>
          <w:r>
            <w:rPr>
              <w:rStyle w:val="10"/>
              <w:sz w:val="28"/>
              <w:szCs w:val="28"/>
            </w:rPr>
            <w:fldChar w:fldCharType="begin"/>
          </w:r>
          <w:r>
            <w:rPr>
              <w:rStyle w:val="10"/>
              <w:sz w:val="28"/>
              <w:szCs w:val="28"/>
            </w:rPr>
            <w:instrText xml:space="preserve"> </w:instrText>
          </w:r>
          <w:r>
            <w:rPr>
              <w:sz w:val="28"/>
              <w:szCs w:val="28"/>
            </w:rPr>
            <w:instrText xml:space="preserve">HYPERLINK \l "_Toc127013437"</w:instrText>
          </w:r>
          <w:r>
            <w:rPr>
              <w:rStyle w:val="10"/>
              <w:sz w:val="28"/>
              <w:szCs w:val="28"/>
            </w:rPr>
            <w:instrText xml:space="preserve"> </w:instrText>
          </w:r>
          <w:r>
            <w:rPr>
              <w:rStyle w:val="10"/>
              <w:sz w:val="28"/>
              <w:szCs w:val="28"/>
            </w:rPr>
            <w:fldChar w:fldCharType="separate"/>
          </w:r>
          <w:r>
            <w:rPr>
              <w:rStyle w:val="10"/>
              <w:rFonts w:hint="eastAsia" w:ascii="黑体" w:hAnsi="黑体" w:eastAsia="黑体" w:cs="黑体"/>
              <w:bCs/>
              <w:sz w:val="28"/>
              <w:szCs w:val="28"/>
            </w:rPr>
            <w:t>四、结果分析与评价</w:t>
          </w:r>
          <w:r>
            <w:rPr>
              <w:sz w:val="28"/>
              <w:szCs w:val="28"/>
            </w:rPr>
            <w:tab/>
          </w:r>
          <w:r>
            <w:rPr>
              <w:sz w:val="28"/>
              <w:szCs w:val="28"/>
            </w:rPr>
            <w:fldChar w:fldCharType="begin"/>
          </w:r>
          <w:r>
            <w:rPr>
              <w:sz w:val="28"/>
              <w:szCs w:val="28"/>
            </w:rPr>
            <w:instrText xml:space="preserve"> PAGEREF _Toc127013437 \h </w:instrText>
          </w:r>
          <w:r>
            <w:rPr>
              <w:sz w:val="28"/>
              <w:szCs w:val="28"/>
            </w:rPr>
            <w:fldChar w:fldCharType="separate"/>
          </w:r>
          <w:r>
            <w:rPr>
              <w:sz w:val="28"/>
              <w:szCs w:val="28"/>
            </w:rPr>
            <w:t>6</w:t>
          </w:r>
          <w:r>
            <w:rPr>
              <w:sz w:val="28"/>
              <w:szCs w:val="28"/>
            </w:rPr>
            <w:fldChar w:fldCharType="end"/>
          </w:r>
          <w:r>
            <w:rPr>
              <w:rStyle w:val="10"/>
              <w:sz w:val="28"/>
              <w:szCs w:val="28"/>
            </w:rPr>
            <w:fldChar w:fldCharType="end"/>
          </w:r>
        </w:p>
        <w:p>
          <w:pPr>
            <w:pStyle w:val="6"/>
            <w:tabs>
              <w:tab w:val="right" w:leader="dot" w:pos="8296"/>
            </w:tabs>
            <w:spacing w:line="360" w:lineRule="auto"/>
            <w:rPr>
              <w:sz w:val="28"/>
              <w:szCs w:val="28"/>
            </w:rPr>
          </w:pPr>
          <w:r>
            <w:rPr>
              <w:rStyle w:val="10"/>
              <w:sz w:val="28"/>
              <w:szCs w:val="28"/>
            </w:rPr>
            <w:fldChar w:fldCharType="begin"/>
          </w:r>
          <w:r>
            <w:rPr>
              <w:rStyle w:val="10"/>
              <w:sz w:val="28"/>
              <w:szCs w:val="28"/>
            </w:rPr>
            <w:instrText xml:space="preserve"> </w:instrText>
          </w:r>
          <w:r>
            <w:rPr>
              <w:sz w:val="28"/>
              <w:szCs w:val="28"/>
            </w:rPr>
            <w:instrText xml:space="preserve">HYPERLINK \l "_Toc127013438"</w:instrText>
          </w:r>
          <w:r>
            <w:rPr>
              <w:rStyle w:val="10"/>
              <w:sz w:val="28"/>
              <w:szCs w:val="28"/>
            </w:rPr>
            <w:instrText xml:space="preserve"> </w:instrText>
          </w:r>
          <w:r>
            <w:rPr>
              <w:rStyle w:val="10"/>
              <w:sz w:val="28"/>
              <w:szCs w:val="28"/>
            </w:rPr>
            <w:fldChar w:fldCharType="separate"/>
          </w:r>
          <w:r>
            <w:rPr>
              <w:rStyle w:val="10"/>
              <w:rFonts w:hint="eastAsia" w:ascii="仿宋" w:hAnsi="仿宋" w:eastAsia="仿宋" w:cs="仿宋"/>
              <w:b/>
              <w:sz w:val="28"/>
              <w:szCs w:val="28"/>
            </w:rPr>
            <w:t>（一）结果分析</w:t>
          </w:r>
          <w:r>
            <w:rPr>
              <w:sz w:val="28"/>
              <w:szCs w:val="28"/>
            </w:rPr>
            <w:tab/>
          </w:r>
          <w:r>
            <w:rPr>
              <w:sz w:val="28"/>
              <w:szCs w:val="28"/>
            </w:rPr>
            <w:fldChar w:fldCharType="begin"/>
          </w:r>
          <w:r>
            <w:rPr>
              <w:sz w:val="28"/>
              <w:szCs w:val="28"/>
            </w:rPr>
            <w:instrText xml:space="preserve"> PAGEREF _Toc127013438 \h </w:instrText>
          </w:r>
          <w:r>
            <w:rPr>
              <w:sz w:val="28"/>
              <w:szCs w:val="28"/>
            </w:rPr>
            <w:fldChar w:fldCharType="separate"/>
          </w:r>
          <w:r>
            <w:rPr>
              <w:sz w:val="28"/>
              <w:szCs w:val="28"/>
            </w:rPr>
            <w:t>6</w:t>
          </w:r>
          <w:r>
            <w:rPr>
              <w:sz w:val="28"/>
              <w:szCs w:val="28"/>
            </w:rPr>
            <w:fldChar w:fldCharType="end"/>
          </w:r>
          <w:r>
            <w:rPr>
              <w:rStyle w:val="10"/>
              <w:sz w:val="28"/>
              <w:szCs w:val="28"/>
            </w:rPr>
            <w:fldChar w:fldCharType="end"/>
          </w:r>
        </w:p>
        <w:p>
          <w:pPr>
            <w:pStyle w:val="6"/>
            <w:tabs>
              <w:tab w:val="right" w:leader="dot" w:pos="8296"/>
            </w:tabs>
            <w:spacing w:line="360" w:lineRule="auto"/>
            <w:rPr>
              <w:sz w:val="28"/>
              <w:szCs w:val="28"/>
            </w:rPr>
          </w:pPr>
          <w:r>
            <w:rPr>
              <w:rStyle w:val="10"/>
              <w:sz w:val="28"/>
              <w:szCs w:val="28"/>
            </w:rPr>
            <w:fldChar w:fldCharType="begin"/>
          </w:r>
          <w:r>
            <w:rPr>
              <w:rStyle w:val="10"/>
              <w:sz w:val="28"/>
              <w:szCs w:val="28"/>
            </w:rPr>
            <w:instrText xml:space="preserve"> </w:instrText>
          </w:r>
          <w:r>
            <w:rPr>
              <w:sz w:val="28"/>
              <w:szCs w:val="28"/>
            </w:rPr>
            <w:instrText xml:space="preserve">HYPERLINK \l "_Toc127013439"</w:instrText>
          </w:r>
          <w:r>
            <w:rPr>
              <w:rStyle w:val="10"/>
              <w:sz w:val="28"/>
              <w:szCs w:val="28"/>
            </w:rPr>
            <w:instrText xml:space="preserve"> </w:instrText>
          </w:r>
          <w:r>
            <w:rPr>
              <w:rStyle w:val="10"/>
              <w:sz w:val="28"/>
              <w:szCs w:val="28"/>
            </w:rPr>
            <w:fldChar w:fldCharType="separate"/>
          </w:r>
          <w:r>
            <w:rPr>
              <w:rStyle w:val="10"/>
              <w:rFonts w:hint="eastAsia" w:ascii="仿宋" w:hAnsi="仿宋" w:eastAsia="仿宋" w:cs="仿宋"/>
              <w:b/>
              <w:sz w:val="28"/>
              <w:szCs w:val="28"/>
            </w:rPr>
            <w:t>（二）结果确认</w:t>
          </w:r>
          <w:r>
            <w:rPr>
              <w:sz w:val="28"/>
              <w:szCs w:val="28"/>
            </w:rPr>
            <w:tab/>
          </w:r>
          <w:r>
            <w:rPr>
              <w:sz w:val="28"/>
              <w:szCs w:val="28"/>
            </w:rPr>
            <w:fldChar w:fldCharType="begin"/>
          </w:r>
          <w:r>
            <w:rPr>
              <w:sz w:val="28"/>
              <w:szCs w:val="28"/>
            </w:rPr>
            <w:instrText xml:space="preserve"> PAGEREF _Toc127013439 \h </w:instrText>
          </w:r>
          <w:r>
            <w:rPr>
              <w:sz w:val="28"/>
              <w:szCs w:val="28"/>
            </w:rPr>
            <w:fldChar w:fldCharType="separate"/>
          </w:r>
          <w:r>
            <w:rPr>
              <w:sz w:val="28"/>
              <w:szCs w:val="28"/>
            </w:rPr>
            <w:t>7</w:t>
          </w:r>
          <w:r>
            <w:rPr>
              <w:sz w:val="28"/>
              <w:szCs w:val="28"/>
            </w:rPr>
            <w:fldChar w:fldCharType="end"/>
          </w:r>
          <w:r>
            <w:rPr>
              <w:rStyle w:val="10"/>
              <w:sz w:val="28"/>
              <w:szCs w:val="28"/>
            </w:rPr>
            <w:fldChar w:fldCharType="end"/>
          </w:r>
        </w:p>
        <w:p>
          <w:pPr>
            <w:pStyle w:val="6"/>
            <w:tabs>
              <w:tab w:val="right" w:leader="dot" w:pos="8296"/>
            </w:tabs>
            <w:spacing w:line="360" w:lineRule="auto"/>
            <w:rPr>
              <w:sz w:val="28"/>
              <w:szCs w:val="28"/>
            </w:rPr>
          </w:pPr>
          <w:r>
            <w:rPr>
              <w:rStyle w:val="10"/>
              <w:sz w:val="28"/>
              <w:szCs w:val="28"/>
            </w:rPr>
            <w:fldChar w:fldCharType="begin"/>
          </w:r>
          <w:r>
            <w:rPr>
              <w:rStyle w:val="10"/>
              <w:sz w:val="28"/>
              <w:szCs w:val="28"/>
            </w:rPr>
            <w:instrText xml:space="preserve"> </w:instrText>
          </w:r>
          <w:r>
            <w:rPr>
              <w:sz w:val="28"/>
              <w:szCs w:val="28"/>
            </w:rPr>
            <w:instrText xml:space="preserve">HYPERLINK \l "_Toc127013440"</w:instrText>
          </w:r>
          <w:r>
            <w:rPr>
              <w:rStyle w:val="10"/>
              <w:sz w:val="28"/>
              <w:szCs w:val="28"/>
            </w:rPr>
            <w:instrText xml:space="preserve"> </w:instrText>
          </w:r>
          <w:r>
            <w:rPr>
              <w:rStyle w:val="10"/>
              <w:sz w:val="28"/>
              <w:szCs w:val="28"/>
            </w:rPr>
            <w:fldChar w:fldCharType="separate"/>
          </w:r>
          <w:r>
            <w:rPr>
              <w:rStyle w:val="10"/>
              <w:rFonts w:hint="eastAsia" w:ascii="仿宋" w:hAnsi="仿宋" w:eastAsia="仿宋" w:cs="仿宋"/>
              <w:b/>
              <w:sz w:val="28"/>
              <w:szCs w:val="28"/>
            </w:rPr>
            <w:t>（三）结果评价</w:t>
          </w:r>
          <w:r>
            <w:rPr>
              <w:sz w:val="28"/>
              <w:szCs w:val="28"/>
            </w:rPr>
            <w:tab/>
          </w:r>
          <w:r>
            <w:rPr>
              <w:sz w:val="28"/>
              <w:szCs w:val="28"/>
            </w:rPr>
            <w:fldChar w:fldCharType="begin"/>
          </w:r>
          <w:r>
            <w:rPr>
              <w:sz w:val="28"/>
              <w:szCs w:val="28"/>
            </w:rPr>
            <w:instrText xml:space="preserve"> PAGEREF _Toc127013440 \h </w:instrText>
          </w:r>
          <w:r>
            <w:rPr>
              <w:sz w:val="28"/>
              <w:szCs w:val="28"/>
            </w:rPr>
            <w:fldChar w:fldCharType="separate"/>
          </w:r>
          <w:r>
            <w:rPr>
              <w:sz w:val="28"/>
              <w:szCs w:val="28"/>
            </w:rPr>
            <w:t>7</w:t>
          </w:r>
          <w:r>
            <w:rPr>
              <w:sz w:val="28"/>
              <w:szCs w:val="28"/>
            </w:rPr>
            <w:fldChar w:fldCharType="end"/>
          </w:r>
          <w:r>
            <w:rPr>
              <w:rStyle w:val="10"/>
              <w:sz w:val="28"/>
              <w:szCs w:val="28"/>
            </w:rPr>
            <w:fldChar w:fldCharType="end"/>
          </w:r>
        </w:p>
        <w:p>
          <w:pPr>
            <w:pStyle w:val="5"/>
            <w:tabs>
              <w:tab w:val="right" w:leader="dot" w:pos="8296"/>
            </w:tabs>
            <w:spacing w:line="360" w:lineRule="auto"/>
            <w:rPr>
              <w:sz w:val="28"/>
              <w:szCs w:val="28"/>
            </w:rPr>
          </w:pPr>
          <w:r>
            <w:rPr>
              <w:rStyle w:val="10"/>
              <w:sz w:val="28"/>
              <w:szCs w:val="28"/>
            </w:rPr>
            <w:fldChar w:fldCharType="begin"/>
          </w:r>
          <w:r>
            <w:rPr>
              <w:rStyle w:val="10"/>
              <w:sz w:val="28"/>
              <w:szCs w:val="28"/>
            </w:rPr>
            <w:instrText xml:space="preserve"> </w:instrText>
          </w:r>
          <w:r>
            <w:rPr>
              <w:sz w:val="28"/>
              <w:szCs w:val="28"/>
            </w:rPr>
            <w:instrText xml:space="preserve">HYPERLINK \l "_Toc127013441"</w:instrText>
          </w:r>
          <w:r>
            <w:rPr>
              <w:rStyle w:val="10"/>
              <w:sz w:val="28"/>
              <w:szCs w:val="28"/>
            </w:rPr>
            <w:instrText xml:space="preserve"> </w:instrText>
          </w:r>
          <w:r>
            <w:rPr>
              <w:rStyle w:val="10"/>
              <w:sz w:val="28"/>
              <w:szCs w:val="28"/>
            </w:rPr>
            <w:fldChar w:fldCharType="separate"/>
          </w:r>
          <w:r>
            <w:rPr>
              <w:rStyle w:val="10"/>
              <w:rFonts w:hint="eastAsia" w:ascii="黑体" w:hAnsi="黑体" w:eastAsia="黑体" w:cs="黑体"/>
              <w:bCs/>
              <w:sz w:val="28"/>
              <w:szCs w:val="28"/>
            </w:rPr>
            <w:t>五、参考文献</w:t>
          </w:r>
          <w:r>
            <w:rPr>
              <w:sz w:val="28"/>
              <w:szCs w:val="28"/>
            </w:rPr>
            <w:tab/>
          </w:r>
          <w:r>
            <w:rPr>
              <w:sz w:val="28"/>
              <w:szCs w:val="28"/>
            </w:rPr>
            <w:fldChar w:fldCharType="begin"/>
          </w:r>
          <w:r>
            <w:rPr>
              <w:sz w:val="28"/>
              <w:szCs w:val="28"/>
            </w:rPr>
            <w:instrText xml:space="preserve"> PAGEREF _Toc127013441 \h </w:instrText>
          </w:r>
          <w:r>
            <w:rPr>
              <w:sz w:val="28"/>
              <w:szCs w:val="28"/>
            </w:rPr>
            <w:fldChar w:fldCharType="separate"/>
          </w:r>
          <w:r>
            <w:rPr>
              <w:sz w:val="28"/>
              <w:szCs w:val="28"/>
            </w:rPr>
            <w:t>8</w:t>
          </w:r>
          <w:r>
            <w:rPr>
              <w:sz w:val="28"/>
              <w:szCs w:val="28"/>
            </w:rPr>
            <w:fldChar w:fldCharType="end"/>
          </w:r>
          <w:r>
            <w:rPr>
              <w:rStyle w:val="10"/>
              <w:sz w:val="28"/>
              <w:szCs w:val="28"/>
            </w:rPr>
            <w:fldChar w:fldCharType="end"/>
          </w:r>
        </w:p>
        <w:p>
          <w:pPr>
            <w:pStyle w:val="5"/>
            <w:tabs>
              <w:tab w:val="right" w:leader="dot" w:pos="8296"/>
            </w:tabs>
            <w:spacing w:line="360" w:lineRule="auto"/>
            <w:rPr>
              <w:sz w:val="28"/>
              <w:szCs w:val="28"/>
            </w:rPr>
          </w:pPr>
          <w:r>
            <w:rPr>
              <w:rStyle w:val="10"/>
              <w:sz w:val="28"/>
              <w:szCs w:val="28"/>
            </w:rPr>
            <w:fldChar w:fldCharType="begin"/>
          </w:r>
          <w:r>
            <w:rPr>
              <w:rStyle w:val="10"/>
              <w:sz w:val="28"/>
              <w:szCs w:val="28"/>
            </w:rPr>
            <w:instrText xml:space="preserve"> </w:instrText>
          </w:r>
          <w:r>
            <w:rPr>
              <w:sz w:val="28"/>
              <w:szCs w:val="28"/>
            </w:rPr>
            <w:instrText xml:space="preserve">HYPERLINK \l "_Toc127013442"</w:instrText>
          </w:r>
          <w:r>
            <w:rPr>
              <w:rStyle w:val="10"/>
              <w:sz w:val="28"/>
              <w:szCs w:val="28"/>
            </w:rPr>
            <w:instrText xml:space="preserve"> </w:instrText>
          </w:r>
          <w:r>
            <w:rPr>
              <w:rStyle w:val="10"/>
              <w:sz w:val="28"/>
              <w:szCs w:val="28"/>
            </w:rPr>
            <w:fldChar w:fldCharType="separate"/>
          </w:r>
          <w:r>
            <w:rPr>
              <w:rStyle w:val="10"/>
              <w:rFonts w:hint="eastAsia" w:ascii="黑体" w:hAnsi="黑体" w:eastAsia="黑体" w:cs="黑体"/>
              <w:bCs/>
              <w:sz w:val="28"/>
              <w:szCs w:val="28"/>
            </w:rPr>
            <w:t>六、术语和释义</w:t>
          </w:r>
          <w:r>
            <w:rPr>
              <w:sz w:val="28"/>
              <w:szCs w:val="28"/>
            </w:rPr>
            <w:tab/>
          </w:r>
          <w:r>
            <w:rPr>
              <w:sz w:val="28"/>
              <w:szCs w:val="28"/>
            </w:rPr>
            <w:fldChar w:fldCharType="begin"/>
          </w:r>
          <w:r>
            <w:rPr>
              <w:sz w:val="28"/>
              <w:szCs w:val="28"/>
            </w:rPr>
            <w:instrText xml:space="preserve"> PAGEREF _Toc127013442 \h </w:instrText>
          </w:r>
          <w:r>
            <w:rPr>
              <w:sz w:val="28"/>
              <w:szCs w:val="28"/>
            </w:rPr>
            <w:fldChar w:fldCharType="separate"/>
          </w:r>
          <w:r>
            <w:rPr>
              <w:sz w:val="28"/>
              <w:szCs w:val="28"/>
            </w:rPr>
            <w:t>8</w:t>
          </w:r>
          <w:r>
            <w:rPr>
              <w:sz w:val="28"/>
              <w:szCs w:val="28"/>
            </w:rPr>
            <w:fldChar w:fldCharType="end"/>
          </w:r>
          <w:r>
            <w:rPr>
              <w:rStyle w:val="10"/>
              <w:sz w:val="28"/>
              <w:szCs w:val="28"/>
            </w:rPr>
            <w:fldChar w:fldCharType="end"/>
          </w:r>
        </w:p>
        <w:p>
          <w:pPr>
            <w:pStyle w:val="5"/>
            <w:tabs>
              <w:tab w:val="right" w:leader="dot" w:pos="8296"/>
            </w:tabs>
            <w:spacing w:line="360" w:lineRule="auto"/>
          </w:pPr>
          <w:r>
            <w:rPr>
              <w:rStyle w:val="10"/>
              <w:sz w:val="28"/>
              <w:szCs w:val="28"/>
            </w:rPr>
            <w:fldChar w:fldCharType="begin"/>
          </w:r>
          <w:r>
            <w:rPr>
              <w:rStyle w:val="10"/>
              <w:sz w:val="28"/>
              <w:szCs w:val="28"/>
            </w:rPr>
            <w:instrText xml:space="preserve"> </w:instrText>
          </w:r>
          <w:r>
            <w:rPr>
              <w:sz w:val="28"/>
              <w:szCs w:val="28"/>
            </w:rPr>
            <w:instrText xml:space="preserve">HYPERLINK \l "_Toc127013443"</w:instrText>
          </w:r>
          <w:r>
            <w:rPr>
              <w:rStyle w:val="10"/>
              <w:sz w:val="28"/>
              <w:szCs w:val="28"/>
            </w:rPr>
            <w:instrText xml:space="preserve"> </w:instrText>
          </w:r>
          <w:r>
            <w:rPr>
              <w:rStyle w:val="10"/>
              <w:sz w:val="28"/>
              <w:szCs w:val="28"/>
            </w:rPr>
            <w:fldChar w:fldCharType="separate"/>
          </w:r>
          <w:r>
            <w:rPr>
              <w:rStyle w:val="10"/>
              <w:rFonts w:hint="eastAsia" w:ascii="黑体" w:hAnsi="黑体" w:eastAsia="黑体" w:cs="黑体"/>
              <w:bCs/>
              <w:sz w:val="28"/>
              <w:szCs w:val="28"/>
            </w:rPr>
            <w:t>六、附录</w:t>
          </w:r>
          <w:r>
            <w:rPr>
              <w:sz w:val="28"/>
              <w:szCs w:val="28"/>
            </w:rPr>
            <w:tab/>
          </w:r>
          <w:r>
            <w:rPr>
              <w:sz w:val="28"/>
              <w:szCs w:val="28"/>
            </w:rPr>
            <w:fldChar w:fldCharType="begin"/>
          </w:r>
          <w:r>
            <w:rPr>
              <w:sz w:val="28"/>
              <w:szCs w:val="28"/>
            </w:rPr>
            <w:instrText xml:space="preserve"> PAGEREF _Toc127013443 \h </w:instrText>
          </w:r>
          <w:r>
            <w:rPr>
              <w:sz w:val="28"/>
              <w:szCs w:val="28"/>
            </w:rPr>
            <w:fldChar w:fldCharType="separate"/>
          </w:r>
          <w:r>
            <w:rPr>
              <w:sz w:val="28"/>
              <w:szCs w:val="28"/>
            </w:rPr>
            <w:t>9</w:t>
          </w:r>
          <w:r>
            <w:rPr>
              <w:sz w:val="28"/>
              <w:szCs w:val="28"/>
            </w:rPr>
            <w:fldChar w:fldCharType="end"/>
          </w:r>
          <w:r>
            <w:rPr>
              <w:rStyle w:val="10"/>
              <w:sz w:val="28"/>
              <w:szCs w:val="28"/>
            </w:rPr>
            <w:fldChar w:fldCharType="end"/>
          </w:r>
        </w:p>
        <w:p>
          <w:pPr>
            <w:pStyle w:val="6"/>
            <w:tabs>
              <w:tab w:val="right" w:leader="dot" w:pos="8306"/>
            </w:tabs>
            <w:spacing w:line="312" w:lineRule="auto"/>
            <w:rPr>
              <w:rFonts w:ascii="黑体" w:hAnsi="黑体" w:eastAsia="黑体" w:cs="黑体"/>
              <w:b/>
              <w:bCs/>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ascii="黑体" w:hAnsi="黑体" w:eastAsia="黑体"/>
              <w:sz w:val="32"/>
              <w:szCs w:val="32"/>
            </w:rPr>
            <w:fldChar w:fldCharType="end"/>
          </w:r>
        </w:p>
      </w:sdtContent>
    </w:sdt>
    <w:p>
      <w:pPr>
        <w:pStyle w:val="14"/>
        <w:ind w:left="720" w:firstLine="0" w:firstLineChars="0"/>
        <w:outlineLvl w:val="0"/>
        <w:rPr>
          <w:rFonts w:ascii="黑体" w:hAnsi="黑体" w:eastAsia="黑体" w:cs="黑体"/>
          <w:bCs/>
          <w:sz w:val="32"/>
          <w:szCs w:val="32"/>
        </w:rPr>
      </w:pPr>
      <w:bookmarkStart w:id="0" w:name="_Toc127013428"/>
      <w:r>
        <w:rPr>
          <w:rFonts w:hint="eastAsia" w:ascii="黑体" w:hAnsi="黑体" w:eastAsia="黑体" w:cs="黑体"/>
          <w:bCs/>
          <w:sz w:val="32"/>
          <w:szCs w:val="32"/>
        </w:rPr>
        <w:t>一、概述</w:t>
      </w:r>
      <w:bookmarkEnd w:id="0"/>
    </w:p>
    <w:p>
      <w:pPr>
        <w:pStyle w:val="13"/>
        <w:ind w:firstLine="640" w:firstLineChars="200"/>
        <w:jc w:val="both"/>
        <w:rPr>
          <w:rFonts w:ascii="仿宋" w:hAnsi="仿宋" w:eastAsia="仿宋" w:cs="仿宋"/>
          <w:color w:val="auto"/>
          <w:kern w:val="2"/>
          <w:sz w:val="32"/>
          <w:szCs w:val="32"/>
        </w:rPr>
      </w:pPr>
      <w:r>
        <w:rPr>
          <w:rFonts w:hint="eastAsia" w:ascii="仿宋" w:hAnsi="仿宋" w:eastAsia="仿宋" w:cs="仿宋"/>
          <w:sz w:val="32"/>
          <w:szCs w:val="32"/>
        </w:rPr>
        <w:t>体外哺乳动物细胞染色体畸变试验是评价受试物是否具有遗传毒性的一项体外试验，能够检测受试物是否引起哺乳动物细胞染色体结构畸变。该试验可使用已建立的细胞株或细胞系，也可使用原代培养细胞。</w:t>
      </w:r>
      <w:r>
        <w:rPr>
          <w:rFonts w:hint="eastAsia" w:ascii="仿宋" w:hAnsi="仿宋" w:eastAsia="仿宋" w:cs="仿宋"/>
          <w:color w:val="auto"/>
          <w:kern w:val="2"/>
          <w:sz w:val="32"/>
          <w:szCs w:val="32"/>
        </w:rPr>
        <w:t>在加入和不加入外源代谢活化系统的条件下，使培养的哺乳动物细胞暴露于受试物中，应用中期分裂相阻断剂处理，使细胞停止在中期分裂相，随后收获细胞、制片和染色后，分析细胞染色体畸变，从而检测受试物是否具有致突变性。</w:t>
      </w:r>
    </w:p>
    <w:p>
      <w:pPr>
        <w:ind w:firstLine="600"/>
        <w:rPr>
          <w:rFonts w:ascii="仿宋" w:hAnsi="仿宋" w:eastAsia="仿宋"/>
          <w:bCs/>
          <w:color w:val="000000" w:themeColor="text1"/>
          <w:kern w:val="0"/>
          <w:sz w:val="32"/>
          <w:szCs w:val="32"/>
          <w14:textFill>
            <w14:solidFill>
              <w14:schemeClr w14:val="tx1"/>
            </w14:solidFill>
          </w14:textFill>
        </w:rPr>
      </w:pPr>
      <w:r>
        <w:rPr>
          <w:rFonts w:hint="eastAsia" w:ascii="仿宋" w:hAnsi="仿宋" w:eastAsia="仿宋" w:cs="仿宋"/>
          <w:sz w:val="32"/>
          <w:szCs w:val="32"/>
        </w:rPr>
        <w:t>本指导原则依据《化妆品安全技术规范》《化妆品注册和备案检验工作规范》《化妆品注册备案资料管理规定》《化妆品新原料注册备案资料管理规定》等相关要求，并参考国内外相关指南制定。</w:t>
      </w:r>
      <w:r>
        <w:rPr>
          <w:rFonts w:hint="eastAsia" w:ascii="仿宋" w:hAnsi="仿宋" w:eastAsia="仿宋"/>
          <w:bCs/>
          <w:color w:val="000000" w:themeColor="text1"/>
          <w:kern w:val="0"/>
          <w:sz w:val="32"/>
          <w:szCs w:val="32"/>
          <w14:textFill>
            <w14:solidFill>
              <w14:schemeClr w14:val="tx1"/>
            </w14:solidFill>
          </w14:textFill>
        </w:rPr>
        <w:t>本指导原则适用于化妆品和新原料的研究及安全评估。</w:t>
      </w:r>
    </w:p>
    <w:p>
      <w:pPr>
        <w:spacing w:line="360" w:lineRule="auto"/>
        <w:ind w:firstLine="627" w:firstLineChars="196"/>
        <w:rPr>
          <w:rFonts w:ascii="仿宋" w:hAnsi="仿宋" w:eastAsia="仿宋" w:cs="仿宋"/>
          <w:sz w:val="32"/>
          <w:szCs w:val="32"/>
        </w:rPr>
      </w:pPr>
      <w:r>
        <w:rPr>
          <w:rFonts w:hint="eastAsia" w:ascii="仿宋" w:hAnsi="仿宋" w:eastAsia="仿宋"/>
          <w:bCs/>
          <w:color w:val="000000" w:themeColor="text1"/>
          <w:kern w:val="0"/>
          <w:sz w:val="32"/>
          <w:szCs w:val="32"/>
          <w14:textFill>
            <w14:solidFill>
              <w14:schemeClr w14:val="tx1"/>
            </w14:solidFill>
          </w14:textFill>
        </w:rPr>
        <w:t>本指导原则是在现行法规和标准以及当前科学认知水平下制定的，随着法规和标准的更新完善，以及科学技术的发展，将适时进行调整。</w:t>
      </w:r>
    </w:p>
    <w:p>
      <w:pPr>
        <w:ind w:firstLine="601"/>
        <w:outlineLvl w:val="0"/>
        <w:rPr>
          <w:rFonts w:ascii="黑体" w:hAnsi="黑体" w:eastAsia="黑体" w:cs="黑体"/>
          <w:bCs/>
          <w:sz w:val="32"/>
          <w:szCs w:val="32"/>
        </w:rPr>
      </w:pPr>
      <w:bookmarkStart w:id="1" w:name="_Toc127013429"/>
      <w:r>
        <w:rPr>
          <w:rFonts w:hint="eastAsia" w:ascii="黑体" w:hAnsi="黑体" w:eastAsia="黑体" w:cs="黑体"/>
          <w:bCs/>
          <w:sz w:val="32"/>
          <w:szCs w:val="32"/>
        </w:rPr>
        <w:t>二、基本原则</w:t>
      </w:r>
      <w:bookmarkEnd w:id="1"/>
    </w:p>
    <w:p>
      <w:pPr>
        <w:pStyle w:val="14"/>
        <w:overflowPunct w:val="0"/>
        <w:adjustRightInd w:val="0"/>
        <w:snapToGrid w:val="0"/>
        <w:spacing w:line="360" w:lineRule="auto"/>
        <w:ind w:firstLine="640"/>
        <w:rPr>
          <w:rFonts w:ascii="仿宋" w:hAnsi="仿宋" w:eastAsia="仿宋" w:cs="仿宋"/>
          <w:sz w:val="32"/>
          <w:szCs w:val="32"/>
        </w:rPr>
      </w:pPr>
      <w:r>
        <w:rPr>
          <w:rFonts w:hint="eastAsia" w:ascii="仿宋" w:hAnsi="仿宋" w:eastAsia="仿宋" w:cs="仿宋"/>
          <w:sz w:val="32"/>
          <w:szCs w:val="32"/>
        </w:rPr>
        <w:t>体外哺乳动物细胞染色体畸变试验的设计应符合毒理学试验</w:t>
      </w:r>
      <w:r>
        <w:rPr>
          <w:rFonts w:hint="eastAsia" w:ascii="仿宋" w:hAnsi="仿宋" w:eastAsia="仿宋" w:cs="仿宋"/>
          <w:sz w:val="32"/>
          <w:szCs w:val="32"/>
          <w:highlight w:val="none"/>
        </w:rPr>
        <w:t>随机</w:t>
      </w:r>
      <w:r>
        <w:rPr>
          <w:rFonts w:hint="eastAsia" w:ascii="仿宋" w:hAnsi="仿宋" w:eastAsia="仿宋" w:cs="仿宋"/>
          <w:sz w:val="32"/>
          <w:szCs w:val="32"/>
        </w:rPr>
        <w:t>、对照、重复的基本原则，试验数据应真实、完整、准确、可追溯，试验结果统计分析应科学合理。</w:t>
      </w:r>
    </w:p>
    <w:p>
      <w:pPr>
        <w:pStyle w:val="14"/>
        <w:overflowPunct/>
        <w:adjustRightInd/>
        <w:snapToGrid/>
        <w:spacing w:line="360" w:lineRule="auto"/>
        <w:ind w:firstLine="640"/>
        <w:rPr>
          <w:rFonts w:ascii="Times New Roman" w:hAnsi="Times New Roman" w:eastAsia="仿宋"/>
          <w:bCs/>
          <w:color w:val="000000" w:themeColor="text1"/>
          <w:kern w:val="0"/>
          <w:sz w:val="32"/>
          <w:szCs w:val="32"/>
          <w14:textFill>
            <w14:solidFill>
              <w14:schemeClr w14:val="tx1"/>
            </w14:solidFill>
          </w14:textFill>
        </w:rPr>
      </w:pPr>
      <w:r>
        <w:rPr>
          <w:rFonts w:ascii="Times New Roman" w:hAnsi="Times New Roman" w:eastAsia="仿宋" w:cs="Times New Roman"/>
          <w:bCs/>
          <w:color w:val="000000" w:themeColor="text1"/>
          <w:kern w:val="0"/>
          <w:sz w:val="32"/>
          <w:szCs w:val="32"/>
          <w14:textFill>
            <w14:solidFill>
              <w14:schemeClr w14:val="tx1"/>
            </w14:solidFill>
          </w14:textFill>
        </w:rPr>
        <w:t>本指导原则仅</w:t>
      </w:r>
      <w:r>
        <w:rPr>
          <w:rFonts w:ascii="Times New Roman" w:hAnsi="Times New Roman" w:eastAsia="仿宋"/>
          <w:bCs/>
          <w:color w:val="000000" w:themeColor="text1"/>
          <w:kern w:val="0"/>
          <w:sz w:val="32"/>
          <w:szCs w:val="32"/>
          <w14:textFill>
            <w14:solidFill>
              <w14:schemeClr w14:val="tx1"/>
            </w14:solidFill>
          </w14:textFill>
        </w:rPr>
        <w:t>阐述</w:t>
      </w:r>
      <w:r>
        <w:rPr>
          <w:rFonts w:hint="eastAsia" w:ascii="仿宋" w:hAnsi="仿宋" w:eastAsia="仿宋" w:cs="仿宋"/>
          <w:sz w:val="32"/>
          <w:szCs w:val="32"/>
        </w:rPr>
        <w:t>体外哺乳动物细胞染色体畸变试验</w:t>
      </w:r>
      <w:r>
        <w:rPr>
          <w:rFonts w:ascii="Times New Roman" w:hAnsi="Times New Roman" w:eastAsia="仿宋" w:cs="Times New Roman"/>
          <w:bCs/>
          <w:color w:val="000000" w:themeColor="text1"/>
          <w:kern w:val="0"/>
          <w:sz w:val="32"/>
          <w:szCs w:val="32"/>
          <w14:textFill>
            <w14:solidFill>
              <w14:schemeClr w14:val="tx1"/>
            </w14:solidFill>
          </w14:textFill>
        </w:rPr>
        <w:t>需要重点关注的问题，试验时需具体情况具体分析。</w:t>
      </w:r>
    </w:p>
    <w:p>
      <w:pPr>
        <w:pStyle w:val="14"/>
        <w:ind w:left="601" w:firstLine="0" w:firstLineChars="0"/>
        <w:outlineLvl w:val="0"/>
        <w:rPr>
          <w:rFonts w:ascii="黑体" w:hAnsi="黑体" w:eastAsia="黑体" w:cs="黑体"/>
          <w:bCs/>
          <w:sz w:val="32"/>
          <w:szCs w:val="32"/>
        </w:rPr>
      </w:pPr>
      <w:bookmarkStart w:id="2" w:name="_Toc127013430"/>
      <w:r>
        <w:rPr>
          <w:rFonts w:hint="eastAsia" w:ascii="黑体" w:hAnsi="黑体" w:eastAsia="黑体" w:cs="黑体"/>
          <w:bCs/>
          <w:sz w:val="32"/>
          <w:szCs w:val="32"/>
        </w:rPr>
        <w:t>三、基本内容</w:t>
      </w:r>
      <w:bookmarkEnd w:id="2"/>
    </w:p>
    <w:p>
      <w:pPr>
        <w:adjustRightInd w:val="0"/>
        <w:snapToGrid w:val="0"/>
        <w:spacing w:line="360" w:lineRule="auto"/>
        <w:ind w:firstLine="643" w:firstLineChars="200"/>
        <w:jc w:val="both"/>
        <w:outlineLvl w:val="1"/>
        <w:rPr>
          <w:rFonts w:ascii="仿宋" w:hAnsi="仿宋" w:eastAsia="仿宋" w:cs="仿宋"/>
          <w:b/>
          <w:sz w:val="32"/>
          <w:szCs w:val="32"/>
        </w:rPr>
      </w:pPr>
      <w:bookmarkStart w:id="3" w:name="_Toc126520309"/>
      <w:bookmarkStart w:id="4" w:name="_Toc127013431"/>
      <w:r>
        <w:rPr>
          <w:rFonts w:hint="eastAsia" w:ascii="仿宋" w:hAnsi="仿宋" w:eastAsia="仿宋" w:cs="仿宋"/>
          <w:b/>
          <w:color w:val="000000"/>
          <w:kern w:val="0"/>
          <w:sz w:val="32"/>
          <w:szCs w:val="32"/>
        </w:rPr>
        <w:t>（一）</w:t>
      </w:r>
      <w:bookmarkEnd w:id="3"/>
      <w:bookmarkStart w:id="5" w:name="_Toc126520361"/>
      <w:bookmarkStart w:id="6" w:name="_Toc126520486"/>
      <w:r>
        <w:rPr>
          <w:rFonts w:hint="eastAsia" w:ascii="仿宋" w:hAnsi="仿宋" w:eastAsia="仿宋" w:cs="仿宋"/>
          <w:b/>
          <w:color w:val="000000"/>
          <w:kern w:val="0"/>
          <w:sz w:val="32"/>
          <w:szCs w:val="32"/>
        </w:rPr>
        <w:t>受试物的配制原则</w:t>
      </w:r>
      <w:bookmarkEnd w:id="4"/>
      <w:bookmarkEnd w:id="5"/>
      <w:bookmarkEnd w:id="6"/>
    </w:p>
    <w:p>
      <w:pPr>
        <w:pStyle w:val="13"/>
        <w:ind w:firstLine="64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固体受试物应溶解或悬浮于适合的溶剂中，使用前稀释至适当浓度；液体受试物可以直接加入试验系统和/或用前稀释至适当浓度。受试物应无菌现用现配，否则须确认贮存不影响其稳定性。</w:t>
      </w:r>
    </w:p>
    <w:p>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对于化妆品终产品，应按照产品使用方法配制受试物，并明确配制方法和使用浓度。如为染发产品，应按照产品使用方法或产品使用说明书中各剂型的配制比例进行配制，如有多种配制比例，则需进行多个比例受试物的配制。配制后的受试物如需进一步稀释，则应选用合适的溶剂并设阴性对照。</w:t>
      </w:r>
    </w:p>
    <w:p>
      <w:pPr>
        <w:adjustRightInd w:val="0"/>
        <w:snapToGrid w:val="0"/>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对于化妆品新原料，应根据原料的溶解性选择适宜的溶剂进行配制或稀释，并设阴性对照。</w:t>
      </w:r>
    </w:p>
    <w:p>
      <w:pPr>
        <w:adjustRightInd w:val="0"/>
        <w:snapToGrid w:val="0"/>
        <w:spacing w:line="360" w:lineRule="auto"/>
        <w:ind w:firstLine="643" w:firstLineChars="200"/>
        <w:jc w:val="both"/>
        <w:outlineLvl w:val="1"/>
        <w:rPr>
          <w:rFonts w:ascii="仿宋" w:hAnsi="仿宋" w:eastAsia="仿宋" w:cs="仿宋"/>
          <w:b/>
          <w:color w:val="000000"/>
          <w:kern w:val="0"/>
          <w:sz w:val="32"/>
          <w:szCs w:val="32"/>
        </w:rPr>
      </w:pPr>
      <w:bookmarkStart w:id="7" w:name="_Toc127013432"/>
      <w:r>
        <w:rPr>
          <w:rFonts w:hint="eastAsia" w:ascii="仿宋" w:hAnsi="仿宋" w:eastAsia="仿宋" w:cs="仿宋"/>
          <w:b/>
          <w:color w:val="000000"/>
          <w:kern w:val="0"/>
          <w:sz w:val="32"/>
          <w:szCs w:val="32"/>
        </w:rPr>
        <w:t>（二）对照物的设置原则</w:t>
      </w:r>
      <w:bookmarkEnd w:id="7"/>
    </w:p>
    <w:p>
      <w:pPr>
        <w:ind w:firstLine="640" w:firstLineChars="200"/>
        <w:rPr>
          <w:rFonts w:ascii="仿宋" w:hAnsi="仿宋" w:eastAsia="仿宋" w:cs="仿宋"/>
          <w:sz w:val="32"/>
          <w:szCs w:val="32"/>
        </w:rPr>
      </w:pPr>
      <w:r>
        <w:rPr>
          <w:rFonts w:hint="eastAsia" w:ascii="仿宋" w:hAnsi="仿宋" w:eastAsia="仿宋" w:cs="仿宋"/>
          <w:sz w:val="32"/>
          <w:szCs w:val="32"/>
        </w:rPr>
        <w:t>试验时</w:t>
      </w:r>
      <w:r>
        <w:rPr>
          <w:rFonts w:ascii="仿宋" w:hAnsi="仿宋" w:eastAsia="仿宋" w:cs="仿宋"/>
          <w:sz w:val="32"/>
          <w:szCs w:val="32"/>
        </w:rPr>
        <w:t>应同时设置阳性对照组、阴性对照组，必要时设置空白对照组。每个实验室需建立自己的阳性对照、阴性对照、空白对照的历史背景数据库，以有效控制试验质量。</w:t>
      </w:r>
    </w:p>
    <w:p>
      <w:pPr>
        <w:pStyle w:val="13"/>
        <w:ind w:firstLine="640"/>
        <w:jc w:val="both"/>
        <w:rPr>
          <w:rFonts w:ascii="仿宋" w:hAnsi="仿宋" w:eastAsia="仿宋" w:cs="仿宋"/>
          <w:color w:val="auto"/>
          <w:kern w:val="2"/>
          <w:sz w:val="32"/>
          <w:szCs w:val="32"/>
        </w:rPr>
      </w:pPr>
      <w:r>
        <w:rPr>
          <w:rFonts w:hint="eastAsia" w:ascii="仿宋" w:hAnsi="仿宋" w:eastAsia="仿宋" w:cs="仿宋"/>
          <w:sz w:val="32"/>
          <w:szCs w:val="32"/>
        </w:rPr>
        <w:t>1．阳性对照物：应是已知的断裂剂，能引起可检出并可重复的阳性结果。根据受试物的结构特点和理化性质选择合适的阳性对照物。在</w:t>
      </w:r>
      <w:r>
        <w:rPr>
          <w:rFonts w:hint="eastAsia" w:ascii="仿宋" w:hAnsi="仿宋" w:eastAsia="仿宋" w:cs="仿宋"/>
          <w:color w:val="auto"/>
          <w:kern w:val="2"/>
          <w:sz w:val="32"/>
          <w:szCs w:val="32"/>
        </w:rPr>
        <w:t>加外源代谢活化系统条件下</w:t>
      </w:r>
      <w:r>
        <w:rPr>
          <w:rFonts w:hint="eastAsia" w:ascii="仿宋" w:hAnsi="仿宋" w:eastAsia="仿宋" w:cs="仿宋"/>
          <w:sz w:val="32"/>
          <w:szCs w:val="32"/>
        </w:rPr>
        <w:t>，常用的阳性对照物包括</w:t>
      </w:r>
      <w:r>
        <w:rPr>
          <w:rFonts w:hint="eastAsia" w:ascii="仿宋" w:hAnsi="仿宋" w:eastAsia="仿宋" w:cs="仿宋"/>
          <w:color w:val="auto"/>
          <w:kern w:val="2"/>
          <w:sz w:val="32"/>
          <w:szCs w:val="32"/>
        </w:rPr>
        <w:t>环磷酰胺、苯并［a］芘。</w:t>
      </w:r>
      <w:r>
        <w:rPr>
          <w:rFonts w:hint="eastAsia" w:ascii="仿宋" w:hAnsi="仿宋" w:eastAsia="仿宋" w:cs="仿宋"/>
          <w:sz w:val="32"/>
          <w:szCs w:val="32"/>
        </w:rPr>
        <w:t>在</w:t>
      </w:r>
      <w:r>
        <w:rPr>
          <w:rFonts w:hint="eastAsia" w:ascii="仿宋" w:hAnsi="仿宋" w:eastAsia="仿宋" w:cs="仿宋"/>
          <w:color w:val="auto"/>
          <w:kern w:val="2"/>
          <w:sz w:val="32"/>
          <w:szCs w:val="32"/>
        </w:rPr>
        <w:t>不加外源代谢活化系统条件下</w:t>
      </w:r>
      <w:r>
        <w:rPr>
          <w:rFonts w:hint="eastAsia" w:ascii="仿宋" w:hAnsi="仿宋" w:eastAsia="仿宋" w:cs="仿宋"/>
          <w:sz w:val="32"/>
          <w:szCs w:val="32"/>
        </w:rPr>
        <w:t>，常用的阳性对照物包括</w:t>
      </w:r>
      <w:r>
        <w:rPr>
          <w:rFonts w:hint="eastAsia" w:ascii="仿宋" w:hAnsi="仿宋" w:eastAsia="仿宋" w:cs="仿宋"/>
          <w:color w:val="auto"/>
          <w:kern w:val="2"/>
          <w:sz w:val="32"/>
          <w:szCs w:val="32"/>
        </w:rPr>
        <w:t>丝裂霉素C、甲磺酸甲酯（MMS）、甲磺酸乙酯（EMS）、乙基亚硝基脲、4-硝基喹啉-N-氧化物等</w:t>
      </w:r>
      <w:r>
        <w:rPr>
          <w:rFonts w:hint="eastAsia" w:ascii="仿宋" w:hAnsi="仿宋" w:eastAsia="仿宋" w:cs="仿宋"/>
          <w:sz w:val="32"/>
          <w:szCs w:val="32"/>
        </w:rPr>
        <w:t>。</w:t>
      </w:r>
      <w:r>
        <w:rPr>
          <w:rFonts w:hint="eastAsia" w:ascii="仿宋" w:hAnsi="仿宋" w:eastAsia="仿宋" w:cs="仿宋"/>
          <w:color w:val="auto"/>
          <w:kern w:val="2"/>
          <w:sz w:val="32"/>
          <w:szCs w:val="32"/>
        </w:rPr>
        <w:t>阳性对照物需现用现配，否则须确认贮存不影响其稳定性。</w:t>
      </w:r>
    </w:p>
    <w:p>
      <w:pPr>
        <w:pStyle w:val="13"/>
        <w:ind w:firstLine="640" w:firstLineChars="200"/>
        <w:jc w:val="both"/>
        <w:rPr>
          <w:rFonts w:ascii="仿宋" w:hAnsi="仿宋" w:eastAsia="仿宋" w:cs="仿宋"/>
          <w:sz w:val="32"/>
          <w:szCs w:val="32"/>
        </w:rPr>
      </w:pPr>
      <w:r>
        <w:rPr>
          <w:rFonts w:hint="eastAsia" w:ascii="仿宋" w:hAnsi="仿宋" w:eastAsia="仿宋" w:cs="仿宋"/>
          <w:sz w:val="32"/>
          <w:szCs w:val="32"/>
        </w:rPr>
        <w:t>2.阴性对照物：溶剂应为非致突变物，不与受试物发生化学反应，且不影响细胞存活和代谢活化系统活性。常用的阴性对照物包括水（或生理盐水）、培养液（不含血清）、二甲基亚砜（DMSO）等。通常二甲基亚砜（DMSO）在培养液中的终浓度不应超过0.5%，水（或生理盐水）不应超过10%。</w:t>
      </w:r>
    </w:p>
    <w:p>
      <w:pPr>
        <w:pStyle w:val="13"/>
        <w:ind w:firstLine="640" w:firstLineChars="200"/>
        <w:jc w:val="both"/>
        <w:rPr>
          <w:rFonts w:ascii="仿宋" w:hAnsi="仿宋" w:eastAsia="仿宋" w:cs="仿宋"/>
          <w:sz w:val="32"/>
          <w:szCs w:val="32"/>
          <w:highlight w:val="yellow"/>
        </w:rPr>
      </w:pPr>
      <w:r>
        <w:rPr>
          <w:rFonts w:ascii="仿宋" w:hAnsi="仿宋" w:eastAsia="仿宋" w:cs="仿宋"/>
          <w:sz w:val="32"/>
          <w:szCs w:val="32"/>
        </w:rPr>
        <w:t>3.空白对照：如果</w:t>
      </w:r>
      <w:r>
        <w:rPr>
          <w:rFonts w:hint="eastAsia" w:ascii="仿宋" w:hAnsi="仿宋" w:eastAsia="仿宋" w:cs="仿宋"/>
          <w:sz w:val="32"/>
          <w:szCs w:val="32"/>
          <w:highlight w:val="none"/>
        </w:rPr>
        <w:t>现有</w:t>
      </w:r>
      <w:r>
        <w:rPr>
          <w:rFonts w:ascii="仿宋" w:hAnsi="仿宋" w:eastAsia="仿宋" w:cs="仿宋"/>
          <w:sz w:val="32"/>
          <w:szCs w:val="32"/>
        </w:rPr>
        <w:t>资料</w:t>
      </w:r>
      <w:r>
        <w:rPr>
          <w:rFonts w:ascii="仿宋" w:hAnsi="仿宋" w:eastAsia="仿宋" w:cs="仿宋"/>
          <w:sz w:val="32"/>
          <w:szCs w:val="32"/>
          <w:highlight w:val="none"/>
        </w:rPr>
        <w:t>不能</w:t>
      </w:r>
      <w:r>
        <w:rPr>
          <w:rFonts w:ascii="仿宋" w:hAnsi="仿宋" w:eastAsia="仿宋" w:cs="仿宋"/>
          <w:sz w:val="32"/>
          <w:szCs w:val="32"/>
        </w:rPr>
        <w:t>证实溶剂不具有致突变性，或发现溶剂对照与本实验室的历史空白对照背景资料有明显差异，还应设空白对照。</w:t>
      </w:r>
    </w:p>
    <w:p>
      <w:pPr>
        <w:pStyle w:val="13"/>
        <w:ind w:firstLine="643" w:firstLineChars="200"/>
        <w:jc w:val="both"/>
        <w:outlineLvl w:val="1"/>
        <w:rPr>
          <w:rFonts w:ascii="仿宋" w:hAnsi="仿宋" w:eastAsia="仿宋" w:cs="仿宋"/>
          <w:b/>
          <w:sz w:val="32"/>
          <w:szCs w:val="32"/>
        </w:rPr>
      </w:pPr>
      <w:bookmarkStart w:id="8" w:name="_Toc127013433"/>
      <w:r>
        <w:rPr>
          <w:rFonts w:hint="eastAsia" w:ascii="仿宋" w:hAnsi="仿宋" w:eastAsia="仿宋" w:cs="仿宋"/>
          <w:b/>
          <w:sz w:val="32"/>
          <w:szCs w:val="32"/>
        </w:rPr>
        <w:t>（三）细胞的选择原则</w:t>
      </w:r>
      <w:bookmarkEnd w:id="8"/>
    </w:p>
    <w:p>
      <w:pPr>
        <w:pStyle w:val="13"/>
        <w:ind w:firstLine="640" w:firstLineChars="200"/>
        <w:jc w:val="both"/>
        <w:rPr>
          <w:rFonts w:ascii="仿宋" w:hAnsi="仿宋" w:eastAsia="仿宋" w:cs="仿宋"/>
          <w:sz w:val="32"/>
          <w:szCs w:val="32"/>
        </w:rPr>
      </w:pPr>
      <w:r>
        <w:rPr>
          <w:rFonts w:hint="eastAsia" w:ascii="仿宋" w:hAnsi="仿宋" w:eastAsia="仿宋" w:cs="仿宋"/>
          <w:sz w:val="32"/>
          <w:szCs w:val="32"/>
        </w:rPr>
        <w:t>可使用已建立的细胞株或细胞系（如中国地鼠卵巢（CHO）细胞株或中国地鼠肺（CHL）细胞株），也可使用原代培养细胞（如哺乳动物外周血淋巴细胞）。所使用的细胞应在生长性能、染色体数目和核型、自发的染色体畸变率等方面基本保持稳定。细胞需定期检查核型和染色体数目，检测有无支原体污染等。</w:t>
      </w:r>
    </w:p>
    <w:p>
      <w:pPr>
        <w:ind w:firstLine="643" w:firstLineChars="200"/>
        <w:outlineLvl w:val="1"/>
        <w:rPr>
          <w:rFonts w:ascii="仿宋" w:hAnsi="仿宋" w:eastAsia="仿宋" w:cs="仿宋"/>
          <w:b/>
          <w:sz w:val="32"/>
          <w:szCs w:val="32"/>
        </w:rPr>
      </w:pPr>
      <w:bookmarkStart w:id="9" w:name="_Toc127013434"/>
      <w:r>
        <w:rPr>
          <w:rFonts w:hint="eastAsia" w:ascii="仿宋" w:hAnsi="仿宋" w:eastAsia="仿宋" w:cs="仿宋"/>
          <w:b/>
          <w:sz w:val="32"/>
          <w:szCs w:val="32"/>
        </w:rPr>
        <w:t>（四）代谢活化系统的选择原则</w:t>
      </w:r>
      <w:bookmarkEnd w:id="9"/>
    </w:p>
    <w:p>
      <w:pPr>
        <w:ind w:firstLine="640" w:firstLineChars="200"/>
        <w:rPr>
          <w:rFonts w:ascii="仿宋" w:hAnsi="仿宋" w:eastAsia="仿宋" w:cs="仿宋"/>
          <w:sz w:val="32"/>
          <w:szCs w:val="32"/>
        </w:rPr>
      </w:pPr>
      <w:r>
        <w:rPr>
          <w:rFonts w:hint="eastAsia" w:ascii="仿宋" w:hAnsi="仿宋" w:eastAsia="仿宋" w:cs="仿宋"/>
          <w:sz w:val="32"/>
          <w:szCs w:val="32"/>
        </w:rPr>
        <w:t>由于细胞的内源性代谢活化能力不足，需使用外源代谢活化系统，以检测受试物经代谢活化后是否具有致突变性。推荐使用S9 混合物（S9 mix）。S9 mix为经酶诱导剂如多氯联苯（Aroclor 1254）或联合使用苯巴比妥钠和β-萘黄酮诱导啮齿动物肝脏，经处理肝脏后而获得。S9 mix的使用终浓度为1%～10%，其活性需保持稳定，在使用浓度下必须能明显活化阳性对照物。</w:t>
      </w:r>
    </w:p>
    <w:p>
      <w:pPr>
        <w:pStyle w:val="13"/>
        <w:ind w:firstLine="643" w:firstLineChars="200"/>
        <w:jc w:val="both"/>
        <w:outlineLvl w:val="1"/>
        <w:rPr>
          <w:rFonts w:ascii="仿宋" w:hAnsi="仿宋" w:eastAsia="仿宋" w:cs="仿宋"/>
          <w:b/>
          <w:color w:val="auto"/>
          <w:sz w:val="32"/>
          <w:szCs w:val="32"/>
        </w:rPr>
      </w:pPr>
      <w:bookmarkStart w:id="10" w:name="_Toc127013435"/>
      <w:r>
        <w:rPr>
          <w:rFonts w:hint="eastAsia" w:ascii="仿宋" w:hAnsi="仿宋" w:eastAsia="仿宋" w:cs="仿宋"/>
          <w:b/>
          <w:sz w:val="32"/>
          <w:szCs w:val="32"/>
        </w:rPr>
        <w:t>（五）受试物</w:t>
      </w:r>
      <w:r>
        <w:rPr>
          <w:rFonts w:hint="eastAsia" w:ascii="仿宋" w:hAnsi="仿宋" w:eastAsia="仿宋" w:cs="仿宋"/>
          <w:b/>
          <w:color w:val="auto"/>
          <w:sz w:val="32"/>
          <w:szCs w:val="32"/>
        </w:rPr>
        <w:t>剂量的设计原则</w:t>
      </w:r>
      <w:bookmarkEnd w:id="10"/>
    </w:p>
    <w:p>
      <w:pPr>
        <w:autoSpaceDE w:val="0"/>
        <w:autoSpaceDN w:val="0"/>
        <w:adjustRightInd w:val="0"/>
        <w:ind w:firstLine="640" w:firstLineChars="200"/>
        <w:jc w:val="both"/>
        <w:rPr>
          <w:rFonts w:ascii="仿宋" w:hAnsi="仿宋" w:eastAsia="仿宋" w:cs="仿宋"/>
          <w:sz w:val="32"/>
          <w:szCs w:val="32"/>
        </w:rPr>
      </w:pPr>
      <w:r>
        <w:rPr>
          <w:rFonts w:hint="eastAsia" w:ascii="仿宋" w:hAnsi="仿宋" w:eastAsia="仿宋" w:cs="仿宋"/>
          <w:sz w:val="32"/>
          <w:szCs w:val="32"/>
        </w:rPr>
        <w:t>1.细胞毒性的确定原则</w:t>
      </w:r>
    </w:p>
    <w:p>
      <w:pPr>
        <w:autoSpaceDE w:val="0"/>
        <w:autoSpaceDN w:val="0"/>
        <w:adjustRightInd w:val="0"/>
        <w:ind w:firstLine="640"/>
        <w:jc w:val="both"/>
        <w:rPr>
          <w:rFonts w:ascii="仿宋" w:hAnsi="仿宋" w:eastAsia="仿宋" w:cs="仿宋"/>
          <w:sz w:val="32"/>
          <w:szCs w:val="32"/>
        </w:rPr>
      </w:pPr>
      <w:r>
        <w:rPr>
          <w:rFonts w:hint="eastAsia" w:ascii="仿宋" w:hAnsi="仿宋" w:eastAsia="仿宋" w:cs="仿宋"/>
          <w:sz w:val="32"/>
          <w:szCs w:val="32"/>
        </w:rPr>
        <w:t>在外源活化系统存在或不存在的两种条件下，可应用细胞覆盖程度（degree of confluency）、存活细胞计数（viable cell counts）、</w:t>
      </w:r>
      <w:r>
        <w:rPr>
          <w:rFonts w:hint="eastAsia" w:ascii="仿宋" w:hAnsi="仿宋" w:eastAsia="仿宋" w:cs="仿宋"/>
          <w:kern w:val="0"/>
          <w:sz w:val="32"/>
          <w:szCs w:val="32"/>
        </w:rPr>
        <w:t>相对群体倍增数（</w:t>
      </w:r>
      <w:r>
        <w:rPr>
          <w:rFonts w:ascii="仿宋" w:hAnsi="仿宋" w:eastAsia="仿宋" w:cs="仿宋"/>
          <w:kern w:val="0"/>
          <w:sz w:val="32"/>
          <w:szCs w:val="32"/>
        </w:rPr>
        <w:t>Relative population doubling，RPD）等</w:t>
      </w:r>
      <w:r>
        <w:rPr>
          <w:rFonts w:hint="eastAsia" w:ascii="仿宋" w:hAnsi="仿宋" w:eastAsia="仿宋" w:cs="仿宋"/>
          <w:kern w:val="0"/>
          <w:sz w:val="32"/>
          <w:szCs w:val="32"/>
        </w:rPr>
        <w:t>指示</w:t>
      </w:r>
      <w:r>
        <w:rPr>
          <w:rFonts w:hint="eastAsia" w:ascii="仿宋" w:hAnsi="仿宋" w:eastAsia="仿宋" w:cs="仿宋"/>
          <w:sz w:val="32"/>
          <w:szCs w:val="32"/>
        </w:rPr>
        <w:t>细胞生长情况的指标确定细胞株毒性；外周血淋巴细胞可通过有丝分裂指数（mitotic index）确定细胞毒性。</w:t>
      </w:r>
    </w:p>
    <w:p>
      <w:pPr>
        <w:autoSpaceDE w:val="0"/>
        <w:autoSpaceDN w:val="0"/>
        <w:adjustRightInd w:val="0"/>
        <w:ind w:firstLine="640" w:firstLineChars="200"/>
        <w:jc w:val="both"/>
        <w:rPr>
          <w:rFonts w:ascii="仿宋" w:hAnsi="仿宋" w:eastAsia="仿宋" w:cs="仿宋"/>
          <w:sz w:val="32"/>
          <w:szCs w:val="32"/>
        </w:rPr>
      </w:pPr>
      <w:r>
        <w:rPr>
          <w:rFonts w:hint="eastAsia" w:ascii="仿宋" w:hAnsi="仿宋" w:eastAsia="仿宋" w:cs="仿宋"/>
          <w:sz w:val="32"/>
          <w:szCs w:val="32"/>
        </w:rPr>
        <w:t>2. 受试物剂量的设计原则</w:t>
      </w:r>
    </w:p>
    <w:p>
      <w:pPr>
        <w:autoSpaceDE w:val="0"/>
        <w:autoSpaceDN w:val="0"/>
        <w:adjustRightInd w:val="0"/>
        <w:ind w:firstLine="640"/>
        <w:jc w:val="both"/>
        <w:rPr>
          <w:rFonts w:ascii="仿宋" w:hAnsi="仿宋" w:eastAsia="仿宋" w:cs="仿宋"/>
          <w:sz w:val="32"/>
          <w:szCs w:val="32"/>
        </w:rPr>
      </w:pPr>
      <w:r>
        <w:rPr>
          <w:rFonts w:hint="eastAsia" w:ascii="仿宋" w:hAnsi="仿宋" w:eastAsia="仿宋" w:cs="仿宋"/>
          <w:sz w:val="32"/>
          <w:szCs w:val="32"/>
        </w:rPr>
        <w:t>受试物剂量的设计应满足以下要求。</w:t>
      </w:r>
    </w:p>
    <w:p>
      <w:pPr>
        <w:autoSpaceDE w:val="0"/>
        <w:autoSpaceDN w:val="0"/>
        <w:adjustRightInd w:val="0"/>
        <w:ind w:firstLine="640"/>
        <w:jc w:val="both"/>
        <w:rPr>
          <w:rFonts w:ascii="仿宋" w:hAnsi="仿宋" w:eastAsia="仿宋" w:cs="仿宋"/>
          <w:sz w:val="32"/>
          <w:szCs w:val="32"/>
        </w:rPr>
      </w:pPr>
      <w:r>
        <w:rPr>
          <w:rFonts w:hint="eastAsia" w:ascii="仿宋" w:hAnsi="仿宋" w:eastAsia="仿宋" w:cs="仿宋"/>
          <w:sz w:val="32"/>
          <w:szCs w:val="32"/>
        </w:rPr>
        <w:t>2.1 在正式试验前需进行预试验，根据受试物对细胞的毒性、受试物在试验系统中的溶解度以及pH或渗克分子浓度(osmolality)的改变等不同因素来确定其最高受试浓度。应避免将可能产生对结果判定有影响的浓度确定为最高受试浓度，如细胞毒性过大、培养液中出现沉淀、或出现明显的pH或渗克分子浓度的改变等。</w:t>
      </w:r>
    </w:p>
    <w:p>
      <w:pPr>
        <w:autoSpaceDE w:val="0"/>
        <w:autoSpaceDN w:val="0"/>
        <w:adjustRightInd w:val="0"/>
        <w:ind w:firstLine="640"/>
        <w:jc w:val="both"/>
        <w:rPr>
          <w:rFonts w:ascii="仿宋" w:hAnsi="仿宋" w:eastAsia="仿宋" w:cs="仿宋"/>
          <w:sz w:val="32"/>
          <w:szCs w:val="32"/>
        </w:rPr>
      </w:pPr>
      <w:r>
        <w:rPr>
          <w:rFonts w:hint="eastAsia" w:ascii="仿宋" w:hAnsi="仿宋" w:eastAsia="仿宋" w:cs="仿宋"/>
          <w:sz w:val="32"/>
          <w:szCs w:val="32"/>
        </w:rPr>
        <w:t>2.2 应至少设置</w:t>
      </w:r>
      <w:r>
        <w:rPr>
          <w:rFonts w:ascii="仿宋" w:hAnsi="仿宋" w:eastAsia="仿宋" w:cs="仿宋"/>
          <w:sz w:val="32"/>
          <w:szCs w:val="32"/>
        </w:rPr>
        <w:t xml:space="preserve"> 3个可供分析的受试物剂量</w:t>
      </w:r>
      <w:r>
        <w:rPr>
          <w:rFonts w:hint="eastAsia" w:ascii="仿宋" w:hAnsi="仿宋" w:eastAsia="仿宋" w:cs="仿宋"/>
          <w:sz w:val="32"/>
          <w:szCs w:val="32"/>
        </w:rPr>
        <w:t>组。当</w:t>
      </w:r>
      <w:r>
        <w:rPr>
          <w:rFonts w:ascii="仿宋" w:hAnsi="仿宋" w:eastAsia="仿宋" w:cs="仿宋"/>
          <w:sz w:val="32"/>
          <w:szCs w:val="32"/>
        </w:rPr>
        <w:t>受试物</w:t>
      </w:r>
      <w:r>
        <w:rPr>
          <w:rFonts w:hint="eastAsia" w:ascii="仿宋" w:hAnsi="仿宋" w:eastAsia="仿宋" w:cs="仿宋"/>
          <w:sz w:val="32"/>
          <w:szCs w:val="32"/>
        </w:rPr>
        <w:t>有细胞毒性时，其浓度范围应包括从最大毒性至几乎无毒性；一般其浓度间隔系数不大于2～</w:t>
      </w:r>
      <w:r>
        <w:rPr>
          <w:rFonts w:hint="eastAsia" w:ascii="仿宋" w:hAnsi="仿宋" w:eastAsia="仿宋" w:cs="仿宋"/>
          <w:position w:val="-8"/>
          <w:sz w:val="32"/>
          <w:szCs w:val="32"/>
        </w:rPr>
        <w:object>
          <v:shape id="_x0000_i1025" o:spt="75" type="#_x0000_t75" style="height:20pt;width:27.0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仿宋" w:hAnsi="仿宋" w:eastAsia="仿宋" w:cs="仿宋"/>
          <w:sz w:val="32"/>
          <w:szCs w:val="32"/>
        </w:rPr>
        <w:t>。如果为了获得较低或中等细胞毒性的研究数据或验证剂量反应关系时，有必要使用间隔系数较小的三个以上的受试浓度进行试验。</w:t>
      </w:r>
    </w:p>
    <w:p>
      <w:pPr>
        <w:autoSpaceDE w:val="0"/>
        <w:autoSpaceDN w:val="0"/>
        <w:adjustRightInd w:val="0"/>
        <w:ind w:firstLine="640"/>
        <w:jc w:val="both"/>
        <w:rPr>
          <w:rFonts w:ascii="仿宋" w:hAnsi="仿宋" w:eastAsia="仿宋" w:cs="仿宋"/>
          <w:sz w:val="32"/>
          <w:szCs w:val="32"/>
        </w:rPr>
      </w:pPr>
      <w:r>
        <w:rPr>
          <w:rFonts w:hint="eastAsia" w:ascii="仿宋" w:hAnsi="仿宋" w:eastAsia="仿宋" w:cs="仿宋"/>
          <w:sz w:val="32"/>
          <w:szCs w:val="32"/>
        </w:rPr>
        <w:t>2.3 在收获细胞时，受试物的最高</w:t>
      </w:r>
      <w:r>
        <w:rPr>
          <w:rFonts w:ascii="仿宋" w:hAnsi="仿宋" w:eastAsia="仿宋" w:cs="仿宋"/>
          <w:sz w:val="32"/>
          <w:szCs w:val="32"/>
        </w:rPr>
        <w:t>受试</w:t>
      </w:r>
      <w:r>
        <w:rPr>
          <w:rFonts w:hint="eastAsia" w:ascii="仿宋" w:hAnsi="仿宋" w:eastAsia="仿宋" w:cs="仿宋"/>
          <w:sz w:val="32"/>
          <w:szCs w:val="32"/>
        </w:rPr>
        <w:t>浓度应能达到55±5%的细胞毒性，即细胞覆盖程度、存活细胞计数、</w:t>
      </w:r>
      <w:r>
        <w:rPr>
          <w:rFonts w:hint="eastAsia" w:ascii="仿宋" w:hAnsi="仿宋" w:eastAsia="仿宋" w:cs="仿宋"/>
          <w:kern w:val="0"/>
          <w:sz w:val="32"/>
          <w:szCs w:val="32"/>
        </w:rPr>
        <w:t>相对群体倍增数</w:t>
      </w:r>
      <w:r>
        <w:rPr>
          <w:rFonts w:hint="eastAsia" w:ascii="仿宋" w:hAnsi="仿宋" w:eastAsia="仿宋" w:cs="仿宋"/>
          <w:sz w:val="32"/>
          <w:szCs w:val="32"/>
        </w:rPr>
        <w:t>，或原代培养的淋巴细胞有丝分裂指数降低到阴性对照组的45±5%。</w:t>
      </w:r>
    </w:p>
    <w:p>
      <w:pPr>
        <w:autoSpaceDE w:val="0"/>
        <w:autoSpaceDN w:val="0"/>
        <w:adjustRightInd w:val="0"/>
        <w:ind w:firstLine="640"/>
        <w:jc w:val="both"/>
        <w:rPr>
          <w:rFonts w:ascii="仿宋" w:hAnsi="仿宋" w:eastAsia="仿宋" w:cs="仿宋"/>
          <w:sz w:val="32"/>
          <w:szCs w:val="32"/>
        </w:rPr>
      </w:pPr>
      <w:r>
        <w:rPr>
          <w:rFonts w:hint="eastAsia" w:ascii="仿宋" w:hAnsi="仿宋" w:eastAsia="仿宋" w:cs="仿宋"/>
          <w:sz w:val="32"/>
          <w:szCs w:val="32"/>
        </w:rPr>
        <w:t>2.4 当受试物为相对无细胞毒性的化合物时，其最高受试浓度应为5μL/mL，5mg/mL或0.01mol/L。</w:t>
      </w:r>
    </w:p>
    <w:p>
      <w:pPr>
        <w:autoSpaceDE w:val="0"/>
        <w:autoSpaceDN w:val="0"/>
        <w:adjustRightInd w:val="0"/>
        <w:ind w:firstLine="320" w:firstLineChars="100"/>
        <w:rPr>
          <w:rFonts w:ascii="黑体" w:hAnsi="黑体" w:eastAsia="黑体" w:cs="黑体"/>
          <w:bCs/>
          <w:sz w:val="32"/>
          <w:szCs w:val="32"/>
        </w:rPr>
      </w:pPr>
      <w:r>
        <w:rPr>
          <w:rFonts w:hint="eastAsia" w:ascii="仿宋" w:hAnsi="仿宋" w:eastAsia="仿宋" w:cs="仿宋"/>
          <w:sz w:val="32"/>
          <w:szCs w:val="32"/>
        </w:rPr>
        <w:t xml:space="preserve">  2.5 由于细胞、外源代谢活化系统等的存在，受试物在试验系统内在暴露过程中其溶解度可能发生变化，因此最好在试验处理开始和结束时均评价其溶解度。对于相对不溶解的物质，当浓度低于不溶解浓度时仍无毒性，则最高剂量应选择当处理期结束时在最终培养液中溶解度限值以上的一个浓度。在仅当高于最低不溶解浓度时才发生细胞毒性时，应使用一个以上可看见沉淀的浓度，但应注意确保沉淀不会干扰试验（如染色或染色体畸变分析）。</w:t>
      </w:r>
    </w:p>
    <w:p>
      <w:pPr>
        <w:ind w:firstLine="643" w:firstLineChars="200"/>
        <w:outlineLvl w:val="1"/>
        <w:rPr>
          <w:rFonts w:ascii="仿宋" w:hAnsi="仿宋" w:eastAsia="仿宋" w:cs="仿宋"/>
          <w:b/>
          <w:sz w:val="32"/>
          <w:szCs w:val="32"/>
        </w:rPr>
      </w:pPr>
      <w:bookmarkStart w:id="11" w:name="_Toc127013436"/>
      <w:r>
        <w:rPr>
          <w:rFonts w:hint="eastAsia" w:ascii="仿宋" w:hAnsi="仿宋" w:eastAsia="仿宋" w:cs="仿宋"/>
          <w:b/>
          <w:sz w:val="32"/>
          <w:szCs w:val="32"/>
        </w:rPr>
        <w:t>（六）试验设计</w:t>
      </w:r>
      <w:bookmarkEnd w:id="11"/>
    </w:p>
    <w:p>
      <w:pPr>
        <w:ind w:firstLine="640" w:firstLineChars="200"/>
        <w:outlineLvl w:val="9"/>
        <w:rPr>
          <w:rFonts w:ascii="仿宋" w:hAnsi="仿宋" w:eastAsia="仿宋" w:cs="仿宋"/>
          <w:sz w:val="32"/>
          <w:szCs w:val="32"/>
        </w:rPr>
      </w:pPr>
      <w:r>
        <w:rPr>
          <w:rFonts w:hint="eastAsia" w:ascii="仿宋" w:hAnsi="仿宋" w:eastAsia="仿宋" w:cs="仿宋"/>
          <w:sz w:val="32"/>
          <w:szCs w:val="32"/>
        </w:rPr>
        <w:t>试验时</w:t>
      </w:r>
      <w:r>
        <w:rPr>
          <w:rFonts w:ascii="仿宋" w:hAnsi="仿宋" w:eastAsia="仿宋" w:cs="仿宋"/>
          <w:sz w:val="32"/>
          <w:szCs w:val="32"/>
        </w:rPr>
        <w:t>应同时设置阳性对照组、阴性对照组</w:t>
      </w:r>
      <w:r>
        <w:rPr>
          <w:rFonts w:hint="eastAsia" w:ascii="仿宋" w:hAnsi="仿宋" w:eastAsia="仿宋" w:cs="仿宋"/>
          <w:sz w:val="32"/>
          <w:szCs w:val="32"/>
        </w:rPr>
        <w:t>和至少</w:t>
      </w:r>
      <w:r>
        <w:rPr>
          <w:rFonts w:ascii="仿宋" w:hAnsi="仿宋" w:eastAsia="仿宋" w:cs="仿宋"/>
          <w:sz w:val="32"/>
          <w:szCs w:val="32"/>
        </w:rPr>
        <w:t xml:space="preserve"> 3个可供分析的受试物剂量</w:t>
      </w:r>
      <w:r>
        <w:rPr>
          <w:rFonts w:hint="eastAsia" w:ascii="仿宋" w:hAnsi="仿宋" w:eastAsia="仿宋" w:cs="仿宋"/>
          <w:sz w:val="32"/>
          <w:szCs w:val="32"/>
        </w:rPr>
        <w:t>组</w:t>
      </w:r>
      <w:r>
        <w:rPr>
          <w:rFonts w:ascii="仿宋" w:hAnsi="仿宋" w:eastAsia="仿宋" w:cs="仿宋"/>
          <w:sz w:val="32"/>
          <w:szCs w:val="32"/>
        </w:rPr>
        <w:t>，必要时设置空白对照组。</w:t>
      </w:r>
    </w:p>
    <w:p>
      <w:pPr>
        <w:ind w:firstLine="640" w:firstLineChars="200"/>
        <w:rPr>
          <w:rFonts w:ascii="仿宋" w:hAnsi="仿宋" w:eastAsia="仿宋" w:cs="仿宋"/>
          <w:sz w:val="32"/>
          <w:szCs w:val="32"/>
        </w:rPr>
      </w:pPr>
      <w:r>
        <w:rPr>
          <w:rFonts w:ascii="仿宋" w:hAnsi="仿宋" w:eastAsia="仿宋" w:cs="仿宋"/>
          <w:sz w:val="32"/>
          <w:szCs w:val="32"/>
        </w:rPr>
        <w:t>应在外源活化系统存在和不存在的条件下分别进行试验，</w:t>
      </w:r>
      <w:r>
        <w:rPr>
          <w:rFonts w:hint="eastAsia" w:ascii="仿宋" w:hAnsi="仿宋" w:eastAsia="仿宋" w:cs="仿宋"/>
          <w:sz w:val="32"/>
          <w:szCs w:val="32"/>
        </w:rPr>
        <w:t>受试物需与细胞作用3～6h，在</w:t>
      </w:r>
      <w:r>
        <w:rPr>
          <w:rFonts w:ascii="仿宋" w:hAnsi="仿宋" w:eastAsia="仿宋" w:cs="仿宋"/>
          <w:b w:val="0"/>
          <w:sz w:val="32"/>
          <w:szCs w:val="32"/>
        </w:rPr>
        <w:t xml:space="preserve"> 24h 内收获细胞。收获前2h</w:t>
      </w:r>
      <w:r>
        <w:rPr>
          <w:rFonts w:hint="eastAsia" w:ascii="仿宋" w:hAnsi="仿宋" w:eastAsia="仿宋" w:cs="仿宋"/>
          <w:sz w:val="32"/>
          <w:szCs w:val="32"/>
        </w:rPr>
        <w:t>-</w:t>
      </w:r>
      <w:r>
        <w:rPr>
          <w:rFonts w:ascii="仿宋" w:hAnsi="仿宋" w:eastAsia="仿宋" w:cs="仿宋"/>
          <w:b w:val="0"/>
          <w:sz w:val="32"/>
          <w:szCs w:val="32"/>
        </w:rPr>
        <w:t>4h，</w:t>
      </w:r>
      <w:r>
        <w:rPr>
          <w:rFonts w:hint="eastAsia" w:ascii="仿宋" w:hAnsi="仿宋" w:eastAsia="仿宋" w:cs="仿宋"/>
          <w:b w:val="0"/>
          <w:sz w:val="32"/>
          <w:szCs w:val="32"/>
        </w:rPr>
        <w:t>加入</w:t>
      </w:r>
      <w:r>
        <w:rPr>
          <w:rFonts w:hint="eastAsia" w:ascii="仿宋" w:hAnsi="仿宋" w:eastAsia="仿宋" w:cs="仿宋"/>
          <w:sz w:val="32"/>
          <w:szCs w:val="32"/>
        </w:rPr>
        <w:t>细胞中期分裂相阻断剂（如</w:t>
      </w:r>
      <w:r>
        <w:rPr>
          <w:rFonts w:hint="eastAsia" w:ascii="仿宋" w:hAnsi="仿宋" w:eastAsia="仿宋" w:cs="仿宋"/>
          <w:b w:val="0"/>
          <w:sz w:val="32"/>
          <w:szCs w:val="32"/>
        </w:rPr>
        <w:t>秋水仙素</w:t>
      </w:r>
      <w:r>
        <w:rPr>
          <w:rFonts w:hint="eastAsia" w:ascii="仿宋" w:hAnsi="仿宋" w:eastAsia="仿宋" w:cs="仿宋"/>
          <w:sz w:val="32"/>
          <w:szCs w:val="32"/>
        </w:rPr>
        <w:t>）</w:t>
      </w:r>
      <w:r>
        <w:rPr>
          <w:rFonts w:hint="eastAsia" w:ascii="仿宋" w:hAnsi="仿宋" w:eastAsia="仿宋" w:cs="仿宋"/>
          <w:b w:val="0"/>
          <w:sz w:val="32"/>
          <w:szCs w:val="32"/>
        </w:rPr>
        <w:t>，</w:t>
      </w:r>
      <w:r>
        <w:rPr>
          <w:rFonts w:hint="eastAsia" w:ascii="仿宋" w:hAnsi="仿宋" w:eastAsia="仿宋" w:cs="仿宋"/>
          <w:sz w:val="32"/>
          <w:szCs w:val="32"/>
        </w:rPr>
        <w:t>随后收获细胞、低渗处理、固定、制片和染色后，分析染色体畸变。</w:t>
      </w:r>
    </w:p>
    <w:p>
      <w:pPr>
        <w:ind w:firstLine="640" w:firstLineChars="200"/>
        <w:outlineLvl w:val="0"/>
        <w:rPr>
          <w:rFonts w:ascii="黑体" w:hAnsi="黑体" w:eastAsia="黑体" w:cs="黑体"/>
          <w:bCs/>
          <w:sz w:val="32"/>
          <w:szCs w:val="32"/>
        </w:rPr>
      </w:pPr>
      <w:bookmarkStart w:id="12" w:name="_Toc127013437"/>
      <w:r>
        <w:rPr>
          <w:rFonts w:hint="eastAsia" w:ascii="黑体" w:hAnsi="黑体" w:eastAsia="黑体" w:cs="黑体"/>
          <w:bCs/>
          <w:sz w:val="32"/>
          <w:szCs w:val="32"/>
        </w:rPr>
        <w:t>四、结果分析与评价</w:t>
      </w:r>
      <w:bookmarkEnd w:id="12"/>
    </w:p>
    <w:p>
      <w:pPr>
        <w:ind w:firstLine="641"/>
        <w:outlineLvl w:val="1"/>
        <w:rPr>
          <w:rFonts w:ascii="仿宋" w:hAnsi="仿宋" w:eastAsia="仿宋" w:cs="仿宋"/>
          <w:b/>
          <w:sz w:val="32"/>
          <w:szCs w:val="32"/>
        </w:rPr>
      </w:pPr>
      <w:bookmarkStart w:id="13" w:name="_Toc127013438"/>
      <w:r>
        <w:rPr>
          <w:rFonts w:hint="eastAsia" w:ascii="仿宋" w:hAnsi="仿宋" w:eastAsia="仿宋" w:cs="仿宋"/>
          <w:b/>
          <w:sz w:val="32"/>
          <w:szCs w:val="32"/>
        </w:rPr>
        <w:t>（一）结果分析</w:t>
      </w:r>
      <w:bookmarkEnd w:id="13"/>
    </w:p>
    <w:p>
      <w:pPr>
        <w:ind w:firstLine="640" w:firstLineChars="200"/>
        <w:rPr>
          <w:rFonts w:ascii="仿宋" w:hAnsi="仿宋" w:eastAsia="仿宋" w:cs="仿宋"/>
          <w:sz w:val="32"/>
          <w:szCs w:val="32"/>
        </w:rPr>
      </w:pPr>
      <w:r>
        <w:rPr>
          <w:rFonts w:hint="eastAsia" w:ascii="仿宋" w:hAnsi="仿宋" w:eastAsia="仿宋" w:cs="仿宋"/>
          <w:sz w:val="32"/>
          <w:szCs w:val="32"/>
        </w:rPr>
        <w:t>1. 观察数量</w:t>
      </w:r>
    </w:p>
    <w:p>
      <w:pPr>
        <w:ind w:firstLine="640" w:firstLineChars="200"/>
        <w:rPr>
          <w:rFonts w:ascii="仿宋" w:hAnsi="仿宋" w:eastAsia="仿宋" w:cs="仿宋"/>
          <w:sz w:val="32"/>
          <w:szCs w:val="32"/>
        </w:rPr>
      </w:pPr>
      <w:r>
        <w:rPr>
          <w:rFonts w:hint="eastAsia" w:ascii="仿宋" w:hAnsi="仿宋" w:eastAsia="仿宋" w:cs="仿宋"/>
          <w:sz w:val="32"/>
          <w:szCs w:val="32"/>
        </w:rPr>
        <w:t>对化妆品终产品，每一处理组应至少选100个分散良好的中期分裂相，且每个观察细胞的染色体数在2n±2范围之内，进行染色体畸变分析。对化妆品原料，则每一处理组至少选200个分散良好的中期分裂相进行染色体畸变分析，但阳性对照组可选100个。</w:t>
      </w:r>
    </w:p>
    <w:p>
      <w:pPr>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 xml:space="preserve"> </w:t>
      </w:r>
      <w:r>
        <w:rPr>
          <w:rFonts w:hint="eastAsia" w:ascii="仿宋" w:hAnsi="仿宋" w:eastAsia="仿宋" w:cs="仿宋"/>
          <w:sz w:val="32"/>
          <w:szCs w:val="32"/>
        </w:rPr>
        <w:t>观察指标</w:t>
      </w:r>
    </w:p>
    <w:p>
      <w:pPr>
        <w:ind w:firstLine="640" w:firstLineChars="200"/>
      </w:pPr>
      <w:r>
        <w:rPr>
          <w:rFonts w:hint="eastAsia" w:ascii="仿宋" w:hAnsi="仿宋" w:eastAsia="仿宋" w:cs="仿宋"/>
          <w:sz w:val="32"/>
          <w:szCs w:val="32"/>
        </w:rPr>
        <w:t>应观察染色体结构畸变的类型，包括断裂、裂隙、微小体、单体互换、微小体、双微小体、有着丝点环、无着丝点环、非特定性型变化；可同时观察染色体数目的改变，包括非整倍体、多倍体、核内复制。并应记录畸变细胞在显微镜视野的坐标位置和畸变类型。</w:t>
      </w:r>
    </w:p>
    <w:p>
      <w:pPr>
        <w:ind w:firstLine="640" w:firstLineChars="200"/>
        <w:rPr>
          <w:rFonts w:ascii="仿宋" w:hAnsi="仿宋" w:eastAsia="仿宋" w:cs="仿宋"/>
          <w:sz w:val="32"/>
          <w:szCs w:val="32"/>
        </w:rPr>
      </w:pPr>
      <w:r>
        <w:rPr>
          <w:rFonts w:hint="eastAsia" w:ascii="仿宋" w:hAnsi="仿宋" w:eastAsia="仿宋" w:cs="仿宋"/>
          <w:sz w:val="32"/>
          <w:szCs w:val="32"/>
        </w:rPr>
        <w:t>3. 统计学分析</w:t>
      </w:r>
    </w:p>
    <w:p>
      <w:pPr>
        <w:ind w:firstLine="640" w:firstLineChars="200"/>
        <w:rPr>
          <w:rFonts w:ascii="仿宋" w:hAnsi="仿宋" w:eastAsia="仿宋" w:cs="仿宋"/>
          <w:sz w:val="32"/>
          <w:szCs w:val="32"/>
        </w:rPr>
      </w:pPr>
      <w:r>
        <w:rPr>
          <w:rFonts w:hint="eastAsia" w:ascii="仿宋" w:hAnsi="仿宋" w:eastAsia="仿宋" w:cs="仿宋"/>
          <w:sz w:val="32"/>
          <w:szCs w:val="32"/>
        </w:rPr>
        <w:t>应用χ</w:t>
      </w:r>
      <w:r>
        <w:rPr>
          <w:rFonts w:hint="eastAsia" w:ascii="仿宋" w:hAnsi="仿宋" w:eastAsia="仿宋" w:cs="仿宋"/>
          <w:sz w:val="32"/>
          <w:szCs w:val="32"/>
          <w:vertAlign w:val="superscript"/>
        </w:rPr>
        <w:t>2</w:t>
      </w:r>
      <w:r>
        <w:rPr>
          <w:rFonts w:hint="eastAsia" w:ascii="仿宋" w:hAnsi="仿宋" w:eastAsia="仿宋" w:cs="仿宋"/>
          <w:sz w:val="32"/>
          <w:szCs w:val="32"/>
        </w:rPr>
        <w:t>检验对</w:t>
      </w:r>
      <w:r>
        <w:rPr>
          <w:rFonts w:ascii="仿宋" w:hAnsi="仿宋" w:eastAsia="仿宋" w:cs="仿宋"/>
          <w:sz w:val="32"/>
          <w:szCs w:val="32"/>
        </w:rPr>
        <w:t>阳性对照组、阴性对照组、空白对照组（如有）和受试物各剂量组的</w:t>
      </w:r>
      <w:r>
        <w:rPr>
          <w:rFonts w:hint="eastAsia" w:ascii="仿宋" w:hAnsi="仿宋" w:eastAsia="仿宋" w:cs="仿宋"/>
          <w:sz w:val="32"/>
          <w:szCs w:val="32"/>
        </w:rPr>
        <w:t>染色体畸变细胞率进行统计学分析。</w:t>
      </w:r>
    </w:p>
    <w:p>
      <w:pPr>
        <w:ind w:firstLine="643" w:firstLineChars="200"/>
        <w:outlineLvl w:val="1"/>
        <w:rPr>
          <w:rFonts w:ascii="仿宋" w:hAnsi="仿宋" w:eastAsia="仿宋" w:cs="仿宋"/>
          <w:b/>
          <w:sz w:val="32"/>
          <w:szCs w:val="32"/>
        </w:rPr>
      </w:pPr>
      <w:bookmarkStart w:id="14" w:name="_Toc127013439"/>
      <w:r>
        <w:rPr>
          <w:rFonts w:ascii="仿宋" w:hAnsi="仿宋" w:eastAsia="仿宋" w:cs="仿宋"/>
          <w:b/>
          <w:sz w:val="32"/>
          <w:szCs w:val="32"/>
        </w:rPr>
        <w:t>（二）结果确认</w:t>
      </w:r>
      <w:bookmarkEnd w:id="14"/>
    </w:p>
    <w:p>
      <w:pPr>
        <w:ind w:firstLine="640" w:firstLineChars="200"/>
        <w:rPr>
          <w:rFonts w:ascii="仿宋" w:hAnsi="仿宋" w:eastAsia="仿宋" w:cs="仿宋"/>
          <w:b/>
          <w:sz w:val="32"/>
          <w:szCs w:val="32"/>
        </w:rPr>
      </w:pPr>
      <w:r>
        <w:rPr>
          <w:rFonts w:hint="eastAsia" w:ascii="仿宋" w:hAnsi="仿宋" w:eastAsia="仿宋" w:cs="仿宋"/>
          <w:sz w:val="32"/>
          <w:szCs w:val="32"/>
        </w:rPr>
        <w:t>当受试物为化妆品原料时，如果在加入和不加入S9 mix的条件下，与细胞作用3～6h时均获得阴性结果，则需在不加S9 mix的条件下，重新检测受试物与试验系统的作用时间延长至24h的结果。</w:t>
      </w:r>
    </w:p>
    <w:p>
      <w:pPr>
        <w:ind w:firstLine="640"/>
        <w:rPr>
          <w:rFonts w:ascii="仿宋" w:hAnsi="仿宋" w:eastAsia="仿宋" w:cs="仿宋"/>
          <w:sz w:val="32"/>
          <w:szCs w:val="32"/>
        </w:rPr>
      </w:pPr>
      <w:r>
        <w:rPr>
          <w:rFonts w:hint="eastAsia" w:ascii="仿宋" w:hAnsi="仿宋" w:eastAsia="仿宋" w:cs="仿宋"/>
          <w:sz w:val="32"/>
          <w:szCs w:val="32"/>
        </w:rPr>
        <w:t>如果无法获得明确结论时，应更换试验条件如改变代谢活化条件（如改变使用浓度或代谢活化系统来源</w:t>
      </w:r>
      <w:r>
        <w:rPr>
          <w:rFonts w:ascii="仿宋" w:hAnsi="仿宋" w:eastAsia="仿宋" w:cs="仿宋"/>
          <w:sz w:val="32"/>
          <w:szCs w:val="32"/>
        </w:rPr>
        <w:t>）</w:t>
      </w:r>
      <w:r>
        <w:rPr>
          <w:rFonts w:hint="eastAsia" w:ascii="仿宋" w:hAnsi="仿宋" w:eastAsia="仿宋" w:cs="仿宋"/>
          <w:sz w:val="32"/>
          <w:szCs w:val="32"/>
        </w:rPr>
        <w:t>、受试物与试验系统接触时间等，或使用间隔系数较小的三个以上的受试浓度，再重新试验，进行结果确认。</w:t>
      </w:r>
    </w:p>
    <w:p>
      <w:pPr>
        <w:ind w:firstLine="643" w:firstLineChars="200"/>
        <w:outlineLvl w:val="1"/>
        <w:rPr>
          <w:rFonts w:ascii="仿宋" w:hAnsi="仿宋" w:eastAsia="仿宋" w:cs="仿宋"/>
          <w:b/>
          <w:bCs w:val="0"/>
          <w:sz w:val="32"/>
          <w:szCs w:val="32"/>
        </w:rPr>
      </w:pPr>
      <w:bookmarkStart w:id="15" w:name="_Toc127013440"/>
      <w:r>
        <w:rPr>
          <w:rFonts w:ascii="仿宋" w:hAnsi="仿宋" w:eastAsia="仿宋" w:cs="仿宋"/>
          <w:b/>
          <w:bCs w:val="0"/>
          <w:sz w:val="32"/>
          <w:szCs w:val="32"/>
        </w:rPr>
        <w:t>（</w:t>
      </w:r>
      <w:r>
        <w:rPr>
          <w:rFonts w:ascii="仿宋" w:hAnsi="仿宋" w:eastAsia="仿宋" w:cs="仿宋"/>
          <w:b/>
          <w:sz w:val="32"/>
          <w:szCs w:val="32"/>
        </w:rPr>
        <w:t>三</w:t>
      </w:r>
      <w:r>
        <w:rPr>
          <w:rFonts w:ascii="仿宋" w:hAnsi="仿宋" w:eastAsia="仿宋" w:cs="仿宋"/>
          <w:b/>
          <w:bCs w:val="0"/>
          <w:sz w:val="32"/>
          <w:szCs w:val="32"/>
        </w:rPr>
        <w:t>）结果评价</w:t>
      </w:r>
      <w:bookmarkEnd w:id="15"/>
    </w:p>
    <w:p>
      <w:pPr>
        <w:ind w:firstLine="640" w:firstLineChars="200"/>
        <w:rPr>
          <w:rFonts w:ascii="仿宋" w:hAnsi="仿宋" w:eastAsia="仿宋" w:cs="仿宋"/>
          <w:sz w:val="32"/>
          <w:szCs w:val="32"/>
        </w:rPr>
      </w:pPr>
      <w:r>
        <w:rPr>
          <w:rFonts w:hint="eastAsia" w:ascii="仿宋" w:hAnsi="仿宋" w:eastAsia="仿宋" w:cs="仿宋"/>
          <w:sz w:val="32"/>
          <w:szCs w:val="32"/>
        </w:rPr>
        <w:t>根据统计分析结果，符合下列两种情形可判定受试物在本试验系统中具有致突变性：</w:t>
      </w:r>
    </w:p>
    <w:p>
      <w:pPr>
        <w:autoSpaceDE w:val="0"/>
        <w:autoSpaceDN w:val="0"/>
        <w:adjustRightInd w:val="0"/>
        <w:spacing w:after="131"/>
        <w:ind w:firstLine="640" w:firstLineChars="200"/>
        <w:jc w:val="both"/>
        <w:rPr>
          <w:rFonts w:ascii="仿宋" w:hAnsi="仿宋" w:eastAsia="仿宋" w:cs="仿宋"/>
          <w:sz w:val="32"/>
          <w:szCs w:val="32"/>
        </w:rPr>
      </w:pPr>
      <w:r>
        <w:rPr>
          <w:rFonts w:hint="eastAsia" w:ascii="仿宋" w:hAnsi="仿宋" w:eastAsia="仿宋" w:cs="仿宋"/>
          <w:sz w:val="32"/>
          <w:szCs w:val="32"/>
        </w:rPr>
        <w:t>1.受试物引起染色体结构畸变数的增加具有统计学意义，并与剂量相关。</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2.受试物在任何一个剂量条件下，引起的染色体结构畸变数增加具有统计学意义，并有可重复性。</w:t>
      </w:r>
    </w:p>
    <w:p>
      <w:pPr>
        <w:autoSpaceDE w:val="0"/>
        <w:autoSpaceDN w:val="0"/>
        <w:adjustRightInd w:val="0"/>
        <w:ind w:firstLine="640" w:firstLineChars="200"/>
        <w:jc w:val="both"/>
        <w:rPr>
          <w:rFonts w:ascii="仿宋" w:hAnsi="仿宋" w:eastAsia="仿宋" w:cs="仿宋"/>
          <w:sz w:val="32"/>
          <w:szCs w:val="32"/>
        </w:rPr>
      </w:pPr>
      <w:r>
        <w:rPr>
          <w:rFonts w:hint="eastAsia" w:ascii="仿宋" w:hAnsi="仿宋" w:eastAsia="仿宋" w:cs="仿宋"/>
          <w:sz w:val="32"/>
          <w:szCs w:val="32"/>
        </w:rPr>
        <w:t>大部分的致突变剂引起染色单体型畸变，少量引起染色体型畸变。染色体畸变分析时可能发现多倍体，出现染色体数目畸变的可能，但本方法不适用于检测染色体的数目畸变。</w:t>
      </w:r>
    </w:p>
    <w:p>
      <w:pPr>
        <w:autoSpaceDE w:val="0"/>
        <w:autoSpaceDN w:val="0"/>
        <w:adjustRightInd w:val="0"/>
        <w:ind w:firstLine="640" w:firstLineChars="200"/>
        <w:jc w:val="both"/>
        <w:rPr>
          <w:rFonts w:ascii="仿宋" w:hAnsi="仿宋" w:eastAsia="仿宋" w:cs="仿宋"/>
          <w:sz w:val="32"/>
          <w:szCs w:val="32"/>
        </w:rPr>
      </w:pPr>
      <w:r>
        <w:rPr>
          <w:rFonts w:hint="eastAsia" w:ascii="仿宋" w:hAnsi="仿宋" w:eastAsia="仿宋" w:cs="仿宋"/>
          <w:sz w:val="32"/>
          <w:szCs w:val="32"/>
        </w:rPr>
        <w:t>试验阳性结果表明受试物在该试验条件下具有致突变性。阴性结果表明在该试验条件下受试物不具有致突变性。结果评价时还应把统计学意义与生物学意义相结合，进行综合考虑。</w:t>
      </w:r>
    </w:p>
    <w:p>
      <w:pPr>
        <w:ind w:firstLine="640" w:firstLineChars="200"/>
        <w:outlineLvl w:val="0"/>
        <w:rPr>
          <w:rFonts w:ascii="黑体" w:hAnsi="黑体" w:eastAsia="黑体" w:cs="黑体"/>
          <w:bCs/>
          <w:sz w:val="32"/>
          <w:szCs w:val="32"/>
        </w:rPr>
      </w:pPr>
      <w:bookmarkStart w:id="16" w:name="_Toc127013441"/>
      <w:r>
        <w:rPr>
          <w:rFonts w:hint="eastAsia" w:ascii="黑体" w:hAnsi="黑体" w:eastAsia="黑体" w:cs="黑体"/>
          <w:bCs/>
          <w:sz w:val="32"/>
          <w:szCs w:val="32"/>
        </w:rPr>
        <w:t>五、参考文献</w:t>
      </w:r>
      <w:bookmarkEnd w:id="16"/>
    </w:p>
    <w:p>
      <w:pPr>
        <w:ind w:firstLine="640" w:firstLineChars="200"/>
        <w:rPr>
          <w:rFonts w:ascii="仿宋" w:hAnsi="仿宋" w:eastAsia="仿宋" w:cs="仿宋"/>
          <w:sz w:val="32"/>
          <w:szCs w:val="32"/>
        </w:rPr>
      </w:pPr>
      <w:r>
        <w:rPr>
          <w:rFonts w:hint="eastAsia" w:ascii="仿宋" w:hAnsi="仿宋" w:eastAsia="仿宋" w:cs="仿宋"/>
          <w:sz w:val="32"/>
          <w:szCs w:val="32"/>
        </w:rPr>
        <w:t>1. 国家药品监督管理局.化妆品安全技术规范.2015.</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 OECD. Guideline for the testing of chemicals No.473: </w:t>
      </w:r>
      <w:r>
        <w:rPr>
          <w:rFonts w:hint="eastAsia" w:ascii="仿宋" w:hAnsi="仿宋" w:eastAsia="仿宋" w:cs="仿宋"/>
          <w:i/>
          <w:sz w:val="32"/>
          <w:szCs w:val="32"/>
        </w:rPr>
        <w:t>In vitro</w:t>
      </w:r>
      <w:r>
        <w:rPr>
          <w:rFonts w:hint="eastAsia" w:ascii="仿宋" w:hAnsi="仿宋" w:eastAsia="仿宋" w:cs="仿宋"/>
          <w:sz w:val="32"/>
          <w:szCs w:val="32"/>
        </w:rPr>
        <w:t xml:space="preserve"> mammalian chromosomal aberration test.2016.</w:t>
      </w:r>
    </w:p>
    <w:p>
      <w:pPr>
        <w:ind w:firstLine="640" w:firstLineChars="200"/>
        <w:rPr>
          <w:rFonts w:ascii="仿宋" w:hAnsi="仿宋" w:eastAsia="仿宋" w:cs="仿宋"/>
          <w:sz w:val="32"/>
          <w:szCs w:val="32"/>
        </w:rPr>
      </w:pPr>
      <w:r>
        <w:rPr>
          <w:rFonts w:hint="eastAsia" w:ascii="仿宋" w:hAnsi="仿宋" w:eastAsia="仿宋" w:cs="仿宋"/>
          <w:sz w:val="32"/>
          <w:szCs w:val="32"/>
        </w:rPr>
        <w:t>3.国家食品药品监督管理总局. 药物遗传毒性研究技术指导原则 [S]. 2018.</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 中华人民共和国国家卫生和计划生育委员会. 食品安全国家标准 体外哺乳动物细胞染色体畸变试验: GB 15193.23-2014 [S]. </w:t>
      </w:r>
    </w:p>
    <w:p>
      <w:pPr>
        <w:ind w:firstLine="640" w:firstLineChars="200"/>
        <w:outlineLvl w:val="0"/>
        <w:rPr>
          <w:rFonts w:ascii="黑体" w:hAnsi="黑体" w:eastAsia="黑体" w:cs="黑体"/>
          <w:bCs/>
          <w:sz w:val="32"/>
          <w:szCs w:val="32"/>
        </w:rPr>
      </w:pPr>
      <w:bookmarkStart w:id="17" w:name="_Toc127013442"/>
      <w:r>
        <w:rPr>
          <w:rFonts w:hint="eastAsia" w:ascii="黑体" w:hAnsi="黑体" w:eastAsia="黑体" w:cs="黑体"/>
          <w:bCs/>
          <w:sz w:val="32"/>
          <w:szCs w:val="32"/>
        </w:rPr>
        <w:t>六、术语和释义</w:t>
      </w:r>
      <w:bookmarkEnd w:id="17"/>
    </w:p>
    <w:p>
      <w:pPr>
        <w:ind w:firstLine="640" w:firstLineChars="200"/>
        <w:rPr>
          <w:rFonts w:ascii="仿宋" w:hAnsi="仿宋" w:eastAsia="仿宋" w:cs="仿宋"/>
          <w:sz w:val="32"/>
          <w:szCs w:val="32"/>
        </w:rPr>
      </w:pPr>
      <w:r>
        <w:rPr>
          <w:rFonts w:hint="eastAsia" w:ascii="仿宋" w:hAnsi="仿宋" w:eastAsia="仿宋" w:cs="仿宋"/>
          <w:sz w:val="32"/>
          <w:szCs w:val="32"/>
        </w:rPr>
        <w:t>（一）染色体结构畸变（structural aberration）</w:t>
      </w:r>
    </w:p>
    <w:p>
      <w:pPr>
        <w:ind w:firstLine="640" w:firstLineChars="200"/>
        <w:rPr>
          <w:rFonts w:ascii="仿宋" w:hAnsi="仿宋" w:eastAsia="仿宋" w:cs="仿宋"/>
          <w:sz w:val="32"/>
          <w:szCs w:val="32"/>
        </w:rPr>
      </w:pPr>
      <w:r>
        <w:rPr>
          <w:rFonts w:hint="eastAsia" w:ascii="仿宋" w:hAnsi="仿宋" w:eastAsia="仿宋" w:cs="仿宋"/>
          <w:sz w:val="32"/>
          <w:szCs w:val="32"/>
        </w:rPr>
        <w:t>应用显微镜可以检查出发生在细胞有丝分裂中期的染色体结构损伤，主要表现为染色体中间缺失或断片、染色体互换等。染色体结构畸变可分为染色体型畸变（chromosome-type aberration）和染色单体型畸变（chromatid-type aberration）。</w:t>
      </w:r>
    </w:p>
    <w:p>
      <w:pPr>
        <w:ind w:firstLine="640" w:firstLineChars="200"/>
        <w:rPr>
          <w:rFonts w:ascii="仿宋" w:hAnsi="仿宋" w:eastAsia="仿宋" w:cs="仿宋"/>
          <w:sz w:val="32"/>
          <w:szCs w:val="32"/>
        </w:rPr>
      </w:pPr>
      <w:r>
        <w:rPr>
          <w:rFonts w:hint="eastAsia" w:ascii="仿宋" w:hAnsi="仿宋" w:eastAsia="仿宋" w:cs="仿宋"/>
          <w:sz w:val="32"/>
          <w:szCs w:val="32"/>
        </w:rPr>
        <w:t>1.染色体型畸变</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两个染色单体相同位点均出现断裂或断裂重组的改变。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2.染色单体型畸变 </w:t>
      </w:r>
    </w:p>
    <w:p>
      <w:pPr>
        <w:ind w:firstLine="640" w:firstLineChars="200"/>
        <w:rPr>
          <w:rFonts w:ascii="仿宋" w:hAnsi="仿宋" w:eastAsia="仿宋" w:cs="仿宋"/>
          <w:sz w:val="32"/>
          <w:szCs w:val="32"/>
        </w:rPr>
      </w:pPr>
      <w:r>
        <w:rPr>
          <w:rFonts w:hint="eastAsia" w:ascii="仿宋" w:hAnsi="仿宋" w:eastAsia="仿宋" w:cs="仿宋"/>
          <w:sz w:val="32"/>
          <w:szCs w:val="32"/>
        </w:rPr>
        <w:t>染色单体断裂或染色单体断裂重组的损伤。</w:t>
      </w:r>
    </w:p>
    <w:p>
      <w:pPr>
        <w:ind w:firstLine="640" w:firstLineChars="200"/>
        <w:rPr>
          <w:rFonts w:ascii="仿宋" w:hAnsi="仿宋" w:eastAsia="仿宋" w:cs="仿宋"/>
          <w:sz w:val="32"/>
          <w:szCs w:val="32"/>
        </w:rPr>
      </w:pPr>
      <w:r>
        <w:rPr>
          <w:rFonts w:hint="eastAsia" w:ascii="仿宋" w:hAnsi="仿宋" w:eastAsia="仿宋" w:cs="仿宋"/>
          <w:sz w:val="32"/>
          <w:szCs w:val="32"/>
        </w:rPr>
        <w:t>（二）有丝分裂指数（ mitotic index ）</w:t>
      </w:r>
    </w:p>
    <w:p>
      <w:pPr>
        <w:ind w:firstLine="640" w:firstLineChars="200"/>
        <w:rPr>
          <w:rFonts w:ascii="仿宋" w:hAnsi="仿宋" w:eastAsia="仿宋" w:cs="仿宋"/>
          <w:sz w:val="32"/>
          <w:szCs w:val="32"/>
        </w:rPr>
      </w:pPr>
      <w:r>
        <w:rPr>
          <w:rFonts w:hint="eastAsia" w:ascii="仿宋" w:hAnsi="仿宋" w:eastAsia="仿宋" w:cs="仿宋"/>
          <w:sz w:val="32"/>
          <w:szCs w:val="32"/>
        </w:rPr>
        <w:t>中期相细胞数与所观察的细胞总数之比值；是一项反映细胞增殖程度的指标。</w:t>
      </w:r>
    </w:p>
    <w:p>
      <w:pPr>
        <w:ind w:firstLine="640" w:firstLineChars="200"/>
        <w:rPr>
          <w:rFonts w:ascii="仿宋" w:hAnsi="仿宋" w:eastAsia="仿宋" w:cs="仿宋"/>
          <w:sz w:val="32"/>
          <w:szCs w:val="32"/>
        </w:rPr>
      </w:pPr>
      <w:r>
        <w:rPr>
          <w:rFonts w:hint="eastAsia" w:ascii="仿宋" w:hAnsi="仿宋" w:eastAsia="仿宋" w:cs="仿宋"/>
          <w:sz w:val="32"/>
          <w:szCs w:val="32"/>
        </w:rPr>
        <w:t>（三）核内复制</w:t>
      </w:r>
    </w:p>
    <w:p>
      <w:pPr>
        <w:ind w:firstLine="640" w:firstLineChars="200"/>
        <w:rPr>
          <w:rFonts w:ascii="仿宋" w:hAnsi="仿宋" w:eastAsia="仿宋" w:cs="仿宋"/>
          <w:sz w:val="32"/>
          <w:szCs w:val="32"/>
        </w:rPr>
      </w:pPr>
      <w:r>
        <w:rPr>
          <w:rFonts w:hint="eastAsia" w:ascii="仿宋" w:hAnsi="仿宋" w:eastAsia="仿宋" w:cs="仿宋"/>
          <w:sz w:val="32"/>
          <w:szCs w:val="32"/>
        </w:rPr>
        <w:t>在 DNA复制的S期之后，细胞核未进行有丝分裂就开始了另一个 S期的过程，其结果是染色体有4、8、16…倍的染色单体。</w:t>
      </w:r>
    </w:p>
    <w:p>
      <w:pPr>
        <w:ind w:firstLine="640" w:firstLineChars="200"/>
        <w:rPr>
          <w:rFonts w:ascii="仿宋" w:hAnsi="仿宋" w:eastAsia="仿宋" w:cs="仿宋"/>
          <w:sz w:val="32"/>
          <w:szCs w:val="32"/>
        </w:rPr>
      </w:pPr>
      <w:r>
        <w:rPr>
          <w:rFonts w:hint="eastAsia" w:ascii="仿宋" w:hAnsi="仿宋" w:eastAsia="仿宋" w:cs="仿宋"/>
          <w:sz w:val="32"/>
          <w:szCs w:val="32"/>
        </w:rPr>
        <w:t>（四）裂隙</w:t>
      </w:r>
    </w:p>
    <w:p>
      <w:pPr>
        <w:ind w:firstLine="640" w:firstLineChars="200"/>
        <w:rPr>
          <w:rFonts w:ascii="仿宋" w:hAnsi="仿宋" w:eastAsia="仿宋" w:cs="仿宋"/>
          <w:sz w:val="32"/>
          <w:szCs w:val="32"/>
        </w:rPr>
      </w:pPr>
      <w:r>
        <w:rPr>
          <w:rFonts w:hint="eastAsia" w:ascii="仿宋" w:hAnsi="仿宋" w:eastAsia="仿宋" w:cs="仿宋"/>
          <w:sz w:val="32"/>
          <w:szCs w:val="32"/>
        </w:rPr>
        <w:t>染色体或染色单体损伤的长度小于一个染色单体的宽度，为染色单体的最小错误排列。</w:t>
      </w:r>
    </w:p>
    <w:p>
      <w:pPr>
        <w:ind w:firstLine="640" w:firstLineChars="200"/>
        <w:outlineLvl w:val="0"/>
        <w:rPr>
          <w:rFonts w:ascii="黑体" w:hAnsi="黑体" w:eastAsia="黑体" w:cs="黑体"/>
          <w:bCs/>
          <w:sz w:val="32"/>
          <w:szCs w:val="32"/>
        </w:rPr>
      </w:pPr>
      <w:bookmarkStart w:id="18" w:name="_Toc127013443"/>
      <w:r>
        <w:rPr>
          <w:rFonts w:hint="eastAsia" w:ascii="黑体" w:hAnsi="黑体" w:eastAsia="黑体" w:cs="黑体"/>
          <w:bCs/>
          <w:sz w:val="32"/>
          <w:szCs w:val="32"/>
        </w:rPr>
        <w:t>六、附录</w:t>
      </w:r>
      <w:bookmarkEnd w:id="18"/>
    </w:p>
    <w:p>
      <w:pPr>
        <w:ind w:firstLine="640" w:firstLineChars="200"/>
        <w:rPr>
          <w:rFonts w:ascii="仿宋" w:hAnsi="仿宋" w:eastAsia="仿宋" w:cs="仿宋"/>
          <w:sz w:val="32"/>
          <w:szCs w:val="32"/>
        </w:rPr>
      </w:pPr>
      <w:r>
        <w:rPr>
          <w:rFonts w:hint="eastAsia" w:ascii="仿宋" w:hAnsi="仿宋" w:eastAsia="仿宋" w:cs="仿宋"/>
          <w:sz w:val="32"/>
          <w:szCs w:val="32"/>
        </w:rPr>
        <w:t>试验方法可参照《化妆品安全技术规范》中收录的“体外哺乳动物细胞染色体畸变试验”。</w:t>
      </w:r>
    </w:p>
    <w:p>
      <w:pPr>
        <w:ind w:firstLine="640" w:firstLineChars="200"/>
        <w:rPr>
          <w:rFonts w:ascii="仿宋" w:hAnsi="仿宋" w:eastAsia="仿宋" w:cs="仿宋"/>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6245908"/>
    </w:sdtPr>
    <w:sdtContent>
      <w:p>
        <w:pPr>
          <w:pStyle w:val="3"/>
          <w:jc w:val="center"/>
        </w:pPr>
        <w:r>
          <w:fldChar w:fldCharType="begin"/>
        </w:r>
        <w:r>
          <w:instrText xml:space="preserve">PAGE   \* MERGEFORMAT</w:instrText>
        </w:r>
        <w:r>
          <w:fldChar w:fldCharType="separate"/>
        </w:r>
        <w:r>
          <w:rPr>
            <w:lang w:val="zh-CN"/>
          </w:rPr>
          <w:t>10</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NzA0NTJjZTE3ZmM3MGI4ZjQ4ZmZjZjg5OGZiOGEifQ=="/>
  </w:docVars>
  <w:rsids>
    <w:rsidRoot w:val="004B04B8"/>
    <w:rsid w:val="00001360"/>
    <w:rsid w:val="00003431"/>
    <w:rsid w:val="00003450"/>
    <w:rsid w:val="0000366C"/>
    <w:rsid w:val="000042D0"/>
    <w:rsid w:val="0000570D"/>
    <w:rsid w:val="00005886"/>
    <w:rsid w:val="00005D2C"/>
    <w:rsid w:val="000061AE"/>
    <w:rsid w:val="000076B5"/>
    <w:rsid w:val="00010569"/>
    <w:rsid w:val="0001080A"/>
    <w:rsid w:val="000108B3"/>
    <w:rsid w:val="0001358A"/>
    <w:rsid w:val="00013ED8"/>
    <w:rsid w:val="00014FEB"/>
    <w:rsid w:val="00015834"/>
    <w:rsid w:val="00015853"/>
    <w:rsid w:val="00015A11"/>
    <w:rsid w:val="00015C69"/>
    <w:rsid w:val="00016397"/>
    <w:rsid w:val="00017D22"/>
    <w:rsid w:val="000200A0"/>
    <w:rsid w:val="00021399"/>
    <w:rsid w:val="00021F79"/>
    <w:rsid w:val="000222B9"/>
    <w:rsid w:val="0002301C"/>
    <w:rsid w:val="0002356E"/>
    <w:rsid w:val="00024806"/>
    <w:rsid w:val="00024C84"/>
    <w:rsid w:val="00025C5C"/>
    <w:rsid w:val="000304C2"/>
    <w:rsid w:val="00030B66"/>
    <w:rsid w:val="00031145"/>
    <w:rsid w:val="0003135C"/>
    <w:rsid w:val="00031499"/>
    <w:rsid w:val="00031897"/>
    <w:rsid w:val="00031983"/>
    <w:rsid w:val="00031ACD"/>
    <w:rsid w:val="00032B0C"/>
    <w:rsid w:val="000336BB"/>
    <w:rsid w:val="00033A56"/>
    <w:rsid w:val="00034606"/>
    <w:rsid w:val="000352CD"/>
    <w:rsid w:val="0003751C"/>
    <w:rsid w:val="0004032E"/>
    <w:rsid w:val="00041A07"/>
    <w:rsid w:val="000431CB"/>
    <w:rsid w:val="00043DC4"/>
    <w:rsid w:val="000444FD"/>
    <w:rsid w:val="00044914"/>
    <w:rsid w:val="00045BE0"/>
    <w:rsid w:val="000464BC"/>
    <w:rsid w:val="00046953"/>
    <w:rsid w:val="00047025"/>
    <w:rsid w:val="000473AB"/>
    <w:rsid w:val="00047529"/>
    <w:rsid w:val="0005067E"/>
    <w:rsid w:val="000515A0"/>
    <w:rsid w:val="000522DA"/>
    <w:rsid w:val="0005271F"/>
    <w:rsid w:val="00054636"/>
    <w:rsid w:val="00055472"/>
    <w:rsid w:val="00055FEE"/>
    <w:rsid w:val="000613E6"/>
    <w:rsid w:val="000615BB"/>
    <w:rsid w:val="00061D47"/>
    <w:rsid w:val="00061D8F"/>
    <w:rsid w:val="00062411"/>
    <w:rsid w:val="00063862"/>
    <w:rsid w:val="0006442E"/>
    <w:rsid w:val="0006455D"/>
    <w:rsid w:val="000649D0"/>
    <w:rsid w:val="00064B18"/>
    <w:rsid w:val="00064C13"/>
    <w:rsid w:val="00064D70"/>
    <w:rsid w:val="00071BF9"/>
    <w:rsid w:val="00072384"/>
    <w:rsid w:val="000728C6"/>
    <w:rsid w:val="00072D0A"/>
    <w:rsid w:val="00073A54"/>
    <w:rsid w:val="0007451E"/>
    <w:rsid w:val="000758D2"/>
    <w:rsid w:val="00076BAB"/>
    <w:rsid w:val="00077972"/>
    <w:rsid w:val="00080FB3"/>
    <w:rsid w:val="00081785"/>
    <w:rsid w:val="00083F80"/>
    <w:rsid w:val="00084B9D"/>
    <w:rsid w:val="00086B60"/>
    <w:rsid w:val="00086DE5"/>
    <w:rsid w:val="000879A6"/>
    <w:rsid w:val="00091424"/>
    <w:rsid w:val="0009143A"/>
    <w:rsid w:val="00091D26"/>
    <w:rsid w:val="000923BE"/>
    <w:rsid w:val="00094421"/>
    <w:rsid w:val="00094B08"/>
    <w:rsid w:val="000972AD"/>
    <w:rsid w:val="000973CA"/>
    <w:rsid w:val="000A2C57"/>
    <w:rsid w:val="000A32F4"/>
    <w:rsid w:val="000A414F"/>
    <w:rsid w:val="000A453A"/>
    <w:rsid w:val="000A4E77"/>
    <w:rsid w:val="000A527E"/>
    <w:rsid w:val="000A6C6F"/>
    <w:rsid w:val="000B11E9"/>
    <w:rsid w:val="000B330D"/>
    <w:rsid w:val="000B3862"/>
    <w:rsid w:val="000B447F"/>
    <w:rsid w:val="000B45E9"/>
    <w:rsid w:val="000B4667"/>
    <w:rsid w:val="000B4BF4"/>
    <w:rsid w:val="000B4D07"/>
    <w:rsid w:val="000B4F8E"/>
    <w:rsid w:val="000B5803"/>
    <w:rsid w:val="000B661D"/>
    <w:rsid w:val="000B6A23"/>
    <w:rsid w:val="000B6B18"/>
    <w:rsid w:val="000B768E"/>
    <w:rsid w:val="000B7ABF"/>
    <w:rsid w:val="000B7DC9"/>
    <w:rsid w:val="000C03C3"/>
    <w:rsid w:val="000C0625"/>
    <w:rsid w:val="000C1915"/>
    <w:rsid w:val="000C30B8"/>
    <w:rsid w:val="000C3D91"/>
    <w:rsid w:val="000C59CA"/>
    <w:rsid w:val="000C7394"/>
    <w:rsid w:val="000D12E4"/>
    <w:rsid w:val="000D28F4"/>
    <w:rsid w:val="000D35BC"/>
    <w:rsid w:val="000D47BE"/>
    <w:rsid w:val="000D5332"/>
    <w:rsid w:val="000D5400"/>
    <w:rsid w:val="000D5D97"/>
    <w:rsid w:val="000D5FE3"/>
    <w:rsid w:val="000D61F5"/>
    <w:rsid w:val="000D6514"/>
    <w:rsid w:val="000D7123"/>
    <w:rsid w:val="000D7213"/>
    <w:rsid w:val="000E00D2"/>
    <w:rsid w:val="000E10AD"/>
    <w:rsid w:val="000E1AB2"/>
    <w:rsid w:val="000E1B19"/>
    <w:rsid w:val="000E2201"/>
    <w:rsid w:val="000E3662"/>
    <w:rsid w:val="000E3692"/>
    <w:rsid w:val="000E3A8B"/>
    <w:rsid w:val="000E42BE"/>
    <w:rsid w:val="000E42D2"/>
    <w:rsid w:val="000E4E4F"/>
    <w:rsid w:val="000E63F5"/>
    <w:rsid w:val="000E710D"/>
    <w:rsid w:val="000E7199"/>
    <w:rsid w:val="000E7C9C"/>
    <w:rsid w:val="000E7EA3"/>
    <w:rsid w:val="000F260B"/>
    <w:rsid w:val="000F58FB"/>
    <w:rsid w:val="000F5ADF"/>
    <w:rsid w:val="000F76AE"/>
    <w:rsid w:val="000F7CB4"/>
    <w:rsid w:val="00100277"/>
    <w:rsid w:val="00100B1A"/>
    <w:rsid w:val="0010120F"/>
    <w:rsid w:val="001056F9"/>
    <w:rsid w:val="00105A8A"/>
    <w:rsid w:val="001060D4"/>
    <w:rsid w:val="00110526"/>
    <w:rsid w:val="00110582"/>
    <w:rsid w:val="001105FB"/>
    <w:rsid w:val="00110C8C"/>
    <w:rsid w:val="00110E34"/>
    <w:rsid w:val="00110F91"/>
    <w:rsid w:val="00113212"/>
    <w:rsid w:val="0011330D"/>
    <w:rsid w:val="0011374F"/>
    <w:rsid w:val="0011553D"/>
    <w:rsid w:val="001208CC"/>
    <w:rsid w:val="00122FA5"/>
    <w:rsid w:val="00123E7A"/>
    <w:rsid w:val="00126241"/>
    <w:rsid w:val="00126834"/>
    <w:rsid w:val="001269B0"/>
    <w:rsid w:val="0013102B"/>
    <w:rsid w:val="001315C3"/>
    <w:rsid w:val="00132A96"/>
    <w:rsid w:val="00133243"/>
    <w:rsid w:val="00133759"/>
    <w:rsid w:val="00133DC4"/>
    <w:rsid w:val="0013467B"/>
    <w:rsid w:val="00135773"/>
    <w:rsid w:val="00135D36"/>
    <w:rsid w:val="00136585"/>
    <w:rsid w:val="00136B45"/>
    <w:rsid w:val="00140E1D"/>
    <w:rsid w:val="00141059"/>
    <w:rsid w:val="00142930"/>
    <w:rsid w:val="00143500"/>
    <w:rsid w:val="00143774"/>
    <w:rsid w:val="00144EEA"/>
    <w:rsid w:val="00144FD6"/>
    <w:rsid w:val="0014667C"/>
    <w:rsid w:val="00146DEA"/>
    <w:rsid w:val="00147246"/>
    <w:rsid w:val="001473ED"/>
    <w:rsid w:val="00150FEB"/>
    <w:rsid w:val="00151D2A"/>
    <w:rsid w:val="00152DA9"/>
    <w:rsid w:val="00153F3B"/>
    <w:rsid w:val="0015423A"/>
    <w:rsid w:val="00155034"/>
    <w:rsid w:val="00156BFE"/>
    <w:rsid w:val="00157BB6"/>
    <w:rsid w:val="00160AA3"/>
    <w:rsid w:val="00162373"/>
    <w:rsid w:val="001636A2"/>
    <w:rsid w:val="00163EC7"/>
    <w:rsid w:val="00164145"/>
    <w:rsid w:val="00165D47"/>
    <w:rsid w:val="0017237A"/>
    <w:rsid w:val="001724EC"/>
    <w:rsid w:val="0017413C"/>
    <w:rsid w:val="00174C39"/>
    <w:rsid w:val="00181010"/>
    <w:rsid w:val="00181EC5"/>
    <w:rsid w:val="00182342"/>
    <w:rsid w:val="001858DC"/>
    <w:rsid w:val="00186B00"/>
    <w:rsid w:val="001902F6"/>
    <w:rsid w:val="00191B53"/>
    <w:rsid w:val="00191D9C"/>
    <w:rsid w:val="0019262F"/>
    <w:rsid w:val="0019325D"/>
    <w:rsid w:val="00193B91"/>
    <w:rsid w:val="00193D43"/>
    <w:rsid w:val="00193F5D"/>
    <w:rsid w:val="00194031"/>
    <w:rsid w:val="0019413E"/>
    <w:rsid w:val="0019574A"/>
    <w:rsid w:val="0019586A"/>
    <w:rsid w:val="00195F24"/>
    <w:rsid w:val="00196787"/>
    <w:rsid w:val="00197D93"/>
    <w:rsid w:val="001A015A"/>
    <w:rsid w:val="001A0CD7"/>
    <w:rsid w:val="001A0F2D"/>
    <w:rsid w:val="001A31FC"/>
    <w:rsid w:val="001A32B8"/>
    <w:rsid w:val="001A3397"/>
    <w:rsid w:val="001A3411"/>
    <w:rsid w:val="001A3943"/>
    <w:rsid w:val="001A40F8"/>
    <w:rsid w:val="001A42E7"/>
    <w:rsid w:val="001A51AA"/>
    <w:rsid w:val="001A56D6"/>
    <w:rsid w:val="001A58E3"/>
    <w:rsid w:val="001A6F75"/>
    <w:rsid w:val="001B0259"/>
    <w:rsid w:val="001B0341"/>
    <w:rsid w:val="001B225B"/>
    <w:rsid w:val="001B3110"/>
    <w:rsid w:val="001B397C"/>
    <w:rsid w:val="001B651C"/>
    <w:rsid w:val="001B6DD6"/>
    <w:rsid w:val="001B76F8"/>
    <w:rsid w:val="001B771C"/>
    <w:rsid w:val="001C05A6"/>
    <w:rsid w:val="001C254A"/>
    <w:rsid w:val="001C2ADC"/>
    <w:rsid w:val="001C3AB2"/>
    <w:rsid w:val="001C3C3C"/>
    <w:rsid w:val="001C5771"/>
    <w:rsid w:val="001C6291"/>
    <w:rsid w:val="001C7973"/>
    <w:rsid w:val="001C7E9D"/>
    <w:rsid w:val="001D1E5B"/>
    <w:rsid w:val="001D3583"/>
    <w:rsid w:val="001D3649"/>
    <w:rsid w:val="001D365D"/>
    <w:rsid w:val="001D6154"/>
    <w:rsid w:val="001D6D25"/>
    <w:rsid w:val="001E1624"/>
    <w:rsid w:val="001E25BE"/>
    <w:rsid w:val="001E3F42"/>
    <w:rsid w:val="001E4E6B"/>
    <w:rsid w:val="001E51E9"/>
    <w:rsid w:val="001E61AF"/>
    <w:rsid w:val="001E63EA"/>
    <w:rsid w:val="001E6621"/>
    <w:rsid w:val="001F0925"/>
    <w:rsid w:val="001F0F1B"/>
    <w:rsid w:val="001F1BE7"/>
    <w:rsid w:val="001F3A62"/>
    <w:rsid w:val="001F42EA"/>
    <w:rsid w:val="001F4E96"/>
    <w:rsid w:val="001F5709"/>
    <w:rsid w:val="001F57B2"/>
    <w:rsid w:val="001F5A33"/>
    <w:rsid w:val="001F783F"/>
    <w:rsid w:val="00201336"/>
    <w:rsid w:val="00201D15"/>
    <w:rsid w:val="00202440"/>
    <w:rsid w:val="00202F6E"/>
    <w:rsid w:val="00203296"/>
    <w:rsid w:val="0020358B"/>
    <w:rsid w:val="0020385A"/>
    <w:rsid w:val="00205921"/>
    <w:rsid w:val="002065F9"/>
    <w:rsid w:val="00207414"/>
    <w:rsid w:val="00207C44"/>
    <w:rsid w:val="00210134"/>
    <w:rsid w:val="002101CB"/>
    <w:rsid w:val="00210A31"/>
    <w:rsid w:val="0021207A"/>
    <w:rsid w:val="0021208A"/>
    <w:rsid w:val="002123D1"/>
    <w:rsid w:val="00212498"/>
    <w:rsid w:val="0021378F"/>
    <w:rsid w:val="00214114"/>
    <w:rsid w:val="0021691F"/>
    <w:rsid w:val="00217CFC"/>
    <w:rsid w:val="00217FB0"/>
    <w:rsid w:val="002204EF"/>
    <w:rsid w:val="00220AA9"/>
    <w:rsid w:val="00220FFB"/>
    <w:rsid w:val="00221CAC"/>
    <w:rsid w:val="00222155"/>
    <w:rsid w:val="00222435"/>
    <w:rsid w:val="00222781"/>
    <w:rsid w:val="00222A08"/>
    <w:rsid w:val="0022330A"/>
    <w:rsid w:val="0022332A"/>
    <w:rsid w:val="00225949"/>
    <w:rsid w:val="00225D4F"/>
    <w:rsid w:val="0022621E"/>
    <w:rsid w:val="0022627F"/>
    <w:rsid w:val="002271A8"/>
    <w:rsid w:val="00230C39"/>
    <w:rsid w:val="00231558"/>
    <w:rsid w:val="00231809"/>
    <w:rsid w:val="0023423A"/>
    <w:rsid w:val="00234564"/>
    <w:rsid w:val="0023498E"/>
    <w:rsid w:val="00235501"/>
    <w:rsid w:val="00235EB8"/>
    <w:rsid w:val="00236A54"/>
    <w:rsid w:val="00236E58"/>
    <w:rsid w:val="00237E77"/>
    <w:rsid w:val="0024168A"/>
    <w:rsid w:val="0024185B"/>
    <w:rsid w:val="002422FA"/>
    <w:rsid w:val="002439EF"/>
    <w:rsid w:val="0024566D"/>
    <w:rsid w:val="00246FB4"/>
    <w:rsid w:val="00247FB7"/>
    <w:rsid w:val="002508E8"/>
    <w:rsid w:val="00251AB4"/>
    <w:rsid w:val="002537FF"/>
    <w:rsid w:val="0025382E"/>
    <w:rsid w:val="0025717F"/>
    <w:rsid w:val="0026057E"/>
    <w:rsid w:val="00261F75"/>
    <w:rsid w:val="00262040"/>
    <w:rsid w:val="00262BFB"/>
    <w:rsid w:val="00263629"/>
    <w:rsid w:val="002638F3"/>
    <w:rsid w:val="0026441A"/>
    <w:rsid w:val="00265BF1"/>
    <w:rsid w:val="00265C4D"/>
    <w:rsid w:val="00267319"/>
    <w:rsid w:val="0026736D"/>
    <w:rsid w:val="00271BB3"/>
    <w:rsid w:val="002730C5"/>
    <w:rsid w:val="002732FA"/>
    <w:rsid w:val="00273AC1"/>
    <w:rsid w:val="00274072"/>
    <w:rsid w:val="002740DD"/>
    <w:rsid w:val="002769D4"/>
    <w:rsid w:val="00276B0D"/>
    <w:rsid w:val="00276B5D"/>
    <w:rsid w:val="00280D2B"/>
    <w:rsid w:val="00281FEB"/>
    <w:rsid w:val="0028356E"/>
    <w:rsid w:val="002842BF"/>
    <w:rsid w:val="0028609D"/>
    <w:rsid w:val="00286982"/>
    <w:rsid w:val="002872F5"/>
    <w:rsid w:val="0028799D"/>
    <w:rsid w:val="00290BD6"/>
    <w:rsid w:val="002914FA"/>
    <w:rsid w:val="002929AC"/>
    <w:rsid w:val="002934C4"/>
    <w:rsid w:val="002942CD"/>
    <w:rsid w:val="00294B50"/>
    <w:rsid w:val="00294EEC"/>
    <w:rsid w:val="002953BB"/>
    <w:rsid w:val="00295E86"/>
    <w:rsid w:val="002971EB"/>
    <w:rsid w:val="00297888"/>
    <w:rsid w:val="002A0206"/>
    <w:rsid w:val="002A09AA"/>
    <w:rsid w:val="002A0D08"/>
    <w:rsid w:val="002A36E3"/>
    <w:rsid w:val="002A5BC8"/>
    <w:rsid w:val="002A5C0D"/>
    <w:rsid w:val="002A5C46"/>
    <w:rsid w:val="002A7405"/>
    <w:rsid w:val="002B06A1"/>
    <w:rsid w:val="002B0DA5"/>
    <w:rsid w:val="002B0DA9"/>
    <w:rsid w:val="002B2371"/>
    <w:rsid w:val="002B278E"/>
    <w:rsid w:val="002B2B15"/>
    <w:rsid w:val="002B3257"/>
    <w:rsid w:val="002B386B"/>
    <w:rsid w:val="002B3A41"/>
    <w:rsid w:val="002B3D33"/>
    <w:rsid w:val="002B5933"/>
    <w:rsid w:val="002B5A50"/>
    <w:rsid w:val="002B68AA"/>
    <w:rsid w:val="002B7445"/>
    <w:rsid w:val="002B790B"/>
    <w:rsid w:val="002B7FB7"/>
    <w:rsid w:val="002C1203"/>
    <w:rsid w:val="002C1594"/>
    <w:rsid w:val="002C24D7"/>
    <w:rsid w:val="002C28E1"/>
    <w:rsid w:val="002C4F76"/>
    <w:rsid w:val="002C59D7"/>
    <w:rsid w:val="002C6656"/>
    <w:rsid w:val="002C6ED9"/>
    <w:rsid w:val="002C75A4"/>
    <w:rsid w:val="002C7E1A"/>
    <w:rsid w:val="002C7F50"/>
    <w:rsid w:val="002D02A1"/>
    <w:rsid w:val="002D0C4C"/>
    <w:rsid w:val="002D0C56"/>
    <w:rsid w:val="002D1D84"/>
    <w:rsid w:val="002D2089"/>
    <w:rsid w:val="002D4783"/>
    <w:rsid w:val="002D514B"/>
    <w:rsid w:val="002D55DB"/>
    <w:rsid w:val="002D6918"/>
    <w:rsid w:val="002D69A8"/>
    <w:rsid w:val="002D72AD"/>
    <w:rsid w:val="002D79AD"/>
    <w:rsid w:val="002D7F91"/>
    <w:rsid w:val="002E07CC"/>
    <w:rsid w:val="002E0BAA"/>
    <w:rsid w:val="002E1D24"/>
    <w:rsid w:val="002E29DC"/>
    <w:rsid w:val="002E2C2E"/>
    <w:rsid w:val="002E5155"/>
    <w:rsid w:val="002E5302"/>
    <w:rsid w:val="002E5AF3"/>
    <w:rsid w:val="002F0375"/>
    <w:rsid w:val="002F060B"/>
    <w:rsid w:val="002F17D1"/>
    <w:rsid w:val="002F26A0"/>
    <w:rsid w:val="002F2A9B"/>
    <w:rsid w:val="002F4884"/>
    <w:rsid w:val="002F4BCF"/>
    <w:rsid w:val="002F6872"/>
    <w:rsid w:val="002F7241"/>
    <w:rsid w:val="002F7983"/>
    <w:rsid w:val="00300BB7"/>
    <w:rsid w:val="00300D1A"/>
    <w:rsid w:val="003017C2"/>
    <w:rsid w:val="003027E2"/>
    <w:rsid w:val="00302A6A"/>
    <w:rsid w:val="00302C3F"/>
    <w:rsid w:val="0030498C"/>
    <w:rsid w:val="00304BC5"/>
    <w:rsid w:val="00304BC7"/>
    <w:rsid w:val="00304D5D"/>
    <w:rsid w:val="003050AE"/>
    <w:rsid w:val="00306971"/>
    <w:rsid w:val="00307771"/>
    <w:rsid w:val="00307BE8"/>
    <w:rsid w:val="00307D59"/>
    <w:rsid w:val="0031029A"/>
    <w:rsid w:val="00311A77"/>
    <w:rsid w:val="00311AC0"/>
    <w:rsid w:val="00313742"/>
    <w:rsid w:val="003141DB"/>
    <w:rsid w:val="00315352"/>
    <w:rsid w:val="003175CF"/>
    <w:rsid w:val="00322876"/>
    <w:rsid w:val="00323045"/>
    <w:rsid w:val="00323335"/>
    <w:rsid w:val="00324965"/>
    <w:rsid w:val="003272F1"/>
    <w:rsid w:val="003277D7"/>
    <w:rsid w:val="00331340"/>
    <w:rsid w:val="00332957"/>
    <w:rsid w:val="00333ED7"/>
    <w:rsid w:val="00334070"/>
    <w:rsid w:val="0033424B"/>
    <w:rsid w:val="0033495E"/>
    <w:rsid w:val="0033541C"/>
    <w:rsid w:val="00335462"/>
    <w:rsid w:val="0033636C"/>
    <w:rsid w:val="00337598"/>
    <w:rsid w:val="003402A1"/>
    <w:rsid w:val="0034052A"/>
    <w:rsid w:val="00341EAB"/>
    <w:rsid w:val="003422FD"/>
    <w:rsid w:val="00343819"/>
    <w:rsid w:val="003442C3"/>
    <w:rsid w:val="00344DCF"/>
    <w:rsid w:val="003463E0"/>
    <w:rsid w:val="00346400"/>
    <w:rsid w:val="00347B84"/>
    <w:rsid w:val="003527C4"/>
    <w:rsid w:val="00352AAD"/>
    <w:rsid w:val="003530CF"/>
    <w:rsid w:val="00353F83"/>
    <w:rsid w:val="0035448B"/>
    <w:rsid w:val="003544BF"/>
    <w:rsid w:val="00355A06"/>
    <w:rsid w:val="00355A19"/>
    <w:rsid w:val="00360B77"/>
    <w:rsid w:val="00360FA7"/>
    <w:rsid w:val="003639D3"/>
    <w:rsid w:val="00364B92"/>
    <w:rsid w:val="0036591D"/>
    <w:rsid w:val="00365F3A"/>
    <w:rsid w:val="00366864"/>
    <w:rsid w:val="00367897"/>
    <w:rsid w:val="0037063E"/>
    <w:rsid w:val="00370A71"/>
    <w:rsid w:val="00370C30"/>
    <w:rsid w:val="00370C36"/>
    <w:rsid w:val="00370F46"/>
    <w:rsid w:val="0037120D"/>
    <w:rsid w:val="0037194E"/>
    <w:rsid w:val="003765FF"/>
    <w:rsid w:val="00377568"/>
    <w:rsid w:val="00377636"/>
    <w:rsid w:val="00377792"/>
    <w:rsid w:val="00377A26"/>
    <w:rsid w:val="00377D86"/>
    <w:rsid w:val="00377F85"/>
    <w:rsid w:val="00380B29"/>
    <w:rsid w:val="0038147F"/>
    <w:rsid w:val="00381FCF"/>
    <w:rsid w:val="00383415"/>
    <w:rsid w:val="00383752"/>
    <w:rsid w:val="00385A85"/>
    <w:rsid w:val="00386B4C"/>
    <w:rsid w:val="00386F42"/>
    <w:rsid w:val="00387428"/>
    <w:rsid w:val="00387AED"/>
    <w:rsid w:val="00387F92"/>
    <w:rsid w:val="00391017"/>
    <w:rsid w:val="00391705"/>
    <w:rsid w:val="0039199E"/>
    <w:rsid w:val="00391C92"/>
    <w:rsid w:val="00392223"/>
    <w:rsid w:val="003929ED"/>
    <w:rsid w:val="00394803"/>
    <w:rsid w:val="00395A84"/>
    <w:rsid w:val="003970FF"/>
    <w:rsid w:val="003A15C5"/>
    <w:rsid w:val="003A2F32"/>
    <w:rsid w:val="003A3EEA"/>
    <w:rsid w:val="003A43D1"/>
    <w:rsid w:val="003A4548"/>
    <w:rsid w:val="003A520A"/>
    <w:rsid w:val="003A559E"/>
    <w:rsid w:val="003A6444"/>
    <w:rsid w:val="003A6B11"/>
    <w:rsid w:val="003B03E2"/>
    <w:rsid w:val="003B156D"/>
    <w:rsid w:val="003B15BA"/>
    <w:rsid w:val="003B2503"/>
    <w:rsid w:val="003B2662"/>
    <w:rsid w:val="003B37BC"/>
    <w:rsid w:val="003B56D0"/>
    <w:rsid w:val="003B7D1A"/>
    <w:rsid w:val="003B7D8D"/>
    <w:rsid w:val="003C12B9"/>
    <w:rsid w:val="003C2885"/>
    <w:rsid w:val="003C44A1"/>
    <w:rsid w:val="003C6032"/>
    <w:rsid w:val="003C6E02"/>
    <w:rsid w:val="003C72F4"/>
    <w:rsid w:val="003C739C"/>
    <w:rsid w:val="003C7B12"/>
    <w:rsid w:val="003C7DE1"/>
    <w:rsid w:val="003C7F60"/>
    <w:rsid w:val="003D0D5C"/>
    <w:rsid w:val="003D23BA"/>
    <w:rsid w:val="003D4DCC"/>
    <w:rsid w:val="003D6231"/>
    <w:rsid w:val="003D7662"/>
    <w:rsid w:val="003D7814"/>
    <w:rsid w:val="003E10B2"/>
    <w:rsid w:val="003E1857"/>
    <w:rsid w:val="003E324C"/>
    <w:rsid w:val="003E41EB"/>
    <w:rsid w:val="003E42B1"/>
    <w:rsid w:val="003E4A18"/>
    <w:rsid w:val="003E6480"/>
    <w:rsid w:val="003E791C"/>
    <w:rsid w:val="003F1307"/>
    <w:rsid w:val="003F2058"/>
    <w:rsid w:val="003F53BC"/>
    <w:rsid w:val="00400E06"/>
    <w:rsid w:val="004024B5"/>
    <w:rsid w:val="004032EC"/>
    <w:rsid w:val="00404407"/>
    <w:rsid w:val="00405590"/>
    <w:rsid w:val="00405CDD"/>
    <w:rsid w:val="00406934"/>
    <w:rsid w:val="004074B4"/>
    <w:rsid w:val="00407EAA"/>
    <w:rsid w:val="0041047A"/>
    <w:rsid w:val="00410807"/>
    <w:rsid w:val="00411376"/>
    <w:rsid w:val="0041151F"/>
    <w:rsid w:val="00411DF0"/>
    <w:rsid w:val="00412A44"/>
    <w:rsid w:val="00413BA1"/>
    <w:rsid w:val="00415472"/>
    <w:rsid w:val="0041710E"/>
    <w:rsid w:val="00417585"/>
    <w:rsid w:val="00417E87"/>
    <w:rsid w:val="00420757"/>
    <w:rsid w:val="00420AD3"/>
    <w:rsid w:val="0042256C"/>
    <w:rsid w:val="00423B2C"/>
    <w:rsid w:val="004252FA"/>
    <w:rsid w:val="00425721"/>
    <w:rsid w:val="00425DB2"/>
    <w:rsid w:val="0042622D"/>
    <w:rsid w:val="00426294"/>
    <w:rsid w:val="00426726"/>
    <w:rsid w:val="00430C8A"/>
    <w:rsid w:val="00430E78"/>
    <w:rsid w:val="00432303"/>
    <w:rsid w:val="0043321E"/>
    <w:rsid w:val="004332CA"/>
    <w:rsid w:val="00434811"/>
    <w:rsid w:val="00434C5F"/>
    <w:rsid w:val="004369EF"/>
    <w:rsid w:val="0043706B"/>
    <w:rsid w:val="00440F8F"/>
    <w:rsid w:val="00441B85"/>
    <w:rsid w:val="004422A7"/>
    <w:rsid w:val="004422B9"/>
    <w:rsid w:val="00442FE6"/>
    <w:rsid w:val="0044309E"/>
    <w:rsid w:val="00443574"/>
    <w:rsid w:val="00443668"/>
    <w:rsid w:val="00443B35"/>
    <w:rsid w:val="00443F8D"/>
    <w:rsid w:val="00445830"/>
    <w:rsid w:val="004458B4"/>
    <w:rsid w:val="0044734F"/>
    <w:rsid w:val="004509CB"/>
    <w:rsid w:val="00453480"/>
    <w:rsid w:val="0045368E"/>
    <w:rsid w:val="00453D88"/>
    <w:rsid w:val="0045458E"/>
    <w:rsid w:val="00454590"/>
    <w:rsid w:val="00454B8A"/>
    <w:rsid w:val="004551FB"/>
    <w:rsid w:val="00455B62"/>
    <w:rsid w:val="004560FB"/>
    <w:rsid w:val="00456149"/>
    <w:rsid w:val="004570EE"/>
    <w:rsid w:val="00460BCD"/>
    <w:rsid w:val="00461223"/>
    <w:rsid w:val="00461E56"/>
    <w:rsid w:val="00462C58"/>
    <w:rsid w:val="00463BD1"/>
    <w:rsid w:val="00464642"/>
    <w:rsid w:val="00464E2E"/>
    <w:rsid w:val="004674C8"/>
    <w:rsid w:val="004674D0"/>
    <w:rsid w:val="00467998"/>
    <w:rsid w:val="004713EE"/>
    <w:rsid w:val="00471880"/>
    <w:rsid w:val="004721BA"/>
    <w:rsid w:val="004738D3"/>
    <w:rsid w:val="004749F9"/>
    <w:rsid w:val="00474B6D"/>
    <w:rsid w:val="00474C06"/>
    <w:rsid w:val="00474F1F"/>
    <w:rsid w:val="004778E1"/>
    <w:rsid w:val="00481819"/>
    <w:rsid w:val="004823E5"/>
    <w:rsid w:val="00482DEF"/>
    <w:rsid w:val="00483E39"/>
    <w:rsid w:val="00484728"/>
    <w:rsid w:val="004849CF"/>
    <w:rsid w:val="00485A93"/>
    <w:rsid w:val="004860ED"/>
    <w:rsid w:val="004869B1"/>
    <w:rsid w:val="00487530"/>
    <w:rsid w:val="004879C6"/>
    <w:rsid w:val="00487BB9"/>
    <w:rsid w:val="004905A0"/>
    <w:rsid w:val="0049105E"/>
    <w:rsid w:val="00492342"/>
    <w:rsid w:val="00493707"/>
    <w:rsid w:val="00495C38"/>
    <w:rsid w:val="00496B2B"/>
    <w:rsid w:val="00496DD8"/>
    <w:rsid w:val="00497F8B"/>
    <w:rsid w:val="004A6541"/>
    <w:rsid w:val="004A661D"/>
    <w:rsid w:val="004A688F"/>
    <w:rsid w:val="004A6F61"/>
    <w:rsid w:val="004A7280"/>
    <w:rsid w:val="004A74B9"/>
    <w:rsid w:val="004B04B8"/>
    <w:rsid w:val="004B0F12"/>
    <w:rsid w:val="004B131F"/>
    <w:rsid w:val="004B1800"/>
    <w:rsid w:val="004B1F48"/>
    <w:rsid w:val="004B2E6F"/>
    <w:rsid w:val="004B427E"/>
    <w:rsid w:val="004B45E9"/>
    <w:rsid w:val="004B5D5D"/>
    <w:rsid w:val="004B6514"/>
    <w:rsid w:val="004B69E9"/>
    <w:rsid w:val="004B76D9"/>
    <w:rsid w:val="004C085F"/>
    <w:rsid w:val="004C0DE9"/>
    <w:rsid w:val="004C54B2"/>
    <w:rsid w:val="004C5FD7"/>
    <w:rsid w:val="004C6294"/>
    <w:rsid w:val="004C712C"/>
    <w:rsid w:val="004C7DE4"/>
    <w:rsid w:val="004D08AF"/>
    <w:rsid w:val="004D221F"/>
    <w:rsid w:val="004D2470"/>
    <w:rsid w:val="004D3757"/>
    <w:rsid w:val="004D3DFC"/>
    <w:rsid w:val="004D418F"/>
    <w:rsid w:val="004D546A"/>
    <w:rsid w:val="004D65BC"/>
    <w:rsid w:val="004D66BD"/>
    <w:rsid w:val="004E2293"/>
    <w:rsid w:val="004E23D5"/>
    <w:rsid w:val="004E41A6"/>
    <w:rsid w:val="004E6291"/>
    <w:rsid w:val="004E6E16"/>
    <w:rsid w:val="004E71A9"/>
    <w:rsid w:val="004E7727"/>
    <w:rsid w:val="004F1166"/>
    <w:rsid w:val="004F1AC9"/>
    <w:rsid w:val="004F1E1E"/>
    <w:rsid w:val="004F31C9"/>
    <w:rsid w:val="004F3E7D"/>
    <w:rsid w:val="004F5191"/>
    <w:rsid w:val="004F5536"/>
    <w:rsid w:val="004F6E8D"/>
    <w:rsid w:val="004F7594"/>
    <w:rsid w:val="005001C4"/>
    <w:rsid w:val="00500319"/>
    <w:rsid w:val="00501226"/>
    <w:rsid w:val="00501290"/>
    <w:rsid w:val="00501A2A"/>
    <w:rsid w:val="00501E85"/>
    <w:rsid w:val="00501F47"/>
    <w:rsid w:val="00502225"/>
    <w:rsid w:val="0050233C"/>
    <w:rsid w:val="0050276C"/>
    <w:rsid w:val="00502C5A"/>
    <w:rsid w:val="005040A9"/>
    <w:rsid w:val="00505266"/>
    <w:rsid w:val="005060DF"/>
    <w:rsid w:val="00506B0C"/>
    <w:rsid w:val="00516E57"/>
    <w:rsid w:val="005214FE"/>
    <w:rsid w:val="00525165"/>
    <w:rsid w:val="005252FD"/>
    <w:rsid w:val="005253DF"/>
    <w:rsid w:val="0052553C"/>
    <w:rsid w:val="00525E87"/>
    <w:rsid w:val="0052615F"/>
    <w:rsid w:val="00526477"/>
    <w:rsid w:val="005276D7"/>
    <w:rsid w:val="00527741"/>
    <w:rsid w:val="00531231"/>
    <w:rsid w:val="00532673"/>
    <w:rsid w:val="005331E0"/>
    <w:rsid w:val="005349B5"/>
    <w:rsid w:val="0053660E"/>
    <w:rsid w:val="00536A6D"/>
    <w:rsid w:val="005405E6"/>
    <w:rsid w:val="00542B59"/>
    <w:rsid w:val="00545122"/>
    <w:rsid w:val="00545FF4"/>
    <w:rsid w:val="00551056"/>
    <w:rsid w:val="00551DE1"/>
    <w:rsid w:val="00551F3D"/>
    <w:rsid w:val="0055281C"/>
    <w:rsid w:val="0055321C"/>
    <w:rsid w:val="00553F4B"/>
    <w:rsid w:val="0055405B"/>
    <w:rsid w:val="00554B2C"/>
    <w:rsid w:val="005613B4"/>
    <w:rsid w:val="0056158E"/>
    <w:rsid w:val="00561790"/>
    <w:rsid w:val="00562265"/>
    <w:rsid w:val="0056379E"/>
    <w:rsid w:val="00563DE1"/>
    <w:rsid w:val="00563F36"/>
    <w:rsid w:val="00564992"/>
    <w:rsid w:val="00564B27"/>
    <w:rsid w:val="00565BE1"/>
    <w:rsid w:val="00565EED"/>
    <w:rsid w:val="00566E39"/>
    <w:rsid w:val="00566E46"/>
    <w:rsid w:val="005670D1"/>
    <w:rsid w:val="00571187"/>
    <w:rsid w:val="00571961"/>
    <w:rsid w:val="00572267"/>
    <w:rsid w:val="00573841"/>
    <w:rsid w:val="005747BD"/>
    <w:rsid w:val="005747E9"/>
    <w:rsid w:val="0057556E"/>
    <w:rsid w:val="0057703C"/>
    <w:rsid w:val="0058095C"/>
    <w:rsid w:val="00581775"/>
    <w:rsid w:val="00581958"/>
    <w:rsid w:val="00584578"/>
    <w:rsid w:val="005867C1"/>
    <w:rsid w:val="00586984"/>
    <w:rsid w:val="00591944"/>
    <w:rsid w:val="0059203A"/>
    <w:rsid w:val="005928FB"/>
    <w:rsid w:val="00593616"/>
    <w:rsid w:val="0059382E"/>
    <w:rsid w:val="0059386C"/>
    <w:rsid w:val="00594962"/>
    <w:rsid w:val="00596108"/>
    <w:rsid w:val="005966C3"/>
    <w:rsid w:val="00596D62"/>
    <w:rsid w:val="00597587"/>
    <w:rsid w:val="00597F27"/>
    <w:rsid w:val="005A052F"/>
    <w:rsid w:val="005A05EE"/>
    <w:rsid w:val="005A2245"/>
    <w:rsid w:val="005A38C5"/>
    <w:rsid w:val="005A3E1E"/>
    <w:rsid w:val="005A4133"/>
    <w:rsid w:val="005A492B"/>
    <w:rsid w:val="005A5536"/>
    <w:rsid w:val="005A69B8"/>
    <w:rsid w:val="005A703B"/>
    <w:rsid w:val="005A7BF4"/>
    <w:rsid w:val="005A7DF0"/>
    <w:rsid w:val="005B0A6F"/>
    <w:rsid w:val="005B29DC"/>
    <w:rsid w:val="005B3A81"/>
    <w:rsid w:val="005B4050"/>
    <w:rsid w:val="005B4E43"/>
    <w:rsid w:val="005B5771"/>
    <w:rsid w:val="005B5F7E"/>
    <w:rsid w:val="005C0678"/>
    <w:rsid w:val="005C0F56"/>
    <w:rsid w:val="005C1A26"/>
    <w:rsid w:val="005C3599"/>
    <w:rsid w:val="005C50A8"/>
    <w:rsid w:val="005C5695"/>
    <w:rsid w:val="005C5775"/>
    <w:rsid w:val="005C63D9"/>
    <w:rsid w:val="005C692B"/>
    <w:rsid w:val="005C7608"/>
    <w:rsid w:val="005D1FE2"/>
    <w:rsid w:val="005D2935"/>
    <w:rsid w:val="005D2990"/>
    <w:rsid w:val="005D2A41"/>
    <w:rsid w:val="005D69ED"/>
    <w:rsid w:val="005D7F08"/>
    <w:rsid w:val="005E0F11"/>
    <w:rsid w:val="005E1FC2"/>
    <w:rsid w:val="005E2A51"/>
    <w:rsid w:val="005E2B40"/>
    <w:rsid w:val="005E31CE"/>
    <w:rsid w:val="005E35FA"/>
    <w:rsid w:val="005E44E0"/>
    <w:rsid w:val="005E4C2D"/>
    <w:rsid w:val="005E5178"/>
    <w:rsid w:val="005E54FA"/>
    <w:rsid w:val="005E56C5"/>
    <w:rsid w:val="005E6CE8"/>
    <w:rsid w:val="005E77C0"/>
    <w:rsid w:val="005F0280"/>
    <w:rsid w:val="005F1149"/>
    <w:rsid w:val="005F279E"/>
    <w:rsid w:val="005F27EF"/>
    <w:rsid w:val="005F6901"/>
    <w:rsid w:val="005F69AA"/>
    <w:rsid w:val="005F6E19"/>
    <w:rsid w:val="005F7ED4"/>
    <w:rsid w:val="00600397"/>
    <w:rsid w:val="00600909"/>
    <w:rsid w:val="00602410"/>
    <w:rsid w:val="0060261D"/>
    <w:rsid w:val="00604FF4"/>
    <w:rsid w:val="0060558D"/>
    <w:rsid w:val="00605E48"/>
    <w:rsid w:val="00610B4C"/>
    <w:rsid w:val="00610E5E"/>
    <w:rsid w:val="00611CE9"/>
    <w:rsid w:val="00613392"/>
    <w:rsid w:val="006136CF"/>
    <w:rsid w:val="00613917"/>
    <w:rsid w:val="00613FA2"/>
    <w:rsid w:val="00614ED2"/>
    <w:rsid w:val="006150F1"/>
    <w:rsid w:val="006172AC"/>
    <w:rsid w:val="00617788"/>
    <w:rsid w:val="00620EAF"/>
    <w:rsid w:val="0062252F"/>
    <w:rsid w:val="00622CE9"/>
    <w:rsid w:val="00623731"/>
    <w:rsid w:val="006242EC"/>
    <w:rsid w:val="00624F85"/>
    <w:rsid w:val="00625F94"/>
    <w:rsid w:val="006309FA"/>
    <w:rsid w:val="00630A5A"/>
    <w:rsid w:val="00632DA2"/>
    <w:rsid w:val="00633322"/>
    <w:rsid w:val="00633808"/>
    <w:rsid w:val="00634780"/>
    <w:rsid w:val="0063482D"/>
    <w:rsid w:val="00635A1F"/>
    <w:rsid w:val="006360E6"/>
    <w:rsid w:val="00636B35"/>
    <w:rsid w:val="00636E6A"/>
    <w:rsid w:val="0063796B"/>
    <w:rsid w:val="00644B1A"/>
    <w:rsid w:val="00644E5D"/>
    <w:rsid w:val="006465E1"/>
    <w:rsid w:val="00646620"/>
    <w:rsid w:val="00647D8B"/>
    <w:rsid w:val="00650042"/>
    <w:rsid w:val="00650C8B"/>
    <w:rsid w:val="006513AA"/>
    <w:rsid w:val="00652610"/>
    <w:rsid w:val="006534DC"/>
    <w:rsid w:val="006535EC"/>
    <w:rsid w:val="00653A25"/>
    <w:rsid w:val="0065471A"/>
    <w:rsid w:val="006565ED"/>
    <w:rsid w:val="00660D23"/>
    <w:rsid w:val="00662AEE"/>
    <w:rsid w:val="00662B35"/>
    <w:rsid w:val="00662D9A"/>
    <w:rsid w:val="00662FBF"/>
    <w:rsid w:val="00664A14"/>
    <w:rsid w:val="00664A75"/>
    <w:rsid w:val="006713A4"/>
    <w:rsid w:val="00671745"/>
    <w:rsid w:val="00672A2C"/>
    <w:rsid w:val="00672B17"/>
    <w:rsid w:val="00672EF1"/>
    <w:rsid w:val="00673375"/>
    <w:rsid w:val="00673EA9"/>
    <w:rsid w:val="006750E6"/>
    <w:rsid w:val="00675942"/>
    <w:rsid w:val="00676031"/>
    <w:rsid w:val="006801DB"/>
    <w:rsid w:val="006825B2"/>
    <w:rsid w:val="00684FB3"/>
    <w:rsid w:val="0068522F"/>
    <w:rsid w:val="0068548A"/>
    <w:rsid w:val="00685F72"/>
    <w:rsid w:val="00686D51"/>
    <w:rsid w:val="00686D5E"/>
    <w:rsid w:val="00686E9D"/>
    <w:rsid w:val="006876B0"/>
    <w:rsid w:val="006878CE"/>
    <w:rsid w:val="006917AA"/>
    <w:rsid w:val="0069216A"/>
    <w:rsid w:val="00693573"/>
    <w:rsid w:val="0069458E"/>
    <w:rsid w:val="00694AED"/>
    <w:rsid w:val="00695777"/>
    <w:rsid w:val="0069577B"/>
    <w:rsid w:val="00695CEE"/>
    <w:rsid w:val="006A09E5"/>
    <w:rsid w:val="006A1469"/>
    <w:rsid w:val="006A3606"/>
    <w:rsid w:val="006A39EA"/>
    <w:rsid w:val="006A5B11"/>
    <w:rsid w:val="006A5D2E"/>
    <w:rsid w:val="006A63BB"/>
    <w:rsid w:val="006A63F0"/>
    <w:rsid w:val="006A6532"/>
    <w:rsid w:val="006A693B"/>
    <w:rsid w:val="006A745F"/>
    <w:rsid w:val="006A79EA"/>
    <w:rsid w:val="006B002B"/>
    <w:rsid w:val="006B0FC5"/>
    <w:rsid w:val="006B1EA7"/>
    <w:rsid w:val="006B301D"/>
    <w:rsid w:val="006B3751"/>
    <w:rsid w:val="006B3E9D"/>
    <w:rsid w:val="006B48D6"/>
    <w:rsid w:val="006B572F"/>
    <w:rsid w:val="006B5827"/>
    <w:rsid w:val="006B5D62"/>
    <w:rsid w:val="006B5EE3"/>
    <w:rsid w:val="006B6B5B"/>
    <w:rsid w:val="006C09FB"/>
    <w:rsid w:val="006C0C21"/>
    <w:rsid w:val="006C3420"/>
    <w:rsid w:val="006C5181"/>
    <w:rsid w:val="006C589F"/>
    <w:rsid w:val="006C6093"/>
    <w:rsid w:val="006C702E"/>
    <w:rsid w:val="006C7D7F"/>
    <w:rsid w:val="006C7EC2"/>
    <w:rsid w:val="006D1039"/>
    <w:rsid w:val="006D1C1D"/>
    <w:rsid w:val="006D2054"/>
    <w:rsid w:val="006D22D4"/>
    <w:rsid w:val="006D3C45"/>
    <w:rsid w:val="006D3E5E"/>
    <w:rsid w:val="006D45F4"/>
    <w:rsid w:val="006D473B"/>
    <w:rsid w:val="006D4BE4"/>
    <w:rsid w:val="006D5648"/>
    <w:rsid w:val="006D6AF9"/>
    <w:rsid w:val="006D778B"/>
    <w:rsid w:val="006E09CE"/>
    <w:rsid w:val="006E1D4C"/>
    <w:rsid w:val="006E25D5"/>
    <w:rsid w:val="006E45BE"/>
    <w:rsid w:val="006F3025"/>
    <w:rsid w:val="006F41B7"/>
    <w:rsid w:val="006F45C2"/>
    <w:rsid w:val="006F4C57"/>
    <w:rsid w:val="006F5C5C"/>
    <w:rsid w:val="006F617A"/>
    <w:rsid w:val="006F6EE9"/>
    <w:rsid w:val="00700BD3"/>
    <w:rsid w:val="00700E81"/>
    <w:rsid w:val="00701274"/>
    <w:rsid w:val="00701B0F"/>
    <w:rsid w:val="00702E87"/>
    <w:rsid w:val="0070318D"/>
    <w:rsid w:val="0070417F"/>
    <w:rsid w:val="00704A64"/>
    <w:rsid w:val="00704D31"/>
    <w:rsid w:val="007063CB"/>
    <w:rsid w:val="0070694D"/>
    <w:rsid w:val="00706D6B"/>
    <w:rsid w:val="007073C8"/>
    <w:rsid w:val="00710763"/>
    <w:rsid w:val="00710877"/>
    <w:rsid w:val="00710B5F"/>
    <w:rsid w:val="00711818"/>
    <w:rsid w:val="00711AAF"/>
    <w:rsid w:val="00713C49"/>
    <w:rsid w:val="007146E4"/>
    <w:rsid w:val="00716A96"/>
    <w:rsid w:val="00716D1A"/>
    <w:rsid w:val="00716FE2"/>
    <w:rsid w:val="007176D0"/>
    <w:rsid w:val="00720BF7"/>
    <w:rsid w:val="00721DBF"/>
    <w:rsid w:val="00721E79"/>
    <w:rsid w:val="007220E1"/>
    <w:rsid w:val="00722E6A"/>
    <w:rsid w:val="007238F3"/>
    <w:rsid w:val="00723908"/>
    <w:rsid w:val="00724482"/>
    <w:rsid w:val="00724655"/>
    <w:rsid w:val="00726842"/>
    <w:rsid w:val="00727613"/>
    <w:rsid w:val="0073231C"/>
    <w:rsid w:val="007345B2"/>
    <w:rsid w:val="00734E7F"/>
    <w:rsid w:val="007352C0"/>
    <w:rsid w:val="0073713A"/>
    <w:rsid w:val="00737941"/>
    <w:rsid w:val="00740CEC"/>
    <w:rsid w:val="00742D3F"/>
    <w:rsid w:val="00743B09"/>
    <w:rsid w:val="007451AF"/>
    <w:rsid w:val="0074546B"/>
    <w:rsid w:val="00745A94"/>
    <w:rsid w:val="00745B58"/>
    <w:rsid w:val="007508BA"/>
    <w:rsid w:val="00751E74"/>
    <w:rsid w:val="007523D8"/>
    <w:rsid w:val="00752977"/>
    <w:rsid w:val="00754552"/>
    <w:rsid w:val="007548E3"/>
    <w:rsid w:val="00755979"/>
    <w:rsid w:val="0075610C"/>
    <w:rsid w:val="00756A07"/>
    <w:rsid w:val="00756DCE"/>
    <w:rsid w:val="0075779D"/>
    <w:rsid w:val="00757AA9"/>
    <w:rsid w:val="007610A6"/>
    <w:rsid w:val="00761BC5"/>
    <w:rsid w:val="00762C40"/>
    <w:rsid w:val="00762F71"/>
    <w:rsid w:val="007636B0"/>
    <w:rsid w:val="0076375C"/>
    <w:rsid w:val="00763A4F"/>
    <w:rsid w:val="00763F81"/>
    <w:rsid w:val="007642FA"/>
    <w:rsid w:val="00764675"/>
    <w:rsid w:val="007658C0"/>
    <w:rsid w:val="00765ED0"/>
    <w:rsid w:val="0076743D"/>
    <w:rsid w:val="007674E4"/>
    <w:rsid w:val="00767525"/>
    <w:rsid w:val="00770226"/>
    <w:rsid w:val="00770BDC"/>
    <w:rsid w:val="00770D44"/>
    <w:rsid w:val="00773516"/>
    <w:rsid w:val="007737C6"/>
    <w:rsid w:val="00775192"/>
    <w:rsid w:val="00776074"/>
    <w:rsid w:val="00776328"/>
    <w:rsid w:val="00776A6C"/>
    <w:rsid w:val="00776D71"/>
    <w:rsid w:val="0078035F"/>
    <w:rsid w:val="00780DE6"/>
    <w:rsid w:val="00781124"/>
    <w:rsid w:val="00781380"/>
    <w:rsid w:val="0078452B"/>
    <w:rsid w:val="007847B8"/>
    <w:rsid w:val="00785062"/>
    <w:rsid w:val="00785C43"/>
    <w:rsid w:val="00786FC3"/>
    <w:rsid w:val="007907A2"/>
    <w:rsid w:val="00790C9E"/>
    <w:rsid w:val="00790D8C"/>
    <w:rsid w:val="00790F24"/>
    <w:rsid w:val="00791626"/>
    <w:rsid w:val="00791CDC"/>
    <w:rsid w:val="007928A8"/>
    <w:rsid w:val="00792E17"/>
    <w:rsid w:val="00793862"/>
    <w:rsid w:val="00793B64"/>
    <w:rsid w:val="007955E4"/>
    <w:rsid w:val="00795AEA"/>
    <w:rsid w:val="007A001A"/>
    <w:rsid w:val="007A3057"/>
    <w:rsid w:val="007A4886"/>
    <w:rsid w:val="007A4AEE"/>
    <w:rsid w:val="007A55D1"/>
    <w:rsid w:val="007B1CF2"/>
    <w:rsid w:val="007B20CC"/>
    <w:rsid w:val="007B3BEF"/>
    <w:rsid w:val="007B4914"/>
    <w:rsid w:val="007B4F52"/>
    <w:rsid w:val="007B7D0F"/>
    <w:rsid w:val="007C0E2A"/>
    <w:rsid w:val="007C1A0A"/>
    <w:rsid w:val="007C23BD"/>
    <w:rsid w:val="007C247C"/>
    <w:rsid w:val="007C32D8"/>
    <w:rsid w:val="007C4E72"/>
    <w:rsid w:val="007C6AC9"/>
    <w:rsid w:val="007C6C18"/>
    <w:rsid w:val="007C6E15"/>
    <w:rsid w:val="007C799F"/>
    <w:rsid w:val="007D0B99"/>
    <w:rsid w:val="007D14F1"/>
    <w:rsid w:val="007D2C09"/>
    <w:rsid w:val="007D31DA"/>
    <w:rsid w:val="007D3225"/>
    <w:rsid w:val="007D3940"/>
    <w:rsid w:val="007D3975"/>
    <w:rsid w:val="007D575D"/>
    <w:rsid w:val="007D5A00"/>
    <w:rsid w:val="007D5C44"/>
    <w:rsid w:val="007D6A9C"/>
    <w:rsid w:val="007E0274"/>
    <w:rsid w:val="007E0558"/>
    <w:rsid w:val="007E08BA"/>
    <w:rsid w:val="007E0966"/>
    <w:rsid w:val="007E1AF7"/>
    <w:rsid w:val="007E1DC2"/>
    <w:rsid w:val="007E45A6"/>
    <w:rsid w:val="007E4BA3"/>
    <w:rsid w:val="007E5BF2"/>
    <w:rsid w:val="007E6601"/>
    <w:rsid w:val="007F1067"/>
    <w:rsid w:val="007F1E07"/>
    <w:rsid w:val="007F3D97"/>
    <w:rsid w:val="007F47C7"/>
    <w:rsid w:val="007F5E02"/>
    <w:rsid w:val="008002A1"/>
    <w:rsid w:val="00801AB2"/>
    <w:rsid w:val="00803337"/>
    <w:rsid w:val="00803791"/>
    <w:rsid w:val="0080384B"/>
    <w:rsid w:val="00803DBD"/>
    <w:rsid w:val="00804C5E"/>
    <w:rsid w:val="00806E00"/>
    <w:rsid w:val="00807195"/>
    <w:rsid w:val="0081039F"/>
    <w:rsid w:val="00810832"/>
    <w:rsid w:val="00813101"/>
    <w:rsid w:val="008144C5"/>
    <w:rsid w:val="00815F3E"/>
    <w:rsid w:val="00815F4C"/>
    <w:rsid w:val="00820716"/>
    <w:rsid w:val="008208E5"/>
    <w:rsid w:val="00821376"/>
    <w:rsid w:val="00821436"/>
    <w:rsid w:val="0082215E"/>
    <w:rsid w:val="00823C41"/>
    <w:rsid w:val="00825DA3"/>
    <w:rsid w:val="008279D3"/>
    <w:rsid w:val="00830A2B"/>
    <w:rsid w:val="00830F1B"/>
    <w:rsid w:val="00831631"/>
    <w:rsid w:val="0083175F"/>
    <w:rsid w:val="00832949"/>
    <w:rsid w:val="008362AB"/>
    <w:rsid w:val="00836531"/>
    <w:rsid w:val="00836AC9"/>
    <w:rsid w:val="00837789"/>
    <w:rsid w:val="00837A3D"/>
    <w:rsid w:val="00840F57"/>
    <w:rsid w:val="00842E3D"/>
    <w:rsid w:val="008432FF"/>
    <w:rsid w:val="00844D18"/>
    <w:rsid w:val="00844DBD"/>
    <w:rsid w:val="0084504C"/>
    <w:rsid w:val="0084608A"/>
    <w:rsid w:val="00847416"/>
    <w:rsid w:val="00847448"/>
    <w:rsid w:val="0085067B"/>
    <w:rsid w:val="00851FD7"/>
    <w:rsid w:val="008521F3"/>
    <w:rsid w:val="00853512"/>
    <w:rsid w:val="00854463"/>
    <w:rsid w:val="00854D60"/>
    <w:rsid w:val="00855CEF"/>
    <w:rsid w:val="00856310"/>
    <w:rsid w:val="0085773A"/>
    <w:rsid w:val="00862640"/>
    <w:rsid w:val="00862837"/>
    <w:rsid w:val="00863F98"/>
    <w:rsid w:val="008648B8"/>
    <w:rsid w:val="0086492B"/>
    <w:rsid w:val="00876E51"/>
    <w:rsid w:val="0088059D"/>
    <w:rsid w:val="00881B36"/>
    <w:rsid w:val="008821FE"/>
    <w:rsid w:val="00882258"/>
    <w:rsid w:val="00882550"/>
    <w:rsid w:val="008840B8"/>
    <w:rsid w:val="0088502E"/>
    <w:rsid w:val="008860F1"/>
    <w:rsid w:val="008862C3"/>
    <w:rsid w:val="008864EE"/>
    <w:rsid w:val="00886581"/>
    <w:rsid w:val="00890316"/>
    <w:rsid w:val="00891761"/>
    <w:rsid w:val="008952E6"/>
    <w:rsid w:val="00895601"/>
    <w:rsid w:val="00895813"/>
    <w:rsid w:val="008A062C"/>
    <w:rsid w:val="008A1887"/>
    <w:rsid w:val="008A1FCF"/>
    <w:rsid w:val="008A2708"/>
    <w:rsid w:val="008A3A75"/>
    <w:rsid w:val="008A44E6"/>
    <w:rsid w:val="008A45A6"/>
    <w:rsid w:val="008A4C95"/>
    <w:rsid w:val="008A5294"/>
    <w:rsid w:val="008A5891"/>
    <w:rsid w:val="008A6617"/>
    <w:rsid w:val="008A6E37"/>
    <w:rsid w:val="008B08F0"/>
    <w:rsid w:val="008B2DB1"/>
    <w:rsid w:val="008B2E7B"/>
    <w:rsid w:val="008B56A3"/>
    <w:rsid w:val="008B56C6"/>
    <w:rsid w:val="008B5B7E"/>
    <w:rsid w:val="008B67EA"/>
    <w:rsid w:val="008C021E"/>
    <w:rsid w:val="008C238C"/>
    <w:rsid w:val="008C5C2D"/>
    <w:rsid w:val="008C74AC"/>
    <w:rsid w:val="008C7DB1"/>
    <w:rsid w:val="008D3046"/>
    <w:rsid w:val="008D31A4"/>
    <w:rsid w:val="008D64AF"/>
    <w:rsid w:val="008D6B2C"/>
    <w:rsid w:val="008E0DD0"/>
    <w:rsid w:val="008E1632"/>
    <w:rsid w:val="008E29B2"/>
    <w:rsid w:val="008E31E9"/>
    <w:rsid w:val="008E542B"/>
    <w:rsid w:val="008E62D5"/>
    <w:rsid w:val="008E7EB3"/>
    <w:rsid w:val="008F1614"/>
    <w:rsid w:val="008F32C8"/>
    <w:rsid w:val="008F34D8"/>
    <w:rsid w:val="008F4734"/>
    <w:rsid w:val="008F4BC5"/>
    <w:rsid w:val="008F6692"/>
    <w:rsid w:val="008F6A24"/>
    <w:rsid w:val="008F7EAA"/>
    <w:rsid w:val="009018F6"/>
    <w:rsid w:val="00902670"/>
    <w:rsid w:val="00902A28"/>
    <w:rsid w:val="00902A3D"/>
    <w:rsid w:val="00902AB8"/>
    <w:rsid w:val="009032AF"/>
    <w:rsid w:val="00904B45"/>
    <w:rsid w:val="00904FFE"/>
    <w:rsid w:val="009051BE"/>
    <w:rsid w:val="009059E8"/>
    <w:rsid w:val="00907892"/>
    <w:rsid w:val="009100B2"/>
    <w:rsid w:val="00910DD5"/>
    <w:rsid w:val="00911BCD"/>
    <w:rsid w:val="00911E40"/>
    <w:rsid w:val="00913EC4"/>
    <w:rsid w:val="0091635C"/>
    <w:rsid w:val="00917ACE"/>
    <w:rsid w:val="00920906"/>
    <w:rsid w:val="0092168D"/>
    <w:rsid w:val="00921F19"/>
    <w:rsid w:val="009225C2"/>
    <w:rsid w:val="00922B57"/>
    <w:rsid w:val="0092581A"/>
    <w:rsid w:val="0092649C"/>
    <w:rsid w:val="00931F76"/>
    <w:rsid w:val="00932AE5"/>
    <w:rsid w:val="00932EA0"/>
    <w:rsid w:val="00933180"/>
    <w:rsid w:val="00934C88"/>
    <w:rsid w:val="009364BC"/>
    <w:rsid w:val="00937922"/>
    <w:rsid w:val="00937C88"/>
    <w:rsid w:val="00937E6B"/>
    <w:rsid w:val="0094099E"/>
    <w:rsid w:val="00940D82"/>
    <w:rsid w:val="0094553C"/>
    <w:rsid w:val="009458C2"/>
    <w:rsid w:val="00946111"/>
    <w:rsid w:val="0094654A"/>
    <w:rsid w:val="00951B47"/>
    <w:rsid w:val="00955F62"/>
    <w:rsid w:val="00960BEB"/>
    <w:rsid w:val="009624DB"/>
    <w:rsid w:val="00962B0C"/>
    <w:rsid w:val="00963ABB"/>
    <w:rsid w:val="00963EE1"/>
    <w:rsid w:val="009646A7"/>
    <w:rsid w:val="00965334"/>
    <w:rsid w:val="00965AB0"/>
    <w:rsid w:val="00967113"/>
    <w:rsid w:val="00967995"/>
    <w:rsid w:val="009708BB"/>
    <w:rsid w:val="00971FF8"/>
    <w:rsid w:val="00972EB4"/>
    <w:rsid w:val="00973A08"/>
    <w:rsid w:val="009742E9"/>
    <w:rsid w:val="0097485F"/>
    <w:rsid w:val="00974879"/>
    <w:rsid w:val="00976684"/>
    <w:rsid w:val="009766FE"/>
    <w:rsid w:val="0098229F"/>
    <w:rsid w:val="009827D1"/>
    <w:rsid w:val="00984BF6"/>
    <w:rsid w:val="00986CA4"/>
    <w:rsid w:val="009914BD"/>
    <w:rsid w:val="00991D90"/>
    <w:rsid w:val="009920A9"/>
    <w:rsid w:val="00993527"/>
    <w:rsid w:val="009936E0"/>
    <w:rsid w:val="00993E69"/>
    <w:rsid w:val="00994890"/>
    <w:rsid w:val="009973A4"/>
    <w:rsid w:val="00997D1E"/>
    <w:rsid w:val="009A0A3D"/>
    <w:rsid w:val="009A284A"/>
    <w:rsid w:val="009A3052"/>
    <w:rsid w:val="009A44A6"/>
    <w:rsid w:val="009A5FA2"/>
    <w:rsid w:val="009A658E"/>
    <w:rsid w:val="009A7AC6"/>
    <w:rsid w:val="009A7D91"/>
    <w:rsid w:val="009B179A"/>
    <w:rsid w:val="009B1E30"/>
    <w:rsid w:val="009B3090"/>
    <w:rsid w:val="009B5951"/>
    <w:rsid w:val="009B69C8"/>
    <w:rsid w:val="009B726E"/>
    <w:rsid w:val="009C016B"/>
    <w:rsid w:val="009C0B09"/>
    <w:rsid w:val="009C1494"/>
    <w:rsid w:val="009C1792"/>
    <w:rsid w:val="009C1D34"/>
    <w:rsid w:val="009C262C"/>
    <w:rsid w:val="009C30E9"/>
    <w:rsid w:val="009C34D1"/>
    <w:rsid w:val="009C3C95"/>
    <w:rsid w:val="009C745D"/>
    <w:rsid w:val="009C7545"/>
    <w:rsid w:val="009D0AA1"/>
    <w:rsid w:val="009D2BF3"/>
    <w:rsid w:val="009D4C88"/>
    <w:rsid w:val="009D6537"/>
    <w:rsid w:val="009E224F"/>
    <w:rsid w:val="009E2A54"/>
    <w:rsid w:val="009E38E4"/>
    <w:rsid w:val="009E52D6"/>
    <w:rsid w:val="009E56FB"/>
    <w:rsid w:val="009F0DE4"/>
    <w:rsid w:val="009F12E9"/>
    <w:rsid w:val="009F1505"/>
    <w:rsid w:val="009F1EA7"/>
    <w:rsid w:val="009F3CF2"/>
    <w:rsid w:val="009F4449"/>
    <w:rsid w:val="009F5027"/>
    <w:rsid w:val="009F53CA"/>
    <w:rsid w:val="009F5E39"/>
    <w:rsid w:val="009F638A"/>
    <w:rsid w:val="00A0420F"/>
    <w:rsid w:val="00A04273"/>
    <w:rsid w:val="00A05BA9"/>
    <w:rsid w:val="00A07847"/>
    <w:rsid w:val="00A108A4"/>
    <w:rsid w:val="00A10ED0"/>
    <w:rsid w:val="00A11C69"/>
    <w:rsid w:val="00A13283"/>
    <w:rsid w:val="00A148B9"/>
    <w:rsid w:val="00A14B42"/>
    <w:rsid w:val="00A15AEE"/>
    <w:rsid w:val="00A1616F"/>
    <w:rsid w:val="00A16836"/>
    <w:rsid w:val="00A21955"/>
    <w:rsid w:val="00A21B50"/>
    <w:rsid w:val="00A22A62"/>
    <w:rsid w:val="00A23763"/>
    <w:rsid w:val="00A2387D"/>
    <w:rsid w:val="00A23E98"/>
    <w:rsid w:val="00A24B3B"/>
    <w:rsid w:val="00A25FD7"/>
    <w:rsid w:val="00A26D0B"/>
    <w:rsid w:val="00A2781E"/>
    <w:rsid w:val="00A27D5F"/>
    <w:rsid w:val="00A27ED4"/>
    <w:rsid w:val="00A30D96"/>
    <w:rsid w:val="00A323C6"/>
    <w:rsid w:val="00A323D8"/>
    <w:rsid w:val="00A33DEF"/>
    <w:rsid w:val="00A36026"/>
    <w:rsid w:val="00A37126"/>
    <w:rsid w:val="00A371E8"/>
    <w:rsid w:val="00A37745"/>
    <w:rsid w:val="00A37C27"/>
    <w:rsid w:val="00A37E04"/>
    <w:rsid w:val="00A41CFB"/>
    <w:rsid w:val="00A4387C"/>
    <w:rsid w:val="00A43E53"/>
    <w:rsid w:val="00A44BE3"/>
    <w:rsid w:val="00A45BB5"/>
    <w:rsid w:val="00A4674E"/>
    <w:rsid w:val="00A467A4"/>
    <w:rsid w:val="00A46D52"/>
    <w:rsid w:val="00A471E1"/>
    <w:rsid w:val="00A47290"/>
    <w:rsid w:val="00A4775C"/>
    <w:rsid w:val="00A47CE4"/>
    <w:rsid w:val="00A501DC"/>
    <w:rsid w:val="00A50354"/>
    <w:rsid w:val="00A51766"/>
    <w:rsid w:val="00A51DA3"/>
    <w:rsid w:val="00A51F4A"/>
    <w:rsid w:val="00A53291"/>
    <w:rsid w:val="00A53C74"/>
    <w:rsid w:val="00A54BA0"/>
    <w:rsid w:val="00A54CF0"/>
    <w:rsid w:val="00A54DFA"/>
    <w:rsid w:val="00A54E7C"/>
    <w:rsid w:val="00A5530D"/>
    <w:rsid w:val="00A562D7"/>
    <w:rsid w:val="00A5659B"/>
    <w:rsid w:val="00A56672"/>
    <w:rsid w:val="00A601B8"/>
    <w:rsid w:val="00A61E56"/>
    <w:rsid w:val="00A64609"/>
    <w:rsid w:val="00A64B1A"/>
    <w:rsid w:val="00A70D33"/>
    <w:rsid w:val="00A715D3"/>
    <w:rsid w:val="00A718AC"/>
    <w:rsid w:val="00A71935"/>
    <w:rsid w:val="00A722B4"/>
    <w:rsid w:val="00A7233C"/>
    <w:rsid w:val="00A72CB1"/>
    <w:rsid w:val="00A73E9F"/>
    <w:rsid w:val="00A74CE3"/>
    <w:rsid w:val="00A75A4D"/>
    <w:rsid w:val="00A75C6C"/>
    <w:rsid w:val="00A77F86"/>
    <w:rsid w:val="00A818A0"/>
    <w:rsid w:val="00A842CC"/>
    <w:rsid w:val="00A8544C"/>
    <w:rsid w:val="00A8606D"/>
    <w:rsid w:val="00A86592"/>
    <w:rsid w:val="00A877CD"/>
    <w:rsid w:val="00A90B89"/>
    <w:rsid w:val="00A93D4C"/>
    <w:rsid w:val="00A95332"/>
    <w:rsid w:val="00A961D9"/>
    <w:rsid w:val="00A96316"/>
    <w:rsid w:val="00A96395"/>
    <w:rsid w:val="00A9698B"/>
    <w:rsid w:val="00A96BA2"/>
    <w:rsid w:val="00A96DE7"/>
    <w:rsid w:val="00AA005B"/>
    <w:rsid w:val="00AA11D9"/>
    <w:rsid w:val="00AA1412"/>
    <w:rsid w:val="00AA1F3E"/>
    <w:rsid w:val="00AA1FC7"/>
    <w:rsid w:val="00AA2C4C"/>
    <w:rsid w:val="00AA39E4"/>
    <w:rsid w:val="00AA3A08"/>
    <w:rsid w:val="00AA5F76"/>
    <w:rsid w:val="00AA60C0"/>
    <w:rsid w:val="00AA6156"/>
    <w:rsid w:val="00AA6628"/>
    <w:rsid w:val="00AB026E"/>
    <w:rsid w:val="00AB199F"/>
    <w:rsid w:val="00AB1DF7"/>
    <w:rsid w:val="00AB204B"/>
    <w:rsid w:val="00AB27F6"/>
    <w:rsid w:val="00AB35B6"/>
    <w:rsid w:val="00AB3C88"/>
    <w:rsid w:val="00AB4AF8"/>
    <w:rsid w:val="00AB4DAA"/>
    <w:rsid w:val="00AB5268"/>
    <w:rsid w:val="00AB5954"/>
    <w:rsid w:val="00AB5D87"/>
    <w:rsid w:val="00AB62E0"/>
    <w:rsid w:val="00AB64F9"/>
    <w:rsid w:val="00AC15E9"/>
    <w:rsid w:val="00AC2D15"/>
    <w:rsid w:val="00AC2EC6"/>
    <w:rsid w:val="00AC3EC3"/>
    <w:rsid w:val="00AC5A46"/>
    <w:rsid w:val="00AC5A7C"/>
    <w:rsid w:val="00AC6530"/>
    <w:rsid w:val="00AC6F82"/>
    <w:rsid w:val="00AC7FE5"/>
    <w:rsid w:val="00AC7FEF"/>
    <w:rsid w:val="00AD0A08"/>
    <w:rsid w:val="00AD19AB"/>
    <w:rsid w:val="00AD22CB"/>
    <w:rsid w:val="00AD31FC"/>
    <w:rsid w:val="00AD3407"/>
    <w:rsid w:val="00AD4990"/>
    <w:rsid w:val="00AD52B5"/>
    <w:rsid w:val="00AD58DE"/>
    <w:rsid w:val="00AD61A6"/>
    <w:rsid w:val="00AD6850"/>
    <w:rsid w:val="00AD6D2B"/>
    <w:rsid w:val="00AD7FB3"/>
    <w:rsid w:val="00AE298D"/>
    <w:rsid w:val="00AE37BC"/>
    <w:rsid w:val="00AE4343"/>
    <w:rsid w:val="00AE6696"/>
    <w:rsid w:val="00AE67A5"/>
    <w:rsid w:val="00AE6F4B"/>
    <w:rsid w:val="00AF164B"/>
    <w:rsid w:val="00AF18A2"/>
    <w:rsid w:val="00AF2A4D"/>
    <w:rsid w:val="00AF64E0"/>
    <w:rsid w:val="00AF6CD7"/>
    <w:rsid w:val="00AF7CDA"/>
    <w:rsid w:val="00B01012"/>
    <w:rsid w:val="00B01020"/>
    <w:rsid w:val="00B0147E"/>
    <w:rsid w:val="00B019B9"/>
    <w:rsid w:val="00B01B43"/>
    <w:rsid w:val="00B0287F"/>
    <w:rsid w:val="00B02A58"/>
    <w:rsid w:val="00B03C28"/>
    <w:rsid w:val="00B03CC8"/>
    <w:rsid w:val="00B03D07"/>
    <w:rsid w:val="00B0513E"/>
    <w:rsid w:val="00B05534"/>
    <w:rsid w:val="00B056D1"/>
    <w:rsid w:val="00B05CBE"/>
    <w:rsid w:val="00B064DA"/>
    <w:rsid w:val="00B06F9E"/>
    <w:rsid w:val="00B07988"/>
    <w:rsid w:val="00B07D79"/>
    <w:rsid w:val="00B10795"/>
    <w:rsid w:val="00B10F5D"/>
    <w:rsid w:val="00B112CD"/>
    <w:rsid w:val="00B11393"/>
    <w:rsid w:val="00B12A32"/>
    <w:rsid w:val="00B135E0"/>
    <w:rsid w:val="00B14284"/>
    <w:rsid w:val="00B15917"/>
    <w:rsid w:val="00B15EB7"/>
    <w:rsid w:val="00B16AA7"/>
    <w:rsid w:val="00B17751"/>
    <w:rsid w:val="00B179E7"/>
    <w:rsid w:val="00B212B4"/>
    <w:rsid w:val="00B21894"/>
    <w:rsid w:val="00B21F10"/>
    <w:rsid w:val="00B24917"/>
    <w:rsid w:val="00B24A0B"/>
    <w:rsid w:val="00B250DF"/>
    <w:rsid w:val="00B25B12"/>
    <w:rsid w:val="00B25C64"/>
    <w:rsid w:val="00B26CA1"/>
    <w:rsid w:val="00B27DE9"/>
    <w:rsid w:val="00B3014C"/>
    <w:rsid w:val="00B32170"/>
    <w:rsid w:val="00B3355E"/>
    <w:rsid w:val="00B33613"/>
    <w:rsid w:val="00B344FE"/>
    <w:rsid w:val="00B35519"/>
    <w:rsid w:val="00B3642B"/>
    <w:rsid w:val="00B36D6F"/>
    <w:rsid w:val="00B370C0"/>
    <w:rsid w:val="00B3733F"/>
    <w:rsid w:val="00B37D70"/>
    <w:rsid w:val="00B422B8"/>
    <w:rsid w:val="00B42AA0"/>
    <w:rsid w:val="00B4412D"/>
    <w:rsid w:val="00B44383"/>
    <w:rsid w:val="00B44A07"/>
    <w:rsid w:val="00B466DB"/>
    <w:rsid w:val="00B47FA1"/>
    <w:rsid w:val="00B5032D"/>
    <w:rsid w:val="00B50D4F"/>
    <w:rsid w:val="00B50DC8"/>
    <w:rsid w:val="00B5111E"/>
    <w:rsid w:val="00B5114D"/>
    <w:rsid w:val="00B52226"/>
    <w:rsid w:val="00B52958"/>
    <w:rsid w:val="00B52BB2"/>
    <w:rsid w:val="00B55CAE"/>
    <w:rsid w:val="00B5609A"/>
    <w:rsid w:val="00B57E5E"/>
    <w:rsid w:val="00B604BA"/>
    <w:rsid w:val="00B60CA3"/>
    <w:rsid w:val="00B61AE9"/>
    <w:rsid w:val="00B61D7D"/>
    <w:rsid w:val="00B62303"/>
    <w:rsid w:val="00B623EC"/>
    <w:rsid w:val="00B635CC"/>
    <w:rsid w:val="00B64451"/>
    <w:rsid w:val="00B64488"/>
    <w:rsid w:val="00B646C7"/>
    <w:rsid w:val="00B64E3C"/>
    <w:rsid w:val="00B65ABA"/>
    <w:rsid w:val="00B65C2D"/>
    <w:rsid w:val="00B66107"/>
    <w:rsid w:val="00B6665F"/>
    <w:rsid w:val="00B67AF5"/>
    <w:rsid w:val="00B67EB0"/>
    <w:rsid w:val="00B73EB8"/>
    <w:rsid w:val="00B742FD"/>
    <w:rsid w:val="00B74463"/>
    <w:rsid w:val="00B7490B"/>
    <w:rsid w:val="00B77839"/>
    <w:rsid w:val="00B77CEF"/>
    <w:rsid w:val="00B81B19"/>
    <w:rsid w:val="00B83CAD"/>
    <w:rsid w:val="00B84CF6"/>
    <w:rsid w:val="00B850C1"/>
    <w:rsid w:val="00B85E11"/>
    <w:rsid w:val="00B87121"/>
    <w:rsid w:val="00B87783"/>
    <w:rsid w:val="00B878BC"/>
    <w:rsid w:val="00B902A2"/>
    <w:rsid w:val="00B90A23"/>
    <w:rsid w:val="00B90A43"/>
    <w:rsid w:val="00B90B33"/>
    <w:rsid w:val="00B90D0D"/>
    <w:rsid w:val="00B90DAA"/>
    <w:rsid w:val="00B91805"/>
    <w:rsid w:val="00B91A43"/>
    <w:rsid w:val="00B91DBA"/>
    <w:rsid w:val="00B921DE"/>
    <w:rsid w:val="00B92205"/>
    <w:rsid w:val="00B922C6"/>
    <w:rsid w:val="00B9234F"/>
    <w:rsid w:val="00B9241C"/>
    <w:rsid w:val="00B928AC"/>
    <w:rsid w:val="00B92F8D"/>
    <w:rsid w:val="00B92FB9"/>
    <w:rsid w:val="00B93F6A"/>
    <w:rsid w:val="00B95B7D"/>
    <w:rsid w:val="00B960E7"/>
    <w:rsid w:val="00B9760E"/>
    <w:rsid w:val="00BA07D5"/>
    <w:rsid w:val="00BA0960"/>
    <w:rsid w:val="00BA190B"/>
    <w:rsid w:val="00BA1940"/>
    <w:rsid w:val="00BA266F"/>
    <w:rsid w:val="00BA3A60"/>
    <w:rsid w:val="00BA3EB8"/>
    <w:rsid w:val="00BA494A"/>
    <w:rsid w:val="00BA7661"/>
    <w:rsid w:val="00BA7ADB"/>
    <w:rsid w:val="00BA7B60"/>
    <w:rsid w:val="00BB02BD"/>
    <w:rsid w:val="00BB1712"/>
    <w:rsid w:val="00BB1A65"/>
    <w:rsid w:val="00BB34D6"/>
    <w:rsid w:val="00BB3DD5"/>
    <w:rsid w:val="00BB4D27"/>
    <w:rsid w:val="00BB52AB"/>
    <w:rsid w:val="00BB5B42"/>
    <w:rsid w:val="00BC0615"/>
    <w:rsid w:val="00BC23F3"/>
    <w:rsid w:val="00BC37D9"/>
    <w:rsid w:val="00BC37E1"/>
    <w:rsid w:val="00BC3BEC"/>
    <w:rsid w:val="00BC416E"/>
    <w:rsid w:val="00BC6A9F"/>
    <w:rsid w:val="00BD1019"/>
    <w:rsid w:val="00BD27DD"/>
    <w:rsid w:val="00BD3525"/>
    <w:rsid w:val="00BD39E7"/>
    <w:rsid w:val="00BD5C1A"/>
    <w:rsid w:val="00BD5E0A"/>
    <w:rsid w:val="00BD62B8"/>
    <w:rsid w:val="00BE1128"/>
    <w:rsid w:val="00BE299F"/>
    <w:rsid w:val="00BE2B32"/>
    <w:rsid w:val="00BE3379"/>
    <w:rsid w:val="00BE3888"/>
    <w:rsid w:val="00BE4A95"/>
    <w:rsid w:val="00BE4EA5"/>
    <w:rsid w:val="00BE6CD7"/>
    <w:rsid w:val="00BE748B"/>
    <w:rsid w:val="00BE7C1F"/>
    <w:rsid w:val="00BE7C6A"/>
    <w:rsid w:val="00BF0479"/>
    <w:rsid w:val="00BF0845"/>
    <w:rsid w:val="00BF0D60"/>
    <w:rsid w:val="00BF2F23"/>
    <w:rsid w:val="00BF4BEA"/>
    <w:rsid w:val="00BF4D09"/>
    <w:rsid w:val="00BF5175"/>
    <w:rsid w:val="00BF5594"/>
    <w:rsid w:val="00BF6BF5"/>
    <w:rsid w:val="00BF74E2"/>
    <w:rsid w:val="00BF7EBC"/>
    <w:rsid w:val="00C000DF"/>
    <w:rsid w:val="00C00127"/>
    <w:rsid w:val="00C01356"/>
    <w:rsid w:val="00C01934"/>
    <w:rsid w:val="00C02A25"/>
    <w:rsid w:val="00C02CF8"/>
    <w:rsid w:val="00C03008"/>
    <w:rsid w:val="00C03301"/>
    <w:rsid w:val="00C03BE2"/>
    <w:rsid w:val="00C05CF4"/>
    <w:rsid w:val="00C07266"/>
    <w:rsid w:val="00C11125"/>
    <w:rsid w:val="00C11631"/>
    <w:rsid w:val="00C12C0F"/>
    <w:rsid w:val="00C13C20"/>
    <w:rsid w:val="00C1429C"/>
    <w:rsid w:val="00C1486E"/>
    <w:rsid w:val="00C1589B"/>
    <w:rsid w:val="00C2140B"/>
    <w:rsid w:val="00C217A8"/>
    <w:rsid w:val="00C21879"/>
    <w:rsid w:val="00C22087"/>
    <w:rsid w:val="00C2210B"/>
    <w:rsid w:val="00C23D5D"/>
    <w:rsid w:val="00C25C34"/>
    <w:rsid w:val="00C26072"/>
    <w:rsid w:val="00C31490"/>
    <w:rsid w:val="00C31D98"/>
    <w:rsid w:val="00C33253"/>
    <w:rsid w:val="00C33320"/>
    <w:rsid w:val="00C34336"/>
    <w:rsid w:val="00C35298"/>
    <w:rsid w:val="00C3737D"/>
    <w:rsid w:val="00C411AC"/>
    <w:rsid w:val="00C4301D"/>
    <w:rsid w:val="00C4342C"/>
    <w:rsid w:val="00C44082"/>
    <w:rsid w:val="00C44770"/>
    <w:rsid w:val="00C4564C"/>
    <w:rsid w:val="00C45CE3"/>
    <w:rsid w:val="00C467CD"/>
    <w:rsid w:val="00C46E8A"/>
    <w:rsid w:val="00C46F30"/>
    <w:rsid w:val="00C47352"/>
    <w:rsid w:val="00C5041D"/>
    <w:rsid w:val="00C51B15"/>
    <w:rsid w:val="00C540ED"/>
    <w:rsid w:val="00C55512"/>
    <w:rsid w:val="00C555C2"/>
    <w:rsid w:val="00C556A7"/>
    <w:rsid w:val="00C56F58"/>
    <w:rsid w:val="00C57055"/>
    <w:rsid w:val="00C61508"/>
    <w:rsid w:val="00C62B5E"/>
    <w:rsid w:val="00C62E6D"/>
    <w:rsid w:val="00C630E2"/>
    <w:rsid w:val="00C64E2D"/>
    <w:rsid w:val="00C653BC"/>
    <w:rsid w:val="00C67000"/>
    <w:rsid w:val="00C67E29"/>
    <w:rsid w:val="00C70949"/>
    <w:rsid w:val="00C72335"/>
    <w:rsid w:val="00C727DB"/>
    <w:rsid w:val="00C7319C"/>
    <w:rsid w:val="00C73F42"/>
    <w:rsid w:val="00C75592"/>
    <w:rsid w:val="00C75ADD"/>
    <w:rsid w:val="00C75D94"/>
    <w:rsid w:val="00C76C92"/>
    <w:rsid w:val="00C77954"/>
    <w:rsid w:val="00C77DAA"/>
    <w:rsid w:val="00C81260"/>
    <w:rsid w:val="00C81513"/>
    <w:rsid w:val="00C81730"/>
    <w:rsid w:val="00C8211A"/>
    <w:rsid w:val="00C85036"/>
    <w:rsid w:val="00C85276"/>
    <w:rsid w:val="00C85EFA"/>
    <w:rsid w:val="00C878EF"/>
    <w:rsid w:val="00C87D1D"/>
    <w:rsid w:val="00C90A1D"/>
    <w:rsid w:val="00C91155"/>
    <w:rsid w:val="00C91CB5"/>
    <w:rsid w:val="00C91F31"/>
    <w:rsid w:val="00C93E42"/>
    <w:rsid w:val="00C9512C"/>
    <w:rsid w:val="00C96072"/>
    <w:rsid w:val="00C96CE1"/>
    <w:rsid w:val="00C97A89"/>
    <w:rsid w:val="00CA1FC4"/>
    <w:rsid w:val="00CA3A70"/>
    <w:rsid w:val="00CA4F58"/>
    <w:rsid w:val="00CA5957"/>
    <w:rsid w:val="00CA5B1E"/>
    <w:rsid w:val="00CA5C66"/>
    <w:rsid w:val="00CA6371"/>
    <w:rsid w:val="00CA679D"/>
    <w:rsid w:val="00CA67C4"/>
    <w:rsid w:val="00CB0856"/>
    <w:rsid w:val="00CB1F80"/>
    <w:rsid w:val="00CB21D7"/>
    <w:rsid w:val="00CB2E83"/>
    <w:rsid w:val="00CB386A"/>
    <w:rsid w:val="00CB4167"/>
    <w:rsid w:val="00CB508C"/>
    <w:rsid w:val="00CB674A"/>
    <w:rsid w:val="00CB6B6D"/>
    <w:rsid w:val="00CB739A"/>
    <w:rsid w:val="00CB73FD"/>
    <w:rsid w:val="00CB7CB7"/>
    <w:rsid w:val="00CB7F9D"/>
    <w:rsid w:val="00CC0ED1"/>
    <w:rsid w:val="00CC149E"/>
    <w:rsid w:val="00CC1BDA"/>
    <w:rsid w:val="00CC2C82"/>
    <w:rsid w:val="00CC2F90"/>
    <w:rsid w:val="00CC3276"/>
    <w:rsid w:val="00CC3FB2"/>
    <w:rsid w:val="00CD020E"/>
    <w:rsid w:val="00CD2B33"/>
    <w:rsid w:val="00CD40AB"/>
    <w:rsid w:val="00CD5235"/>
    <w:rsid w:val="00CD59DC"/>
    <w:rsid w:val="00CD6ACA"/>
    <w:rsid w:val="00CD739F"/>
    <w:rsid w:val="00CD79AA"/>
    <w:rsid w:val="00CE1AF1"/>
    <w:rsid w:val="00CE2BA6"/>
    <w:rsid w:val="00CE2D9D"/>
    <w:rsid w:val="00CE4681"/>
    <w:rsid w:val="00CE475C"/>
    <w:rsid w:val="00CE58B7"/>
    <w:rsid w:val="00CF0D41"/>
    <w:rsid w:val="00CF0DE1"/>
    <w:rsid w:val="00CF12E4"/>
    <w:rsid w:val="00CF3EFA"/>
    <w:rsid w:val="00CF5CEC"/>
    <w:rsid w:val="00CF6937"/>
    <w:rsid w:val="00CF6C64"/>
    <w:rsid w:val="00CF75F9"/>
    <w:rsid w:val="00CF7729"/>
    <w:rsid w:val="00CF7AE0"/>
    <w:rsid w:val="00D004D8"/>
    <w:rsid w:val="00D03F8E"/>
    <w:rsid w:val="00D04348"/>
    <w:rsid w:val="00D04543"/>
    <w:rsid w:val="00D04B22"/>
    <w:rsid w:val="00D063AB"/>
    <w:rsid w:val="00D1024B"/>
    <w:rsid w:val="00D10642"/>
    <w:rsid w:val="00D10AD0"/>
    <w:rsid w:val="00D10B7B"/>
    <w:rsid w:val="00D14554"/>
    <w:rsid w:val="00D14AD8"/>
    <w:rsid w:val="00D14F74"/>
    <w:rsid w:val="00D169A5"/>
    <w:rsid w:val="00D17777"/>
    <w:rsid w:val="00D203B3"/>
    <w:rsid w:val="00D2160B"/>
    <w:rsid w:val="00D21B22"/>
    <w:rsid w:val="00D22979"/>
    <w:rsid w:val="00D22ECE"/>
    <w:rsid w:val="00D23189"/>
    <w:rsid w:val="00D24986"/>
    <w:rsid w:val="00D24C49"/>
    <w:rsid w:val="00D31080"/>
    <w:rsid w:val="00D31C2C"/>
    <w:rsid w:val="00D332E5"/>
    <w:rsid w:val="00D3432F"/>
    <w:rsid w:val="00D3458F"/>
    <w:rsid w:val="00D34F44"/>
    <w:rsid w:val="00D35CC6"/>
    <w:rsid w:val="00D362D7"/>
    <w:rsid w:val="00D36B0F"/>
    <w:rsid w:val="00D36D7A"/>
    <w:rsid w:val="00D37C04"/>
    <w:rsid w:val="00D40873"/>
    <w:rsid w:val="00D42A14"/>
    <w:rsid w:val="00D42EC4"/>
    <w:rsid w:val="00D43157"/>
    <w:rsid w:val="00D4440E"/>
    <w:rsid w:val="00D45146"/>
    <w:rsid w:val="00D45312"/>
    <w:rsid w:val="00D50EBF"/>
    <w:rsid w:val="00D51CAB"/>
    <w:rsid w:val="00D52CEC"/>
    <w:rsid w:val="00D545CB"/>
    <w:rsid w:val="00D548FF"/>
    <w:rsid w:val="00D55D2E"/>
    <w:rsid w:val="00D5660F"/>
    <w:rsid w:val="00D57E55"/>
    <w:rsid w:val="00D57F50"/>
    <w:rsid w:val="00D618A7"/>
    <w:rsid w:val="00D63BC3"/>
    <w:rsid w:val="00D64348"/>
    <w:rsid w:val="00D66400"/>
    <w:rsid w:val="00D676CF"/>
    <w:rsid w:val="00D728D2"/>
    <w:rsid w:val="00D72A76"/>
    <w:rsid w:val="00D75FBF"/>
    <w:rsid w:val="00D76604"/>
    <w:rsid w:val="00D76A04"/>
    <w:rsid w:val="00D811FF"/>
    <w:rsid w:val="00D81A62"/>
    <w:rsid w:val="00D827DE"/>
    <w:rsid w:val="00D82C68"/>
    <w:rsid w:val="00D87C58"/>
    <w:rsid w:val="00D90151"/>
    <w:rsid w:val="00D904C9"/>
    <w:rsid w:val="00D905E6"/>
    <w:rsid w:val="00D9617D"/>
    <w:rsid w:val="00D965D2"/>
    <w:rsid w:val="00D96B08"/>
    <w:rsid w:val="00D97028"/>
    <w:rsid w:val="00D97378"/>
    <w:rsid w:val="00DA1303"/>
    <w:rsid w:val="00DA59D5"/>
    <w:rsid w:val="00DA7D52"/>
    <w:rsid w:val="00DB00B0"/>
    <w:rsid w:val="00DB21B8"/>
    <w:rsid w:val="00DB2948"/>
    <w:rsid w:val="00DB3D21"/>
    <w:rsid w:val="00DB473B"/>
    <w:rsid w:val="00DB554C"/>
    <w:rsid w:val="00DB681A"/>
    <w:rsid w:val="00DB7555"/>
    <w:rsid w:val="00DB761D"/>
    <w:rsid w:val="00DC145E"/>
    <w:rsid w:val="00DC2ACF"/>
    <w:rsid w:val="00DC3DF8"/>
    <w:rsid w:val="00DC5E1A"/>
    <w:rsid w:val="00DC6789"/>
    <w:rsid w:val="00DC6E0E"/>
    <w:rsid w:val="00DC7278"/>
    <w:rsid w:val="00DD077B"/>
    <w:rsid w:val="00DD10B9"/>
    <w:rsid w:val="00DD1654"/>
    <w:rsid w:val="00DD1AB3"/>
    <w:rsid w:val="00DD2157"/>
    <w:rsid w:val="00DD3F3E"/>
    <w:rsid w:val="00DD40C9"/>
    <w:rsid w:val="00DD48F6"/>
    <w:rsid w:val="00DD5864"/>
    <w:rsid w:val="00DD5ACA"/>
    <w:rsid w:val="00DD5AE5"/>
    <w:rsid w:val="00DD675F"/>
    <w:rsid w:val="00DD6DF2"/>
    <w:rsid w:val="00DE0C00"/>
    <w:rsid w:val="00DE21FC"/>
    <w:rsid w:val="00DE2BEF"/>
    <w:rsid w:val="00DE66D4"/>
    <w:rsid w:val="00DE7988"/>
    <w:rsid w:val="00DE7A1D"/>
    <w:rsid w:val="00DF1057"/>
    <w:rsid w:val="00DF2190"/>
    <w:rsid w:val="00DF238A"/>
    <w:rsid w:val="00DF4B80"/>
    <w:rsid w:val="00DF5D4A"/>
    <w:rsid w:val="00DF61FD"/>
    <w:rsid w:val="00DF64EF"/>
    <w:rsid w:val="00DF6EFC"/>
    <w:rsid w:val="00DF7555"/>
    <w:rsid w:val="00E00893"/>
    <w:rsid w:val="00E02090"/>
    <w:rsid w:val="00E029A2"/>
    <w:rsid w:val="00E036B0"/>
    <w:rsid w:val="00E03801"/>
    <w:rsid w:val="00E051B2"/>
    <w:rsid w:val="00E055C9"/>
    <w:rsid w:val="00E06438"/>
    <w:rsid w:val="00E105CA"/>
    <w:rsid w:val="00E106A7"/>
    <w:rsid w:val="00E10EF0"/>
    <w:rsid w:val="00E117F6"/>
    <w:rsid w:val="00E12759"/>
    <w:rsid w:val="00E128ED"/>
    <w:rsid w:val="00E12C99"/>
    <w:rsid w:val="00E12DD7"/>
    <w:rsid w:val="00E13452"/>
    <w:rsid w:val="00E13F6A"/>
    <w:rsid w:val="00E15D41"/>
    <w:rsid w:val="00E175A7"/>
    <w:rsid w:val="00E2144E"/>
    <w:rsid w:val="00E22DED"/>
    <w:rsid w:val="00E23B6C"/>
    <w:rsid w:val="00E23DA5"/>
    <w:rsid w:val="00E23EB4"/>
    <w:rsid w:val="00E25D93"/>
    <w:rsid w:val="00E25EE5"/>
    <w:rsid w:val="00E2693C"/>
    <w:rsid w:val="00E27A37"/>
    <w:rsid w:val="00E30A68"/>
    <w:rsid w:val="00E33A3B"/>
    <w:rsid w:val="00E370A6"/>
    <w:rsid w:val="00E3719A"/>
    <w:rsid w:val="00E373C1"/>
    <w:rsid w:val="00E3758B"/>
    <w:rsid w:val="00E37AEB"/>
    <w:rsid w:val="00E40FEE"/>
    <w:rsid w:val="00E41B01"/>
    <w:rsid w:val="00E4302B"/>
    <w:rsid w:val="00E4396A"/>
    <w:rsid w:val="00E43B1F"/>
    <w:rsid w:val="00E454C4"/>
    <w:rsid w:val="00E45FB6"/>
    <w:rsid w:val="00E50194"/>
    <w:rsid w:val="00E50977"/>
    <w:rsid w:val="00E50E98"/>
    <w:rsid w:val="00E542D3"/>
    <w:rsid w:val="00E54A57"/>
    <w:rsid w:val="00E56E99"/>
    <w:rsid w:val="00E57FD4"/>
    <w:rsid w:val="00E60289"/>
    <w:rsid w:val="00E60882"/>
    <w:rsid w:val="00E618F6"/>
    <w:rsid w:val="00E61D4F"/>
    <w:rsid w:val="00E632B6"/>
    <w:rsid w:val="00E63B6F"/>
    <w:rsid w:val="00E666EC"/>
    <w:rsid w:val="00E6691C"/>
    <w:rsid w:val="00E6758C"/>
    <w:rsid w:val="00E67B2B"/>
    <w:rsid w:val="00E67E54"/>
    <w:rsid w:val="00E70CA1"/>
    <w:rsid w:val="00E72279"/>
    <w:rsid w:val="00E72F2B"/>
    <w:rsid w:val="00E73A45"/>
    <w:rsid w:val="00E73AB1"/>
    <w:rsid w:val="00E73D1A"/>
    <w:rsid w:val="00E74FDC"/>
    <w:rsid w:val="00E7676A"/>
    <w:rsid w:val="00E77465"/>
    <w:rsid w:val="00E808D6"/>
    <w:rsid w:val="00E8128D"/>
    <w:rsid w:val="00E81556"/>
    <w:rsid w:val="00E81E90"/>
    <w:rsid w:val="00E82B46"/>
    <w:rsid w:val="00E86BA8"/>
    <w:rsid w:val="00E912CB"/>
    <w:rsid w:val="00E94396"/>
    <w:rsid w:val="00E96459"/>
    <w:rsid w:val="00E969E6"/>
    <w:rsid w:val="00E9708A"/>
    <w:rsid w:val="00EA0188"/>
    <w:rsid w:val="00EA089B"/>
    <w:rsid w:val="00EA1677"/>
    <w:rsid w:val="00EA1EE5"/>
    <w:rsid w:val="00EA27CD"/>
    <w:rsid w:val="00EA2E0A"/>
    <w:rsid w:val="00EA4BD6"/>
    <w:rsid w:val="00EA4BE6"/>
    <w:rsid w:val="00EA6099"/>
    <w:rsid w:val="00EA6517"/>
    <w:rsid w:val="00EA68C4"/>
    <w:rsid w:val="00EA701E"/>
    <w:rsid w:val="00EB0287"/>
    <w:rsid w:val="00EB0F61"/>
    <w:rsid w:val="00EB3EDF"/>
    <w:rsid w:val="00EB5919"/>
    <w:rsid w:val="00EB5A2C"/>
    <w:rsid w:val="00EB5BB5"/>
    <w:rsid w:val="00EB691E"/>
    <w:rsid w:val="00EB7895"/>
    <w:rsid w:val="00EB7989"/>
    <w:rsid w:val="00EC1391"/>
    <w:rsid w:val="00EC2FE5"/>
    <w:rsid w:val="00EC4245"/>
    <w:rsid w:val="00EC477D"/>
    <w:rsid w:val="00EC5BD8"/>
    <w:rsid w:val="00EC5D86"/>
    <w:rsid w:val="00EC7877"/>
    <w:rsid w:val="00ED173F"/>
    <w:rsid w:val="00ED1DB5"/>
    <w:rsid w:val="00ED2062"/>
    <w:rsid w:val="00ED29EE"/>
    <w:rsid w:val="00ED3456"/>
    <w:rsid w:val="00ED3C24"/>
    <w:rsid w:val="00ED44EE"/>
    <w:rsid w:val="00ED4A6A"/>
    <w:rsid w:val="00ED4FCC"/>
    <w:rsid w:val="00ED7356"/>
    <w:rsid w:val="00EE0BF1"/>
    <w:rsid w:val="00EE1549"/>
    <w:rsid w:val="00EE2C53"/>
    <w:rsid w:val="00EE4467"/>
    <w:rsid w:val="00EE455A"/>
    <w:rsid w:val="00EE58D6"/>
    <w:rsid w:val="00EE5D62"/>
    <w:rsid w:val="00EE62E8"/>
    <w:rsid w:val="00EE715B"/>
    <w:rsid w:val="00EE728A"/>
    <w:rsid w:val="00EE7ED3"/>
    <w:rsid w:val="00EF0B44"/>
    <w:rsid w:val="00EF1021"/>
    <w:rsid w:val="00EF3DE7"/>
    <w:rsid w:val="00EF436C"/>
    <w:rsid w:val="00EF534B"/>
    <w:rsid w:val="00EF6C30"/>
    <w:rsid w:val="00F008A3"/>
    <w:rsid w:val="00F009D8"/>
    <w:rsid w:val="00F013C7"/>
    <w:rsid w:val="00F01741"/>
    <w:rsid w:val="00F02177"/>
    <w:rsid w:val="00F02EC6"/>
    <w:rsid w:val="00F03448"/>
    <w:rsid w:val="00F03A19"/>
    <w:rsid w:val="00F0451A"/>
    <w:rsid w:val="00F050CD"/>
    <w:rsid w:val="00F05D10"/>
    <w:rsid w:val="00F06506"/>
    <w:rsid w:val="00F1047A"/>
    <w:rsid w:val="00F10724"/>
    <w:rsid w:val="00F10D91"/>
    <w:rsid w:val="00F1210D"/>
    <w:rsid w:val="00F12237"/>
    <w:rsid w:val="00F16C09"/>
    <w:rsid w:val="00F16F0F"/>
    <w:rsid w:val="00F17050"/>
    <w:rsid w:val="00F17D49"/>
    <w:rsid w:val="00F17E26"/>
    <w:rsid w:val="00F17E52"/>
    <w:rsid w:val="00F20C3E"/>
    <w:rsid w:val="00F23F8C"/>
    <w:rsid w:val="00F24943"/>
    <w:rsid w:val="00F25512"/>
    <w:rsid w:val="00F2575F"/>
    <w:rsid w:val="00F25A5E"/>
    <w:rsid w:val="00F26C23"/>
    <w:rsid w:val="00F2712F"/>
    <w:rsid w:val="00F30CB8"/>
    <w:rsid w:val="00F31A48"/>
    <w:rsid w:val="00F337B6"/>
    <w:rsid w:val="00F33AC9"/>
    <w:rsid w:val="00F35677"/>
    <w:rsid w:val="00F35804"/>
    <w:rsid w:val="00F35F34"/>
    <w:rsid w:val="00F3646F"/>
    <w:rsid w:val="00F37900"/>
    <w:rsid w:val="00F40109"/>
    <w:rsid w:val="00F40676"/>
    <w:rsid w:val="00F408CC"/>
    <w:rsid w:val="00F41600"/>
    <w:rsid w:val="00F41EEA"/>
    <w:rsid w:val="00F420A0"/>
    <w:rsid w:val="00F42630"/>
    <w:rsid w:val="00F42787"/>
    <w:rsid w:val="00F45F21"/>
    <w:rsid w:val="00F47F3A"/>
    <w:rsid w:val="00F47FD1"/>
    <w:rsid w:val="00F50415"/>
    <w:rsid w:val="00F509F6"/>
    <w:rsid w:val="00F51BEB"/>
    <w:rsid w:val="00F522CB"/>
    <w:rsid w:val="00F52E1C"/>
    <w:rsid w:val="00F54575"/>
    <w:rsid w:val="00F54C9E"/>
    <w:rsid w:val="00F54E0F"/>
    <w:rsid w:val="00F55485"/>
    <w:rsid w:val="00F57A3B"/>
    <w:rsid w:val="00F57AF4"/>
    <w:rsid w:val="00F57C72"/>
    <w:rsid w:val="00F60A7D"/>
    <w:rsid w:val="00F61319"/>
    <w:rsid w:val="00F623A4"/>
    <w:rsid w:val="00F634CD"/>
    <w:rsid w:val="00F67C36"/>
    <w:rsid w:val="00F67FB9"/>
    <w:rsid w:val="00F70421"/>
    <w:rsid w:val="00F71366"/>
    <w:rsid w:val="00F7191C"/>
    <w:rsid w:val="00F73816"/>
    <w:rsid w:val="00F74BC4"/>
    <w:rsid w:val="00F75759"/>
    <w:rsid w:val="00F75E39"/>
    <w:rsid w:val="00F76462"/>
    <w:rsid w:val="00F80130"/>
    <w:rsid w:val="00F802E1"/>
    <w:rsid w:val="00F83A55"/>
    <w:rsid w:val="00F83E3E"/>
    <w:rsid w:val="00F84304"/>
    <w:rsid w:val="00F853F2"/>
    <w:rsid w:val="00F914B2"/>
    <w:rsid w:val="00F944E1"/>
    <w:rsid w:val="00F94B67"/>
    <w:rsid w:val="00F94C69"/>
    <w:rsid w:val="00F95340"/>
    <w:rsid w:val="00F9562E"/>
    <w:rsid w:val="00F9789A"/>
    <w:rsid w:val="00F97CC3"/>
    <w:rsid w:val="00FA0EDB"/>
    <w:rsid w:val="00FA1ABA"/>
    <w:rsid w:val="00FA2493"/>
    <w:rsid w:val="00FA4230"/>
    <w:rsid w:val="00FA44F2"/>
    <w:rsid w:val="00FA4A9C"/>
    <w:rsid w:val="00FA4FCD"/>
    <w:rsid w:val="00FA5456"/>
    <w:rsid w:val="00FA5C5C"/>
    <w:rsid w:val="00FA6D3D"/>
    <w:rsid w:val="00FA6DD7"/>
    <w:rsid w:val="00FA7CD6"/>
    <w:rsid w:val="00FB0279"/>
    <w:rsid w:val="00FB0661"/>
    <w:rsid w:val="00FB084E"/>
    <w:rsid w:val="00FB08A4"/>
    <w:rsid w:val="00FB0FA4"/>
    <w:rsid w:val="00FB22F7"/>
    <w:rsid w:val="00FB2806"/>
    <w:rsid w:val="00FB2996"/>
    <w:rsid w:val="00FB2BD1"/>
    <w:rsid w:val="00FB343B"/>
    <w:rsid w:val="00FB3B1F"/>
    <w:rsid w:val="00FB3C9B"/>
    <w:rsid w:val="00FB4FA8"/>
    <w:rsid w:val="00FB5A91"/>
    <w:rsid w:val="00FB5ECF"/>
    <w:rsid w:val="00FB5FAF"/>
    <w:rsid w:val="00FC064C"/>
    <w:rsid w:val="00FC152B"/>
    <w:rsid w:val="00FC1B64"/>
    <w:rsid w:val="00FC2421"/>
    <w:rsid w:val="00FC7182"/>
    <w:rsid w:val="00FC7BE0"/>
    <w:rsid w:val="00FD0009"/>
    <w:rsid w:val="00FD0574"/>
    <w:rsid w:val="00FD30B9"/>
    <w:rsid w:val="00FD4842"/>
    <w:rsid w:val="00FD4990"/>
    <w:rsid w:val="00FD52AD"/>
    <w:rsid w:val="00FD6A3B"/>
    <w:rsid w:val="00FD7E80"/>
    <w:rsid w:val="00FE1FB5"/>
    <w:rsid w:val="00FE2922"/>
    <w:rsid w:val="00FE3685"/>
    <w:rsid w:val="00FE4004"/>
    <w:rsid w:val="00FE5831"/>
    <w:rsid w:val="00FE6134"/>
    <w:rsid w:val="00FE6C16"/>
    <w:rsid w:val="00FF027D"/>
    <w:rsid w:val="00FF1779"/>
    <w:rsid w:val="00FF3748"/>
    <w:rsid w:val="00FF4206"/>
    <w:rsid w:val="00FF4963"/>
    <w:rsid w:val="00FF4F34"/>
    <w:rsid w:val="00FF50B4"/>
    <w:rsid w:val="00FF641C"/>
    <w:rsid w:val="00FF6428"/>
    <w:rsid w:val="00FF669F"/>
    <w:rsid w:val="00FF78AF"/>
    <w:rsid w:val="01027184"/>
    <w:rsid w:val="0346052F"/>
    <w:rsid w:val="07BE5B99"/>
    <w:rsid w:val="248E6AC3"/>
    <w:rsid w:val="27776A79"/>
    <w:rsid w:val="2C195BCB"/>
    <w:rsid w:val="31EB452C"/>
    <w:rsid w:val="35EB6FEC"/>
    <w:rsid w:val="362D3039"/>
    <w:rsid w:val="3CC3475F"/>
    <w:rsid w:val="3CD32B74"/>
    <w:rsid w:val="73F92CEC"/>
    <w:rsid w:val="7F201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4"/>
    <w:qFormat/>
    <w:uiPriority w:val="99"/>
    <w:rPr>
      <w:sz w:val="18"/>
      <w:szCs w:val="18"/>
    </w:rPr>
  </w:style>
  <w:style w:type="character" w:customStyle="1" w:styleId="12">
    <w:name w:val="页脚 Char"/>
    <w:basedOn w:val="9"/>
    <w:link w:val="3"/>
    <w:qFormat/>
    <w:uiPriority w:val="99"/>
    <w:rPr>
      <w:sz w:val="18"/>
      <w:szCs w:val="18"/>
    </w:rPr>
  </w:style>
  <w:style w:type="paragraph" w:customStyle="1" w:styleId="13">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styleId="14">
    <w:name w:val="List Paragraph"/>
    <w:basedOn w:val="1"/>
    <w:qFormat/>
    <w:uiPriority w:val="34"/>
    <w:pPr>
      <w:ind w:firstLine="420" w:firstLineChars="200"/>
    </w:pPr>
    <w:rPr>
      <w:rFonts w:ascii="Calibri" w:hAnsi="Calibri" w:eastAsia="宋体" w:cs="Times New Roman"/>
      <w:szCs w:val="24"/>
    </w:rPr>
  </w:style>
  <w:style w:type="character" w:customStyle="1" w:styleId="15">
    <w:name w:val="批注框文本 Char"/>
    <w:basedOn w:val="9"/>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5550</Words>
  <Characters>6030</Characters>
  <Lines>52</Lines>
  <Paragraphs>14</Paragraphs>
  <TotalTime>287</TotalTime>
  <ScaleCrop>false</ScaleCrop>
  <LinksUpToDate>false</LinksUpToDate>
  <CharactersWithSpaces>6185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2022-07-19T08:32:00Z</dcterms:created>
  <dc:creator>李毅民</dc:creator>
  <cp:lastModifiedBy>林铌</cp:lastModifiedBy>
  <dcterms:modified xsi:type="dcterms:W3CDTF">2023-02-21T03:00:33Z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9DF427C9C9BE45C7921A64B0B81D4424</vt:lpwstr>
  </property>
</Properties>
</file>