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23333E">
      <w:pPr>
        <w:tabs>
          <w:tab w:val="left" w:pos="1470"/>
          <w:tab w:val="left" w:pos="1680"/>
        </w:tabs>
        <w:spacing w:line="560" w:lineRule="exact"/>
        <w:rPr>
          <w:rFonts w:ascii="黑体" w:eastAsia="黑体" w:hAnsi="黑体" w:cs="黑体" w:hint="eastAsia"/>
          <w:sz w:val="32"/>
          <w:szCs w:val="32"/>
        </w:rPr>
      </w:pPr>
      <w:bookmarkStart w:id="0" w:name="_GoBack"/>
      <w:bookmarkEnd w:id="0"/>
      <w:r>
        <w:rPr>
          <w:rFonts w:ascii="黑体" w:eastAsia="黑体" w:hAnsi="黑体" w:cs="黑体" w:hint="eastAsia"/>
          <w:sz w:val="32"/>
          <w:szCs w:val="32"/>
        </w:rPr>
        <w:t>附件</w:t>
      </w:r>
      <w:r>
        <w:rPr>
          <w:rFonts w:ascii="黑体" w:eastAsia="黑体" w:hAnsi="黑体" w:cs="黑体" w:hint="eastAsia"/>
          <w:sz w:val="32"/>
          <w:szCs w:val="32"/>
        </w:rPr>
        <w:t>2</w:t>
      </w:r>
    </w:p>
    <w:p w:rsidR="00000000" w:rsidRDefault="0023333E">
      <w:pPr>
        <w:spacing w:line="560" w:lineRule="exact"/>
        <w:jc w:val="center"/>
        <w:rPr>
          <w:rFonts w:eastAsia="仿宋_GB2312"/>
          <w:sz w:val="44"/>
          <w:szCs w:val="44"/>
        </w:rPr>
      </w:pPr>
    </w:p>
    <w:p w:rsidR="00000000" w:rsidRDefault="0023333E">
      <w:pPr>
        <w:spacing w:line="560" w:lineRule="exact"/>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44"/>
          <w:szCs w:val="44"/>
        </w:rPr>
        <w:t>昂丹司琼口服制剂说明书修订</w:t>
      </w:r>
      <w:r>
        <w:rPr>
          <w:rFonts w:ascii="方正小标宋_GBK" w:eastAsia="方正小标宋_GBK" w:hAnsi="方正小标宋_GBK" w:cs="方正小标宋_GBK" w:hint="eastAsia"/>
          <w:sz w:val="44"/>
          <w:szCs w:val="44"/>
        </w:rPr>
        <w:t>要求</w:t>
      </w:r>
    </w:p>
    <w:p w:rsidR="00000000" w:rsidRDefault="0023333E">
      <w:pPr>
        <w:spacing w:line="560" w:lineRule="exact"/>
        <w:jc w:val="center"/>
        <w:rPr>
          <w:rFonts w:eastAsia="仿宋_GB2312"/>
          <w:sz w:val="44"/>
          <w:szCs w:val="44"/>
        </w:rPr>
      </w:pPr>
    </w:p>
    <w:p w:rsidR="00000000" w:rsidRDefault="0023333E">
      <w:pPr>
        <w:spacing w:line="56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一、【禁忌】</w:t>
      </w:r>
      <w:r>
        <w:rPr>
          <w:rFonts w:ascii="黑体" w:eastAsia="黑体" w:hAnsi="黑体" w:cs="黑体" w:hint="eastAsia"/>
          <w:sz w:val="32"/>
          <w:szCs w:val="32"/>
        </w:rPr>
        <w:t>项下应包含以下内容</w:t>
      </w:r>
    </w:p>
    <w:p w:rsidR="00000000" w:rsidRDefault="0023333E">
      <w:pPr>
        <w:spacing w:line="560" w:lineRule="exact"/>
        <w:ind w:firstLineChars="200" w:firstLine="640"/>
        <w:rPr>
          <w:rFonts w:eastAsia="仿宋_GB2312"/>
          <w:sz w:val="32"/>
          <w:szCs w:val="32"/>
        </w:rPr>
      </w:pPr>
      <w:r>
        <w:rPr>
          <w:rFonts w:eastAsia="仿宋_GB2312"/>
          <w:sz w:val="32"/>
          <w:szCs w:val="32"/>
        </w:rPr>
        <w:t>由于昂丹司琼与盐酸阿扑吗啡联合用药时有严重低血压和意识丧失的报道，故本品禁止与阿扑吗啡联合使用。</w:t>
      </w:r>
    </w:p>
    <w:p w:rsidR="00000000" w:rsidRDefault="0023333E">
      <w:pPr>
        <w:spacing w:line="56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二、【注意事项】</w:t>
      </w:r>
      <w:r>
        <w:rPr>
          <w:rFonts w:ascii="黑体" w:eastAsia="黑体" w:hAnsi="黑体" w:cs="黑体" w:hint="eastAsia"/>
          <w:sz w:val="32"/>
          <w:szCs w:val="32"/>
        </w:rPr>
        <w:t>项下应包含以下内容</w:t>
      </w:r>
    </w:p>
    <w:p w:rsidR="00000000" w:rsidRDefault="0023333E">
      <w:pPr>
        <w:spacing w:line="560" w:lineRule="exact"/>
        <w:ind w:firstLineChars="200" w:firstLine="640"/>
        <w:rPr>
          <w:rFonts w:eastAsia="仿宋_GB2312"/>
          <w:sz w:val="32"/>
          <w:szCs w:val="32"/>
        </w:rPr>
      </w:pPr>
      <w:r>
        <w:rPr>
          <w:rFonts w:eastAsia="仿宋_GB2312"/>
          <w:sz w:val="32"/>
          <w:szCs w:val="32"/>
        </w:rPr>
        <w:t>1.</w:t>
      </w:r>
      <w:r>
        <w:rPr>
          <w:rFonts w:eastAsia="仿宋_GB2312"/>
          <w:sz w:val="32"/>
          <w:szCs w:val="32"/>
        </w:rPr>
        <w:t>昂丹司琼可延长</w:t>
      </w:r>
      <w:r>
        <w:rPr>
          <w:rFonts w:eastAsia="仿宋_GB2312"/>
          <w:sz w:val="32"/>
          <w:szCs w:val="32"/>
        </w:rPr>
        <w:t>QT</w:t>
      </w:r>
      <w:r>
        <w:rPr>
          <w:rFonts w:eastAsia="仿宋_GB2312"/>
          <w:sz w:val="32"/>
          <w:szCs w:val="32"/>
        </w:rPr>
        <w:t>间期，并具有剂量依赖性。上市后已有接受昂丹司琼治疗的患者发生尖端扭转型室性心动过速的个例报告。先天性</w:t>
      </w:r>
      <w:r>
        <w:rPr>
          <w:rFonts w:eastAsia="仿宋_GB2312"/>
          <w:sz w:val="32"/>
          <w:szCs w:val="32"/>
        </w:rPr>
        <w:t>QT</w:t>
      </w:r>
      <w:r>
        <w:rPr>
          <w:rFonts w:eastAsia="仿宋_GB2312"/>
          <w:sz w:val="32"/>
          <w:szCs w:val="32"/>
        </w:rPr>
        <w:t>间期延长综合征患者应避免使用昂</w:t>
      </w:r>
      <w:r>
        <w:rPr>
          <w:rFonts w:eastAsia="仿宋_GB2312"/>
          <w:sz w:val="32"/>
          <w:szCs w:val="32"/>
        </w:rPr>
        <w:t>丹司琼。出现或可能出现</w:t>
      </w:r>
      <w:r>
        <w:rPr>
          <w:rFonts w:eastAsia="仿宋_GB2312"/>
          <w:sz w:val="32"/>
          <w:szCs w:val="32"/>
        </w:rPr>
        <w:t>QT</w:t>
      </w:r>
      <w:r>
        <w:rPr>
          <w:rFonts w:eastAsia="仿宋_GB2312"/>
          <w:sz w:val="32"/>
          <w:szCs w:val="32"/>
        </w:rPr>
        <w:t>间期延长的患者应慎用昂丹司琼，主要包括电解质紊乱、充血性心力衰竭、缓慢性心律失常或正在服用其他可能导致</w:t>
      </w:r>
      <w:r>
        <w:rPr>
          <w:rFonts w:eastAsia="仿宋_GB2312"/>
          <w:sz w:val="32"/>
          <w:szCs w:val="32"/>
        </w:rPr>
        <w:t>QT</w:t>
      </w:r>
      <w:r>
        <w:rPr>
          <w:rFonts w:eastAsia="仿宋_GB2312"/>
          <w:sz w:val="32"/>
          <w:szCs w:val="32"/>
        </w:rPr>
        <w:t>间期延长药物的患者。</w:t>
      </w:r>
    </w:p>
    <w:p w:rsidR="00000000" w:rsidRDefault="0023333E">
      <w:pPr>
        <w:spacing w:line="560" w:lineRule="exact"/>
        <w:ind w:firstLineChars="200" w:firstLine="640"/>
        <w:rPr>
          <w:rFonts w:eastAsia="仿宋_GB2312"/>
          <w:sz w:val="32"/>
          <w:szCs w:val="32"/>
        </w:rPr>
      </w:pPr>
      <w:r>
        <w:rPr>
          <w:rFonts w:eastAsia="仿宋_GB2312"/>
          <w:sz w:val="32"/>
          <w:szCs w:val="32"/>
        </w:rPr>
        <w:t>2.</w:t>
      </w:r>
      <w:r>
        <w:rPr>
          <w:rFonts w:eastAsia="仿宋_GB2312"/>
          <w:sz w:val="32"/>
          <w:szCs w:val="32"/>
        </w:rPr>
        <w:t>本品联合应用其他血清素类药物时有血清素综合征的报告。症状主要表现为：精神状态改变（激动、幻觉、谵妄、昏迷），自主神经失调（心动过速、血压不稳、头晕、出汗、脸红、高热），神经肌肉症状（震颤、僵直、肌阵挛、反射亢进、不协调），癫痫，伴随或不伴随胃肠道症状（恶心、呕吐、腹泻）。如果需要与其他血清素药物合并用药，建议对患者进行观察。</w:t>
      </w:r>
    </w:p>
    <w:p w:rsidR="00000000" w:rsidRDefault="0023333E">
      <w:pPr>
        <w:spacing w:line="56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三、【孕期及哺乳期妇女用药</w:t>
      </w:r>
      <w:r>
        <w:rPr>
          <w:rFonts w:ascii="黑体" w:eastAsia="黑体" w:hAnsi="黑体" w:cs="黑体" w:hint="eastAsia"/>
          <w:sz w:val="32"/>
          <w:szCs w:val="32"/>
        </w:rPr>
        <w:t>】</w:t>
      </w:r>
      <w:r>
        <w:rPr>
          <w:rFonts w:ascii="黑体" w:eastAsia="黑体" w:hAnsi="黑体" w:cs="黑体" w:hint="eastAsia"/>
          <w:sz w:val="32"/>
          <w:szCs w:val="32"/>
        </w:rPr>
        <w:t>项下应包含以下内容</w:t>
      </w:r>
    </w:p>
    <w:p w:rsidR="00000000" w:rsidRDefault="0023333E">
      <w:pPr>
        <w:spacing w:line="560" w:lineRule="exact"/>
        <w:ind w:firstLineChars="200" w:firstLine="640"/>
        <w:rPr>
          <w:rFonts w:eastAsia="仿宋_GB2312"/>
          <w:sz w:val="32"/>
          <w:szCs w:val="32"/>
        </w:rPr>
      </w:pPr>
      <w:r>
        <w:rPr>
          <w:rFonts w:eastAsia="仿宋_GB2312"/>
          <w:sz w:val="32"/>
          <w:szCs w:val="32"/>
        </w:rPr>
        <w:t>1.</w:t>
      </w:r>
      <w:r>
        <w:rPr>
          <w:rFonts w:eastAsia="仿宋_GB2312"/>
          <w:sz w:val="32"/>
          <w:szCs w:val="32"/>
        </w:rPr>
        <w:t>一项</w:t>
      </w:r>
      <w:r>
        <w:rPr>
          <w:rFonts w:eastAsia="仿宋_GB2312"/>
          <w:sz w:val="32"/>
          <w:szCs w:val="32"/>
        </w:rPr>
        <w:t>88467</w:t>
      </w:r>
      <w:r>
        <w:rPr>
          <w:rFonts w:eastAsia="仿宋_GB2312"/>
          <w:sz w:val="32"/>
          <w:szCs w:val="32"/>
        </w:rPr>
        <w:t>名昂丹司琼妊娠暴露妇女的队列研究显示，所生子女唇腭裂的风险增加（每</w:t>
      </w:r>
      <w:r>
        <w:rPr>
          <w:rFonts w:eastAsia="仿宋_GB2312"/>
          <w:sz w:val="32"/>
          <w:szCs w:val="32"/>
        </w:rPr>
        <w:t>1</w:t>
      </w:r>
      <w:r>
        <w:rPr>
          <w:rFonts w:eastAsia="仿宋_GB2312"/>
          <w:sz w:val="32"/>
          <w:szCs w:val="32"/>
        </w:rPr>
        <w:t>万名接受治疗的妇女中增加</w:t>
      </w:r>
      <w:r>
        <w:rPr>
          <w:rFonts w:eastAsia="仿宋_GB2312"/>
          <w:sz w:val="32"/>
          <w:szCs w:val="32"/>
        </w:rPr>
        <w:t>3</w:t>
      </w:r>
      <w:r>
        <w:rPr>
          <w:rFonts w:eastAsia="仿宋_GB2312"/>
          <w:sz w:val="32"/>
          <w:szCs w:val="32"/>
        </w:rPr>
        <w:t>例，</w:t>
      </w:r>
      <w:r>
        <w:rPr>
          <w:rFonts w:eastAsia="仿宋_GB2312"/>
          <w:sz w:val="32"/>
          <w:szCs w:val="32"/>
        </w:rPr>
        <w:lastRenderedPageBreak/>
        <w:t>校正后的相对风险</w:t>
      </w:r>
      <w:r>
        <w:rPr>
          <w:rFonts w:eastAsia="仿宋_GB2312"/>
          <w:sz w:val="32"/>
          <w:szCs w:val="32"/>
        </w:rPr>
        <w:t>[RR]</w:t>
      </w:r>
      <w:r>
        <w:rPr>
          <w:rFonts w:eastAsia="仿宋_GB2312"/>
          <w:sz w:val="32"/>
          <w:szCs w:val="32"/>
        </w:rPr>
        <w:t>为</w:t>
      </w:r>
      <w:r>
        <w:rPr>
          <w:rFonts w:eastAsia="仿宋_GB2312"/>
          <w:sz w:val="32"/>
          <w:szCs w:val="32"/>
        </w:rPr>
        <w:t>1.24</w:t>
      </w:r>
      <w:r>
        <w:rPr>
          <w:rFonts w:eastAsia="仿宋_GB2312"/>
          <w:sz w:val="32"/>
          <w:szCs w:val="32"/>
        </w:rPr>
        <w:t>，</w:t>
      </w:r>
      <w:r>
        <w:rPr>
          <w:rFonts w:eastAsia="仿宋_GB2312"/>
          <w:sz w:val="32"/>
          <w:szCs w:val="32"/>
        </w:rPr>
        <w:t>95%CI</w:t>
      </w:r>
      <w:r>
        <w:rPr>
          <w:rFonts w:eastAsia="仿宋_GB2312"/>
          <w:sz w:val="32"/>
          <w:szCs w:val="32"/>
        </w:rPr>
        <w:t>为</w:t>
      </w:r>
      <w:r>
        <w:rPr>
          <w:rFonts w:eastAsia="仿宋_GB2312"/>
          <w:sz w:val="32"/>
          <w:szCs w:val="32"/>
        </w:rPr>
        <w:t>1.03-1.48</w:t>
      </w:r>
      <w:r>
        <w:rPr>
          <w:rFonts w:eastAsia="仿宋_GB2312"/>
          <w:sz w:val="32"/>
          <w:szCs w:val="32"/>
        </w:rPr>
        <w:t>），心脏畸形风险没有明显增加。</w:t>
      </w:r>
    </w:p>
    <w:p w:rsidR="00000000" w:rsidRDefault="0023333E">
      <w:pPr>
        <w:spacing w:line="560" w:lineRule="exact"/>
        <w:ind w:firstLineChars="200" w:firstLine="640"/>
        <w:rPr>
          <w:rFonts w:eastAsia="仿宋_GB2312"/>
          <w:sz w:val="32"/>
          <w:szCs w:val="32"/>
        </w:rPr>
      </w:pPr>
      <w:r>
        <w:rPr>
          <w:rFonts w:eastAsia="仿宋_GB2312"/>
          <w:sz w:val="32"/>
          <w:szCs w:val="32"/>
        </w:rPr>
        <w:t>2.</w:t>
      </w:r>
      <w:r>
        <w:rPr>
          <w:rFonts w:eastAsia="仿宋_GB2312"/>
          <w:sz w:val="32"/>
          <w:szCs w:val="32"/>
        </w:rPr>
        <w:t>育龄期女性在使用本品治疗期间和停止本品治疗后两天内使用有效的避孕方法（导致妊娠率低于</w:t>
      </w:r>
      <w:r>
        <w:rPr>
          <w:rFonts w:eastAsia="仿宋_GB2312"/>
          <w:sz w:val="32"/>
          <w:szCs w:val="32"/>
        </w:rPr>
        <w:t>1%</w:t>
      </w:r>
      <w:r>
        <w:rPr>
          <w:rFonts w:eastAsia="仿宋_GB2312"/>
          <w:sz w:val="32"/>
          <w:szCs w:val="32"/>
        </w:rPr>
        <w:t>的方法）。</w:t>
      </w:r>
    </w:p>
    <w:p w:rsidR="00000000" w:rsidRDefault="0023333E">
      <w:pPr>
        <w:spacing w:line="560" w:lineRule="exact"/>
        <w:ind w:firstLineChars="200" w:firstLine="640"/>
        <w:rPr>
          <w:rFonts w:eastAsia="仿宋_GB2312"/>
          <w:sz w:val="32"/>
          <w:szCs w:val="32"/>
        </w:rPr>
      </w:pPr>
      <w:r>
        <w:rPr>
          <w:rFonts w:eastAsia="仿宋_GB2312"/>
          <w:sz w:val="32"/>
          <w:szCs w:val="32"/>
        </w:rPr>
        <w:t>3.</w:t>
      </w:r>
      <w:r>
        <w:rPr>
          <w:rFonts w:eastAsia="仿宋_GB2312"/>
          <w:sz w:val="32"/>
          <w:szCs w:val="32"/>
        </w:rPr>
        <w:t>产妇若在分娩前后使用本品，应暂停哺乳。</w:t>
      </w:r>
    </w:p>
    <w:p w:rsidR="00000000" w:rsidRDefault="0023333E">
      <w:pPr>
        <w:spacing w:line="56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四、【药物相互作用】</w:t>
      </w:r>
      <w:r>
        <w:rPr>
          <w:rFonts w:ascii="黑体" w:eastAsia="黑体" w:hAnsi="黑体" w:cs="黑体" w:hint="eastAsia"/>
          <w:sz w:val="32"/>
          <w:szCs w:val="32"/>
        </w:rPr>
        <w:t>项下应包含以下内容</w:t>
      </w:r>
    </w:p>
    <w:p w:rsidR="00000000" w:rsidRDefault="0023333E">
      <w:pPr>
        <w:spacing w:line="560" w:lineRule="exact"/>
        <w:ind w:firstLineChars="200" w:firstLine="640"/>
        <w:rPr>
          <w:rFonts w:eastAsia="仿宋_GB2312"/>
          <w:sz w:val="32"/>
          <w:szCs w:val="32"/>
        </w:rPr>
      </w:pPr>
      <w:r>
        <w:rPr>
          <w:rFonts w:eastAsia="仿宋_GB2312"/>
          <w:sz w:val="32"/>
          <w:szCs w:val="32"/>
        </w:rPr>
        <w:t>1.</w:t>
      </w:r>
      <w:r>
        <w:rPr>
          <w:rFonts w:eastAsia="仿宋_GB2312"/>
          <w:sz w:val="32"/>
          <w:szCs w:val="32"/>
        </w:rPr>
        <w:t>由于昂丹司琼与盐酸阿扑吗啡联合用药时有严重低血压和意识丧失的报道，故本品禁止与阿扑吗</w:t>
      </w:r>
      <w:r>
        <w:rPr>
          <w:rFonts w:eastAsia="仿宋_GB2312"/>
          <w:sz w:val="32"/>
          <w:szCs w:val="32"/>
        </w:rPr>
        <w:t>啡联合使用。</w:t>
      </w:r>
    </w:p>
    <w:p w:rsidR="00000000" w:rsidRDefault="0023333E">
      <w:pPr>
        <w:spacing w:line="560" w:lineRule="exact"/>
        <w:ind w:firstLineChars="200" w:firstLine="640"/>
        <w:rPr>
          <w:rFonts w:eastAsia="仿宋_GB2312"/>
          <w:sz w:val="32"/>
          <w:szCs w:val="32"/>
        </w:rPr>
      </w:pPr>
      <w:r>
        <w:rPr>
          <w:rFonts w:eastAsia="仿宋_GB2312"/>
          <w:sz w:val="32"/>
          <w:szCs w:val="32"/>
        </w:rPr>
        <w:t>2.</w:t>
      </w:r>
      <w:r>
        <w:rPr>
          <w:rFonts w:eastAsia="仿宋_GB2312"/>
          <w:sz w:val="32"/>
          <w:szCs w:val="32"/>
        </w:rPr>
        <w:t>联合应用其他血清素类药物（如：选择性</w:t>
      </w:r>
      <w:r>
        <w:rPr>
          <w:rFonts w:eastAsia="仿宋_GB2312"/>
          <w:sz w:val="32"/>
          <w:szCs w:val="32"/>
        </w:rPr>
        <w:t>5-</w:t>
      </w:r>
      <w:r>
        <w:rPr>
          <w:rFonts w:eastAsia="仿宋_GB2312"/>
          <w:sz w:val="32"/>
          <w:szCs w:val="32"/>
        </w:rPr>
        <w:t>羟色胺再摄取抑制剂</w:t>
      </w:r>
      <w:r>
        <w:rPr>
          <w:rFonts w:eastAsia="仿宋_GB2312"/>
          <w:sz w:val="32"/>
          <w:szCs w:val="32"/>
        </w:rPr>
        <w:t>[SSRIs]</w:t>
      </w:r>
      <w:r>
        <w:rPr>
          <w:rFonts w:eastAsia="仿宋_GB2312"/>
          <w:sz w:val="32"/>
          <w:szCs w:val="32"/>
        </w:rPr>
        <w:t>、</w:t>
      </w:r>
      <w:r>
        <w:rPr>
          <w:rFonts w:eastAsia="仿宋_GB2312"/>
          <w:sz w:val="32"/>
          <w:szCs w:val="32"/>
        </w:rPr>
        <w:t>5-</w:t>
      </w:r>
      <w:r>
        <w:rPr>
          <w:rFonts w:eastAsia="仿宋_GB2312"/>
          <w:sz w:val="32"/>
          <w:szCs w:val="32"/>
        </w:rPr>
        <w:t>羟色胺去甲肾上腺素再摄取抑制剂</w:t>
      </w:r>
      <w:r>
        <w:rPr>
          <w:rFonts w:eastAsia="仿宋_GB2312"/>
          <w:sz w:val="32"/>
          <w:szCs w:val="32"/>
        </w:rPr>
        <w:t>[SNRIs]</w:t>
      </w:r>
      <w:r>
        <w:rPr>
          <w:rFonts w:eastAsia="仿宋_GB2312"/>
          <w:sz w:val="32"/>
          <w:szCs w:val="32"/>
        </w:rPr>
        <w:t>、单胺氧化酶抑制剂、米氮平、芬太尼、锂盐、</w:t>
      </w:r>
      <w:r>
        <w:rPr>
          <w:rFonts w:eastAsia="仿宋_GB2312"/>
          <w:color w:val="000000"/>
          <w:sz w:val="32"/>
          <w:szCs w:val="32"/>
        </w:rPr>
        <w:t>曲马多</w:t>
      </w:r>
      <w:r>
        <w:rPr>
          <w:rFonts w:eastAsia="仿宋_GB2312"/>
          <w:sz w:val="32"/>
          <w:szCs w:val="32"/>
        </w:rPr>
        <w:t>、静注亚甲基蓝）时有血清素综合征的报告。</w:t>
      </w:r>
    </w:p>
    <w:p w:rsidR="00000000" w:rsidRDefault="0023333E">
      <w:pPr>
        <w:tabs>
          <w:tab w:val="left" w:pos="1470"/>
          <w:tab w:val="left" w:pos="1680"/>
        </w:tabs>
        <w:spacing w:line="560" w:lineRule="exact"/>
        <w:ind w:firstLineChars="200" w:firstLine="640"/>
        <w:rPr>
          <w:rFonts w:eastAsia="仿宋_GB2312"/>
          <w:sz w:val="32"/>
          <w:szCs w:val="32"/>
        </w:rPr>
      </w:pPr>
    </w:p>
    <w:p w:rsidR="00000000" w:rsidRDefault="0023333E">
      <w:pPr>
        <w:spacing w:line="560" w:lineRule="exact"/>
        <w:ind w:firstLineChars="200" w:firstLine="640"/>
        <w:rPr>
          <w:rFonts w:eastAsia="仿宋_GB2312"/>
          <w:sz w:val="32"/>
          <w:szCs w:val="32"/>
        </w:rPr>
      </w:pPr>
      <w:r>
        <w:rPr>
          <w:rFonts w:eastAsia="仿宋_GB2312"/>
          <w:sz w:val="32"/>
          <w:szCs w:val="32"/>
        </w:rPr>
        <w:t>（</w:t>
      </w:r>
      <w:r>
        <w:rPr>
          <w:rFonts w:eastAsia="仿宋_GB2312"/>
          <w:color w:val="000000"/>
          <w:sz w:val="32"/>
          <w:szCs w:val="32"/>
        </w:rPr>
        <w:t>注：如原批准说明书的安全性内容较本修订要求内容更全面或更严格的，应保留原批准内容。说明书其他内容如与上述修订要求不一致的，应当一并进行修订。</w:t>
      </w:r>
      <w:r>
        <w:rPr>
          <w:rFonts w:eastAsia="仿宋_GB2312"/>
          <w:sz w:val="32"/>
          <w:szCs w:val="32"/>
        </w:rPr>
        <w:t>）</w:t>
      </w:r>
    </w:p>
    <w:p w:rsidR="0023333E" w:rsidRDefault="0023333E" w:rsidP="000364A6">
      <w:pPr>
        <w:spacing w:line="560" w:lineRule="exact"/>
        <w:ind w:firstLineChars="200" w:firstLine="420"/>
      </w:pPr>
    </w:p>
    <w:sectPr w:rsidR="0023333E">
      <w:footerReference w:type="even" r:id="rId6"/>
      <w:footerReference w:type="default" r:id="rId7"/>
      <w:pgSz w:w="11906" w:h="16838"/>
      <w:pgMar w:top="1928" w:right="1531" w:bottom="1814" w:left="1531" w:header="851" w:footer="1361"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333E" w:rsidRDefault="0023333E">
      <w:r>
        <w:separator/>
      </w:r>
    </w:p>
  </w:endnote>
  <w:endnote w:type="continuationSeparator" w:id="0">
    <w:p w:rsidR="0023333E" w:rsidRDefault="00233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_GBK">
    <w:altName w:val="Arial Unicode MS"/>
    <w:charset w:val="86"/>
    <w:family w:val="auto"/>
    <w:pitch w:val="default"/>
    <w:sig w:usb0="00000000"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0364A6">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23333E">
                          <w:pPr>
                            <w:pStyle w:val="a3"/>
                            <w:rPr>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6" o:spid="_x0000_s1026" type="#_x0000_t202" style="position:absolute;margin-left:92.8pt;margin-top:0;width:2in;height:2in;z-index:251658240;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" filled="f" stroked="f">
              <v:textbox style="mso-fit-shape-to-text:t" inset="0,0,0,0">
                <w:txbxContent>
                  <w:p w:rsidR="00000000" w:rsidRDefault="0023333E">
                    <w:pPr>
                      <w:pStyle w:val="a3"/>
                      <w:rPr>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0364A6">
    <w:pPr>
      <w:pStyle w:val="a3"/>
    </w:pPr>
    <w:r>
      <w:rPr>
        <w:noProof/>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978535" cy="230505"/>
              <wp:effectExtent l="0" t="0" r="0" b="0"/>
              <wp:wrapNone/>
              <wp:docPr id="1"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23333E">
                          <w:pPr>
                            <w:pStyle w:val="a3"/>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684772">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5" o:spid="_x0000_s1027" type="#_x0000_t202" style="position:absolute;margin-left:25.85pt;margin-top:0;width:77.05pt;height:18.15pt;z-index:251657216;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" filled="f" stroked="f">
              <v:textbox style="mso-fit-shape-to-text:t" inset="0,0,0,0">
                <w:txbxContent>
                  <w:p w:rsidR="00000000" w:rsidRDefault="0023333E">
                    <w:pPr>
                      <w:pStyle w:val="a3"/>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684772">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333E" w:rsidRDefault="0023333E">
      <w:r>
        <w:separator/>
      </w:r>
    </w:p>
  </w:footnote>
  <w:footnote w:type="continuationSeparator" w:id="0">
    <w:p w:rsidR="0023333E" w:rsidRDefault="002333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5A8188"/>
    <w:rsid w:val="6F5A8188"/>
    <w:rsid w:val="BFF3D751"/>
    <w:rsid w:val="000364A6"/>
    <w:rsid w:val="0023333E"/>
    <w:rsid w:val="005770E4"/>
    <w:rsid w:val="006847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9556B34-193A-4641-A244-6954AEF81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semiHidden/>
    <w:qFormat/>
  </w:style>
  <w:style w:type="table" w:default="1" w:styleId="a1">
    <w:name w:val="Normal Table"/>
    <w:semiHidden/>
    <w:qFormat/>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132</Words>
  <Characters>753</Characters>
  <Application>Microsoft Office Word</Application>
  <DocSecurity>0</DocSecurity>
  <Lines>6</Lines>
  <Paragraphs>1</Paragraphs>
  <ScaleCrop>false</ScaleCrop>
  <Company/>
  <LinksUpToDate>false</LinksUpToDate>
  <CharactersWithSpaces>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majh</dc:creator>
  <cp:keywords/>
  <cp:lastModifiedBy>pc</cp:lastModifiedBy>
  <cp:revision>2</cp:revision>
  <dcterms:created xsi:type="dcterms:W3CDTF">2023-01-16T09:37:00Z</dcterms:created>
  <dcterms:modified xsi:type="dcterms:W3CDTF">2023-01-16T09:37:00Z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