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E2E4E">
      <w:pPr>
        <w:pStyle w:val="aa"/>
        <w:spacing w:line="560" w:lineRule="exact"/>
        <w:ind w:firstLineChars="0" w:firstLine="0"/>
        <w:rPr>
          <w:rFonts w:ascii="黑体" w:eastAsia="黑体" w:hAnsi="黑体" w:cs="黑体" w:hint="eastAsia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4</w:t>
      </w:r>
    </w:p>
    <w:p w:rsidR="00000000" w:rsidRDefault="008E2E4E">
      <w:pPr>
        <w:rPr>
          <w:rFonts w:eastAsia="黑体"/>
          <w:sz w:val="32"/>
          <w:szCs w:val="32"/>
        </w:rPr>
      </w:pPr>
    </w:p>
    <w:p w:rsidR="00000000" w:rsidRDefault="008E2E4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YY/T 0966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—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2014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《外科植入物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金属材料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 xml:space="preserve"> </w:t>
      </w:r>
    </w:p>
    <w:p w:rsidR="00000000" w:rsidRDefault="008E2E4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纯钽》医疗器械行业标准第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1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号修改单</w:t>
      </w:r>
    </w:p>
    <w:p w:rsidR="00000000" w:rsidRDefault="008E2E4E">
      <w:pPr>
        <w:spacing w:line="600" w:lineRule="exact"/>
        <w:jc w:val="center"/>
        <w:rPr>
          <w:rFonts w:eastAsia="楷体_GB2312"/>
          <w:spacing w:val="2"/>
          <w:sz w:val="32"/>
          <w:szCs w:val="32"/>
        </w:rPr>
      </w:pPr>
      <w:r>
        <w:rPr>
          <w:rFonts w:eastAsia="楷体_GB2312"/>
          <w:spacing w:val="2"/>
          <w:sz w:val="32"/>
          <w:szCs w:val="32"/>
        </w:rPr>
        <w:t>（自发布之日起实施）</w:t>
      </w:r>
    </w:p>
    <w:p w:rsidR="00000000" w:rsidRDefault="008E2E4E">
      <w:pPr>
        <w:spacing w:line="600" w:lineRule="exact"/>
        <w:jc w:val="center"/>
        <w:rPr>
          <w:rFonts w:eastAsia="楷体_GB2312"/>
          <w:spacing w:val="2"/>
          <w:sz w:val="32"/>
          <w:szCs w:val="32"/>
        </w:rPr>
      </w:pPr>
    </w:p>
    <w:p w:rsidR="00000000" w:rsidRDefault="008E2E4E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一、封面</w:t>
      </w:r>
    </w:p>
    <w:p w:rsidR="00000000" w:rsidRDefault="008E2E4E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ISO 13782:1996,IDT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”</w:t>
      </w:r>
    </w:p>
    <w:p w:rsidR="00000000" w:rsidRDefault="008E2E4E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修改为</w:t>
      </w:r>
      <w:r>
        <w:rPr>
          <w:rFonts w:eastAsia="仿宋_GB2312" w:hint="eastAsia"/>
          <w:sz w:val="32"/>
          <w:szCs w:val="32"/>
        </w:rPr>
        <w:t>：</w:t>
      </w:r>
    </w:p>
    <w:p w:rsidR="00000000" w:rsidRDefault="008E2E4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ISO 13782: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/>
          <w:sz w:val="32"/>
          <w:szCs w:val="32"/>
        </w:rPr>
        <w:t>,IDT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”</w:t>
      </w:r>
    </w:p>
    <w:p w:rsidR="00000000" w:rsidRDefault="008E2E4E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二、前言</w:t>
      </w:r>
    </w:p>
    <w:p w:rsidR="00000000" w:rsidRDefault="008E2E4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本标准使用翻译法等同采用</w:t>
      </w:r>
      <w:r>
        <w:rPr>
          <w:rFonts w:eastAsia="仿宋_GB2312"/>
          <w:sz w:val="32"/>
          <w:szCs w:val="32"/>
        </w:rPr>
        <w:t>ISO</w:t>
      </w:r>
      <w:r>
        <w:rPr>
          <w:rFonts w:eastAsia="仿宋_GB2312"/>
          <w:sz w:val="32"/>
          <w:szCs w:val="32"/>
        </w:rPr>
        <w:t xml:space="preserve"> 13782</w:t>
      </w:r>
      <w:r>
        <w:rPr>
          <w:rFonts w:eastAsia="仿宋_GB2312"/>
          <w:sz w:val="32"/>
          <w:szCs w:val="32"/>
        </w:rPr>
        <w:t>:1</w:t>
      </w:r>
      <w:r>
        <w:rPr>
          <w:rFonts w:eastAsia="仿宋_GB2312"/>
          <w:sz w:val="32"/>
          <w:szCs w:val="32"/>
        </w:rPr>
        <w:t>996</w:t>
      </w:r>
      <w:r>
        <w:rPr>
          <w:rFonts w:eastAsia="仿宋_GB2312"/>
          <w:sz w:val="32"/>
          <w:szCs w:val="32"/>
        </w:rPr>
        <w:t>《外科植入物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金属材料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纯钽》（英文版）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</w:p>
    <w:p w:rsidR="00000000" w:rsidRDefault="008E2E4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修改为：</w:t>
      </w:r>
    </w:p>
    <w:p w:rsidR="00000000" w:rsidRDefault="008E2E4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本</w:t>
      </w:r>
      <w:r>
        <w:rPr>
          <w:rFonts w:eastAsia="仿宋_GB2312" w:hint="eastAsia"/>
          <w:sz w:val="32"/>
          <w:szCs w:val="32"/>
        </w:rPr>
        <w:t>标准</w:t>
      </w:r>
      <w:r>
        <w:rPr>
          <w:rFonts w:eastAsia="仿宋_GB2312"/>
          <w:sz w:val="32"/>
          <w:szCs w:val="32"/>
        </w:rPr>
        <w:t>使用翻译法等同采用</w:t>
      </w:r>
      <w:r>
        <w:rPr>
          <w:rFonts w:eastAsia="仿宋_GB2312"/>
          <w:sz w:val="32"/>
          <w:szCs w:val="32"/>
        </w:rPr>
        <w:t>ISO</w:t>
      </w:r>
      <w:r>
        <w:rPr>
          <w:rFonts w:eastAsia="仿宋_GB2312"/>
          <w:sz w:val="32"/>
          <w:szCs w:val="32"/>
        </w:rPr>
        <w:t xml:space="preserve"> 13782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/>
          <w:sz w:val="32"/>
          <w:szCs w:val="32"/>
        </w:rPr>
        <w:t>《外科植入物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金属材料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纯钽》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</w:p>
    <w:p w:rsidR="00000000" w:rsidRDefault="008E2E4E">
      <w:pPr>
        <w:spacing w:line="58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三、</w:t>
      </w:r>
      <w:r>
        <w:rPr>
          <w:rFonts w:eastAsia="黑体" w:hint="eastAsia"/>
          <w:sz w:val="32"/>
          <w:szCs w:val="32"/>
        </w:rPr>
        <w:t>第</w:t>
      </w:r>
      <w:r>
        <w:rPr>
          <w:rFonts w:eastAsia="黑体" w:hint="eastAsia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章中</w:t>
      </w:r>
    </w:p>
    <w:p w:rsidR="00000000" w:rsidRDefault="008E2E4E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ISO 6892-1</w:t>
      </w:r>
      <w:r>
        <w:rPr>
          <w:rFonts w:eastAsia="仿宋_GB2312"/>
          <w:sz w:val="32"/>
          <w:szCs w:val="32"/>
        </w:rPr>
        <w:t>:2</w:t>
      </w:r>
      <w:r>
        <w:rPr>
          <w:rFonts w:eastAsia="仿宋_GB2312"/>
          <w:sz w:val="32"/>
          <w:szCs w:val="32"/>
        </w:rPr>
        <w:t xml:space="preserve">009 </w:t>
      </w:r>
      <w:r>
        <w:rPr>
          <w:rFonts w:eastAsia="仿宋_GB2312"/>
          <w:sz w:val="32"/>
          <w:szCs w:val="32"/>
        </w:rPr>
        <w:t>金属材料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拉伸试验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第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部分：室温试验方法（</w:t>
      </w:r>
      <w:r>
        <w:rPr>
          <w:rFonts w:eastAsia="仿宋_GB2312"/>
          <w:sz w:val="32"/>
          <w:szCs w:val="32"/>
        </w:rPr>
        <w:t>Metallic materials — Tensile testing — Part 1: Method of test at room temperature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”</w:t>
      </w:r>
    </w:p>
    <w:p w:rsidR="00000000" w:rsidRDefault="008E2E4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修改为：</w:t>
      </w:r>
    </w:p>
    <w:p w:rsidR="00000000" w:rsidRDefault="008E2E4E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ISO</w:t>
      </w:r>
      <w:r>
        <w:rPr>
          <w:rFonts w:eastAsia="仿宋_GB2312"/>
          <w:sz w:val="32"/>
          <w:szCs w:val="32"/>
        </w:rPr>
        <w:t xml:space="preserve"> 6892-1 </w:t>
      </w:r>
      <w:r>
        <w:rPr>
          <w:rFonts w:eastAsia="仿宋_GB2312"/>
          <w:sz w:val="32"/>
          <w:szCs w:val="32"/>
        </w:rPr>
        <w:t>金属材料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拉伸试验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第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部分：室温试验方</w:t>
      </w:r>
      <w:r>
        <w:rPr>
          <w:rFonts w:eastAsia="仿宋_GB2312"/>
          <w:sz w:val="32"/>
          <w:szCs w:val="32"/>
        </w:rPr>
        <w:lastRenderedPageBreak/>
        <w:t>法（</w:t>
      </w:r>
      <w:r>
        <w:rPr>
          <w:rFonts w:eastAsia="仿宋_GB2312"/>
          <w:sz w:val="32"/>
          <w:szCs w:val="32"/>
        </w:rPr>
        <w:t>Metallic materials — Tensile testing — Part 1: Method of test at room temperature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”</w:t>
      </w:r>
    </w:p>
    <w:p w:rsidR="00000000" w:rsidRDefault="008E2E4E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eastAsia="黑体" w:hint="eastAsia"/>
          <w:sz w:val="32"/>
          <w:szCs w:val="32"/>
        </w:rPr>
        <w:t>表</w:t>
      </w:r>
      <w:r>
        <w:rPr>
          <w:rFonts w:eastAsia="黑体" w:hint="eastAsia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中</w:t>
      </w:r>
    </w:p>
    <w:p w:rsidR="00000000" w:rsidRDefault="008E2E4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板材和带材冷加工力学性能由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1155"/>
        <w:gridCol w:w="2305"/>
        <w:gridCol w:w="1183"/>
        <w:gridCol w:w="1418"/>
        <w:gridCol w:w="1417"/>
      </w:tblGrid>
      <w:tr w:rsidR="00000000">
        <w:tc>
          <w:tcPr>
            <w:tcW w:w="1022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形式</w:t>
            </w:r>
          </w:p>
        </w:tc>
        <w:tc>
          <w:tcPr>
            <w:tcW w:w="1155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状态</w:t>
            </w:r>
          </w:p>
        </w:tc>
        <w:tc>
          <w:tcPr>
            <w:tcW w:w="2305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厚度或直径</w:t>
            </w:r>
          </w:p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i/>
                <w:kern w:val="0"/>
                <w:sz w:val="18"/>
                <w:szCs w:val="18"/>
              </w:rPr>
              <w:t>d</w:t>
            </w:r>
            <w:r>
              <w:rPr>
                <w:kern w:val="0"/>
                <w:sz w:val="18"/>
                <w:szCs w:val="18"/>
              </w:rPr>
              <w:t>/mm</w:t>
            </w:r>
          </w:p>
        </w:tc>
        <w:tc>
          <w:tcPr>
            <w:tcW w:w="1183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抗拉强度</w:t>
            </w:r>
          </w:p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i/>
                <w:kern w:val="0"/>
                <w:sz w:val="18"/>
                <w:szCs w:val="18"/>
              </w:rPr>
              <w:t>R</w:t>
            </w:r>
            <w:r>
              <w:rPr>
                <w:kern w:val="0"/>
                <w:sz w:val="18"/>
                <w:szCs w:val="18"/>
                <w:vertAlign w:val="subscript"/>
              </w:rPr>
              <w:t>m</w:t>
            </w:r>
            <w:r>
              <w:rPr>
                <w:kern w:val="0"/>
                <w:sz w:val="18"/>
                <w:szCs w:val="18"/>
              </w:rPr>
              <w:t>/MPa</w:t>
            </w:r>
          </w:p>
        </w:tc>
        <w:tc>
          <w:tcPr>
            <w:tcW w:w="1418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规定非比例</w:t>
            </w:r>
          </w:p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i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延伸强度</w:t>
            </w:r>
          </w:p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i/>
                <w:kern w:val="0"/>
                <w:sz w:val="18"/>
                <w:szCs w:val="18"/>
              </w:rPr>
              <w:t>R</w:t>
            </w:r>
            <w:r>
              <w:rPr>
                <w:kern w:val="0"/>
                <w:sz w:val="18"/>
                <w:szCs w:val="18"/>
                <w:vertAlign w:val="subscript"/>
              </w:rPr>
              <w:t>p0.2</w:t>
            </w:r>
            <w:r>
              <w:rPr>
                <w:kern w:val="0"/>
                <w:sz w:val="18"/>
                <w:szCs w:val="18"/>
              </w:rPr>
              <w:t>/MPa</w:t>
            </w:r>
          </w:p>
        </w:tc>
        <w:tc>
          <w:tcPr>
            <w:tcW w:w="1417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断后伸长率</w:t>
            </w:r>
          </w:p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i/>
                <w:kern w:val="0"/>
                <w:sz w:val="18"/>
                <w:szCs w:val="18"/>
              </w:rPr>
              <w:t>A</w:t>
            </w:r>
            <w:r>
              <w:rPr>
                <w:kern w:val="0"/>
                <w:sz w:val="18"/>
                <w:szCs w:val="18"/>
              </w:rPr>
              <w:t>/(%)</w:t>
            </w:r>
          </w:p>
        </w:tc>
      </w:tr>
      <w:tr w:rsidR="00000000">
        <w:trPr>
          <w:trHeight w:val="465"/>
        </w:trPr>
        <w:tc>
          <w:tcPr>
            <w:tcW w:w="1022" w:type="dxa"/>
            <w:vMerge w:val="restart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板材和</w:t>
            </w:r>
          </w:p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带材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冷加工</w:t>
            </w:r>
          </w:p>
        </w:tc>
        <w:tc>
          <w:tcPr>
            <w:tcW w:w="2305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0.13≤</w:t>
            </w:r>
            <w:r>
              <w:rPr>
                <w:i/>
                <w:kern w:val="0"/>
                <w:sz w:val="18"/>
                <w:szCs w:val="18"/>
              </w:rPr>
              <w:t>d</w:t>
            </w:r>
            <w:r>
              <w:rPr>
                <w:kern w:val="0"/>
                <w:sz w:val="18"/>
                <w:szCs w:val="18"/>
              </w:rPr>
              <w:t>≤0.26</w:t>
            </w:r>
          </w:p>
        </w:tc>
        <w:tc>
          <w:tcPr>
            <w:tcW w:w="1183" w:type="dxa"/>
            <w:vMerge w:val="restart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≥520</w:t>
            </w:r>
          </w:p>
        </w:tc>
        <w:tc>
          <w:tcPr>
            <w:tcW w:w="1418" w:type="dxa"/>
            <w:vMerge w:val="restart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≥345</w:t>
            </w:r>
          </w:p>
        </w:tc>
        <w:tc>
          <w:tcPr>
            <w:tcW w:w="1417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——</w:t>
            </w:r>
          </w:p>
        </w:tc>
      </w:tr>
      <w:tr w:rsidR="00000000">
        <w:trPr>
          <w:trHeight w:val="465"/>
        </w:trPr>
        <w:tc>
          <w:tcPr>
            <w:tcW w:w="1022" w:type="dxa"/>
            <w:vMerge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5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＞</w:t>
            </w:r>
            <w:r>
              <w:rPr>
                <w:kern w:val="0"/>
                <w:sz w:val="18"/>
                <w:szCs w:val="18"/>
              </w:rPr>
              <w:t>0.26</w:t>
            </w:r>
          </w:p>
        </w:tc>
        <w:tc>
          <w:tcPr>
            <w:tcW w:w="1183" w:type="dxa"/>
            <w:vMerge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≥2</w:t>
            </w:r>
          </w:p>
        </w:tc>
      </w:tr>
    </w:tbl>
    <w:p w:rsidR="00000000" w:rsidRDefault="008E2E4E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修改为：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1155"/>
        <w:gridCol w:w="2305"/>
        <w:gridCol w:w="1183"/>
        <w:gridCol w:w="1413"/>
        <w:gridCol w:w="1414"/>
      </w:tblGrid>
      <w:tr w:rsidR="00000000">
        <w:tc>
          <w:tcPr>
            <w:tcW w:w="1022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形式</w:t>
            </w:r>
          </w:p>
        </w:tc>
        <w:tc>
          <w:tcPr>
            <w:tcW w:w="1155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状态</w:t>
            </w:r>
          </w:p>
        </w:tc>
        <w:tc>
          <w:tcPr>
            <w:tcW w:w="2305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厚度或直径</w:t>
            </w:r>
          </w:p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i/>
                <w:kern w:val="0"/>
                <w:sz w:val="18"/>
                <w:szCs w:val="18"/>
              </w:rPr>
              <w:t>d</w:t>
            </w:r>
            <w:r>
              <w:rPr>
                <w:kern w:val="0"/>
                <w:sz w:val="18"/>
                <w:szCs w:val="18"/>
              </w:rPr>
              <w:t>/mm</w:t>
            </w:r>
          </w:p>
        </w:tc>
        <w:tc>
          <w:tcPr>
            <w:tcW w:w="1183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抗拉强度</w:t>
            </w:r>
          </w:p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i/>
                <w:kern w:val="0"/>
                <w:sz w:val="18"/>
                <w:szCs w:val="18"/>
              </w:rPr>
              <w:t>R</w:t>
            </w:r>
            <w:r>
              <w:rPr>
                <w:kern w:val="0"/>
                <w:sz w:val="18"/>
                <w:szCs w:val="18"/>
                <w:vertAlign w:val="subscript"/>
              </w:rPr>
              <w:t>m</w:t>
            </w:r>
            <w:r>
              <w:rPr>
                <w:kern w:val="0"/>
                <w:sz w:val="18"/>
                <w:szCs w:val="18"/>
              </w:rPr>
              <w:t>/MPa</w:t>
            </w:r>
          </w:p>
        </w:tc>
        <w:tc>
          <w:tcPr>
            <w:tcW w:w="1413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规定非比例</w:t>
            </w:r>
          </w:p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i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延伸强度</w:t>
            </w:r>
          </w:p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i/>
                <w:kern w:val="0"/>
                <w:sz w:val="18"/>
                <w:szCs w:val="18"/>
              </w:rPr>
              <w:t>R</w:t>
            </w:r>
            <w:r>
              <w:rPr>
                <w:kern w:val="0"/>
                <w:sz w:val="18"/>
                <w:szCs w:val="18"/>
                <w:vertAlign w:val="subscript"/>
              </w:rPr>
              <w:t>p0.2</w:t>
            </w:r>
            <w:r>
              <w:rPr>
                <w:kern w:val="0"/>
                <w:sz w:val="18"/>
                <w:szCs w:val="18"/>
              </w:rPr>
              <w:t>/MPa</w:t>
            </w:r>
          </w:p>
        </w:tc>
        <w:tc>
          <w:tcPr>
            <w:tcW w:w="1414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断后伸长率</w:t>
            </w:r>
          </w:p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i/>
                <w:kern w:val="0"/>
                <w:sz w:val="18"/>
                <w:szCs w:val="18"/>
              </w:rPr>
              <w:t>A</w:t>
            </w:r>
            <w:r>
              <w:rPr>
                <w:kern w:val="0"/>
                <w:sz w:val="18"/>
                <w:szCs w:val="18"/>
              </w:rPr>
              <w:t>/(%)</w:t>
            </w:r>
          </w:p>
        </w:tc>
      </w:tr>
      <w:tr w:rsidR="00000000">
        <w:trPr>
          <w:trHeight w:val="690"/>
        </w:trPr>
        <w:tc>
          <w:tcPr>
            <w:tcW w:w="1022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板材和</w:t>
            </w:r>
          </w:p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带材</w:t>
            </w:r>
          </w:p>
        </w:tc>
        <w:tc>
          <w:tcPr>
            <w:tcW w:w="1155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冷加工</w:t>
            </w:r>
          </w:p>
        </w:tc>
        <w:tc>
          <w:tcPr>
            <w:tcW w:w="2305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≥0.13</w:t>
            </w:r>
          </w:p>
        </w:tc>
        <w:tc>
          <w:tcPr>
            <w:tcW w:w="1183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≥520</w:t>
            </w:r>
          </w:p>
        </w:tc>
        <w:tc>
          <w:tcPr>
            <w:tcW w:w="1413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≥345</w:t>
            </w:r>
          </w:p>
        </w:tc>
        <w:tc>
          <w:tcPr>
            <w:tcW w:w="1414" w:type="dxa"/>
            <w:vAlign w:val="center"/>
          </w:tcPr>
          <w:p w:rsidR="00000000" w:rsidRDefault="008E2E4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≥2</w:t>
            </w:r>
          </w:p>
        </w:tc>
      </w:tr>
    </w:tbl>
    <w:p w:rsidR="00000000" w:rsidRDefault="008E2E4E">
      <w:pPr>
        <w:jc w:val="center"/>
      </w:pPr>
    </w:p>
    <w:p w:rsidR="00000000" w:rsidRDefault="008E2E4E">
      <w:pPr>
        <w:widowControl/>
        <w:numPr>
          <w:ilvl w:val="0"/>
          <w:numId w:val="4"/>
        </w:numPr>
        <w:spacing w:line="56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第五章中</w:t>
      </w:r>
    </w:p>
    <w:p w:rsidR="00000000" w:rsidRDefault="008E2E4E">
      <w:pPr>
        <w:widowControl/>
        <w:spacing w:line="56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增加：</w:t>
      </w:r>
    </w:p>
    <w:p w:rsidR="00000000" w:rsidRDefault="008E2E4E">
      <w:pPr>
        <w:widowControl/>
        <w:autoSpaceDE w:val="0"/>
        <w:autoSpaceDN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如果有任何试</w:t>
      </w:r>
      <w:r>
        <w:rPr>
          <w:rFonts w:eastAsia="仿宋_GB2312"/>
          <w:sz w:val="32"/>
          <w:szCs w:val="32"/>
        </w:rPr>
        <w:t>验样品不符合要求并且标距范围内失效，对于每件失效样品可另取出两件试样用同样的方法进行试验。只有这两件试样都符合规定的要求，才认为是合格的。</w:t>
      </w:r>
    </w:p>
    <w:p w:rsidR="00000000" w:rsidRDefault="008E2E4E">
      <w:pPr>
        <w:widowControl/>
        <w:autoSpaceDE w:val="0"/>
        <w:autoSpaceDN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如果试验样品在标距范围外失效，若断后伸长率符合要求则该测试有效；若断后伸长率不符合要求，则应放弃该测试并重新进行试验。</w:t>
      </w:r>
    </w:p>
    <w:p w:rsidR="008E2E4E" w:rsidRDefault="008E2E4E" w:rsidP="00E377BD">
      <w:pPr>
        <w:spacing w:line="560" w:lineRule="exact"/>
        <w:ind w:firstLineChars="200" w:firstLine="640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如果有任何重新试验结果不符合要求，则其所代表的产品应判定为不符合本文件。如需要，供应商可以对材料进行再次热处理，重新按照本文件进行测试。</w:t>
      </w:r>
      <w:r>
        <w:rPr>
          <w:rFonts w:eastAsia="仿宋_GB2312"/>
          <w:sz w:val="32"/>
          <w:szCs w:val="32"/>
        </w:rPr>
        <w:t>”</w:t>
      </w:r>
      <w:bookmarkStart w:id="0" w:name="_GoBack"/>
      <w:bookmarkEnd w:id="0"/>
    </w:p>
    <w:sectPr w:rsidR="008E2E4E">
      <w:footerReference w:type="default" r:id="rId7"/>
      <w:pgSz w:w="11906" w:h="16838"/>
      <w:pgMar w:top="1928" w:right="1531" w:bottom="1701" w:left="1531" w:header="851" w:footer="124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4E" w:rsidRDefault="008E2E4E">
      <w:r>
        <w:separator/>
      </w:r>
    </w:p>
  </w:endnote>
  <w:endnote w:type="continuationSeparator" w:id="0">
    <w:p w:rsidR="008E2E4E" w:rsidRDefault="008E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E113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254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E2E4E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377BD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2.85pt;margin-top:0;width:84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VfvgIAALM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" filled="f" stroked="f">
              <v:textbox style="mso-fit-shape-to-text:t" inset="0,0,0,0">
                <w:txbxContent>
                  <w:p w:rsidR="00000000" w:rsidRDefault="008E2E4E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377BD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4E" w:rsidRDefault="008E2E4E">
      <w:r>
        <w:separator/>
      </w:r>
    </w:p>
  </w:footnote>
  <w:footnote w:type="continuationSeparator" w:id="0">
    <w:p w:rsidR="008E2E4E" w:rsidRDefault="008E2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540CA07"/>
    <w:multiLevelType w:val="singleLevel"/>
    <w:tmpl w:val="8540CA07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  <w:sz w:val="32"/>
        <w:szCs w:val="32"/>
      </w:rPr>
    </w:lvl>
  </w:abstractNum>
  <w:abstractNum w:abstractNumId="1" w15:restartNumberingAfterBreak="0">
    <w:nsid w:val="E7D81D0E"/>
    <w:multiLevelType w:val="singleLevel"/>
    <w:tmpl w:val="E7D81D0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7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 w15:restartNumberingAfterBreak="0">
    <w:nsid w:val="6DBF04F4"/>
    <w:multiLevelType w:val="multilevel"/>
    <w:tmpl w:val="6DBF04F4"/>
    <w:lvl w:ilvl="0">
      <w:start w:val="1"/>
      <w:numFmt w:val="none"/>
      <w:suff w:val="nothing"/>
      <w:lvlText w:val="%1注："/>
      <w:lvlJc w:val="left"/>
      <w:pPr>
        <w:ind w:left="788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202"/>
        </w:tabs>
        <w:ind w:left="788" w:hanging="363"/>
      </w:pPr>
      <w:rPr>
        <w:rFonts w:hint="eastAsia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202"/>
        </w:tabs>
        <w:ind w:left="788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202"/>
        </w:tabs>
        <w:ind w:left="788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202"/>
        </w:tabs>
        <w:ind w:left="788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202"/>
        </w:tabs>
        <w:ind w:left="788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202"/>
        </w:tabs>
        <w:ind w:left="788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202"/>
        </w:tabs>
        <w:ind w:left="788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202"/>
        </w:tabs>
        <w:ind w:left="788" w:hanging="363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D602A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8C7CE5"/>
    <w:rsid w:val="008E2E4E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E1131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20811"/>
    <w:rsid w:val="00D53A64"/>
    <w:rsid w:val="00D61B72"/>
    <w:rsid w:val="00DD4D3D"/>
    <w:rsid w:val="00DD5C43"/>
    <w:rsid w:val="00DF1936"/>
    <w:rsid w:val="00E05A99"/>
    <w:rsid w:val="00E21EF7"/>
    <w:rsid w:val="00E377BD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4EDCF16"/>
    <w:rsid w:val="09DFFE5F"/>
    <w:rsid w:val="0B182CF1"/>
    <w:rsid w:val="0BCF05B9"/>
    <w:rsid w:val="0BEC7EA0"/>
    <w:rsid w:val="0DFF2E91"/>
    <w:rsid w:val="0F9E0E77"/>
    <w:rsid w:val="0FBFA4A7"/>
    <w:rsid w:val="1069F992"/>
    <w:rsid w:val="13F5CCB7"/>
    <w:rsid w:val="13FFE1F5"/>
    <w:rsid w:val="174EE97C"/>
    <w:rsid w:val="1976331D"/>
    <w:rsid w:val="1A06DD94"/>
    <w:rsid w:val="1CD9F083"/>
    <w:rsid w:val="1DF97A3C"/>
    <w:rsid w:val="1F79C15A"/>
    <w:rsid w:val="286D3979"/>
    <w:rsid w:val="2A8D465A"/>
    <w:rsid w:val="2AF76C55"/>
    <w:rsid w:val="2CDFBB8F"/>
    <w:rsid w:val="2FDB2C3C"/>
    <w:rsid w:val="37F7377E"/>
    <w:rsid w:val="39EB7163"/>
    <w:rsid w:val="3A630078"/>
    <w:rsid w:val="3ABF2CE3"/>
    <w:rsid w:val="3ADF748B"/>
    <w:rsid w:val="3B9E5634"/>
    <w:rsid w:val="3BDDD566"/>
    <w:rsid w:val="3BF17F8D"/>
    <w:rsid w:val="3DFAEF09"/>
    <w:rsid w:val="3E15A3E3"/>
    <w:rsid w:val="3EAF9B9C"/>
    <w:rsid w:val="3EFE0C1D"/>
    <w:rsid w:val="3FC7A23A"/>
    <w:rsid w:val="3FE5A5C3"/>
    <w:rsid w:val="3FEF4D86"/>
    <w:rsid w:val="3FFF42C5"/>
    <w:rsid w:val="3FFFD066"/>
    <w:rsid w:val="43E2636A"/>
    <w:rsid w:val="46EF17AB"/>
    <w:rsid w:val="4C1A048F"/>
    <w:rsid w:val="4CEFCA4D"/>
    <w:rsid w:val="55DE4CE5"/>
    <w:rsid w:val="5772979D"/>
    <w:rsid w:val="578DD520"/>
    <w:rsid w:val="57BFF186"/>
    <w:rsid w:val="57CFC640"/>
    <w:rsid w:val="591D3208"/>
    <w:rsid w:val="59DBB5B2"/>
    <w:rsid w:val="5B78C133"/>
    <w:rsid w:val="5B9F0630"/>
    <w:rsid w:val="5BAE7BD2"/>
    <w:rsid w:val="5BFE56B7"/>
    <w:rsid w:val="5D8F40E6"/>
    <w:rsid w:val="5DEDD254"/>
    <w:rsid w:val="5E6684DB"/>
    <w:rsid w:val="5F297A5F"/>
    <w:rsid w:val="5F981978"/>
    <w:rsid w:val="5FAB9DE0"/>
    <w:rsid w:val="5FBBB501"/>
    <w:rsid w:val="5FCC98C8"/>
    <w:rsid w:val="5FE79E9B"/>
    <w:rsid w:val="5FF68EF3"/>
    <w:rsid w:val="5FFB4780"/>
    <w:rsid w:val="62DFE336"/>
    <w:rsid w:val="63E446CD"/>
    <w:rsid w:val="65F75F2E"/>
    <w:rsid w:val="66BDBC0C"/>
    <w:rsid w:val="679F1A80"/>
    <w:rsid w:val="67F8EB6F"/>
    <w:rsid w:val="6BB33785"/>
    <w:rsid w:val="6BEC5FFE"/>
    <w:rsid w:val="6BFD1100"/>
    <w:rsid w:val="6EDD1EB7"/>
    <w:rsid w:val="6EFF072E"/>
    <w:rsid w:val="6F8D699A"/>
    <w:rsid w:val="6FC7E760"/>
    <w:rsid w:val="6FEF9F97"/>
    <w:rsid w:val="6FF92DB5"/>
    <w:rsid w:val="6FFF1B20"/>
    <w:rsid w:val="6FFF40FD"/>
    <w:rsid w:val="71E7963A"/>
    <w:rsid w:val="729B7195"/>
    <w:rsid w:val="731E9D8B"/>
    <w:rsid w:val="7373461E"/>
    <w:rsid w:val="73DBFEA8"/>
    <w:rsid w:val="742E66F2"/>
    <w:rsid w:val="746FDB4A"/>
    <w:rsid w:val="74FF90CE"/>
    <w:rsid w:val="75963A8A"/>
    <w:rsid w:val="764F1775"/>
    <w:rsid w:val="76F3E4F4"/>
    <w:rsid w:val="77556D3F"/>
    <w:rsid w:val="77EF8F14"/>
    <w:rsid w:val="77FE482A"/>
    <w:rsid w:val="77FF90E6"/>
    <w:rsid w:val="77FFE8F2"/>
    <w:rsid w:val="797E7CC4"/>
    <w:rsid w:val="79B6CF9B"/>
    <w:rsid w:val="79FF1E38"/>
    <w:rsid w:val="7A6D128D"/>
    <w:rsid w:val="7A7A7E8C"/>
    <w:rsid w:val="7A9B235C"/>
    <w:rsid w:val="7AE77EF5"/>
    <w:rsid w:val="7B5EE258"/>
    <w:rsid w:val="7B6994C6"/>
    <w:rsid w:val="7BADB4C4"/>
    <w:rsid w:val="7BB7F0A3"/>
    <w:rsid w:val="7BCDB9A9"/>
    <w:rsid w:val="7BD6DAE1"/>
    <w:rsid w:val="7BEBA68F"/>
    <w:rsid w:val="7D7C4B2F"/>
    <w:rsid w:val="7DBFF381"/>
    <w:rsid w:val="7DFD4290"/>
    <w:rsid w:val="7E638158"/>
    <w:rsid w:val="7E76AFBB"/>
    <w:rsid w:val="7EAD6917"/>
    <w:rsid w:val="7EB9F312"/>
    <w:rsid w:val="7ED62E8A"/>
    <w:rsid w:val="7F0F2AE0"/>
    <w:rsid w:val="7F5B6BD1"/>
    <w:rsid w:val="7F7F1D18"/>
    <w:rsid w:val="7FBF4700"/>
    <w:rsid w:val="7FBFFC17"/>
    <w:rsid w:val="7FD3E017"/>
    <w:rsid w:val="7FD714F7"/>
    <w:rsid w:val="7FDB2453"/>
    <w:rsid w:val="7FDF265A"/>
    <w:rsid w:val="7FDFF8C7"/>
    <w:rsid w:val="7FEF7085"/>
    <w:rsid w:val="7FEFB678"/>
    <w:rsid w:val="7FFD05FF"/>
    <w:rsid w:val="7FFE2FD4"/>
    <w:rsid w:val="7FFF35C9"/>
    <w:rsid w:val="7FFFB1B8"/>
    <w:rsid w:val="8C980C0B"/>
    <w:rsid w:val="9E5FF5E8"/>
    <w:rsid w:val="9F1DCA67"/>
    <w:rsid w:val="9F363F60"/>
    <w:rsid w:val="9F7EB7B4"/>
    <w:rsid w:val="9F9F3A1B"/>
    <w:rsid w:val="9FB970C8"/>
    <w:rsid w:val="9FFBAF51"/>
    <w:rsid w:val="A6FF3429"/>
    <w:rsid w:val="AB1F3A23"/>
    <w:rsid w:val="ABDAB27E"/>
    <w:rsid w:val="ABF20D79"/>
    <w:rsid w:val="ABFF77E8"/>
    <w:rsid w:val="B7870943"/>
    <w:rsid w:val="B7FFBCA5"/>
    <w:rsid w:val="BAB95A84"/>
    <w:rsid w:val="BAFF6F51"/>
    <w:rsid w:val="BBB9F369"/>
    <w:rsid w:val="BBDD153A"/>
    <w:rsid w:val="BD166960"/>
    <w:rsid w:val="BDFFBC61"/>
    <w:rsid w:val="BE6F627F"/>
    <w:rsid w:val="BEFB0230"/>
    <w:rsid w:val="BF551105"/>
    <w:rsid w:val="BF67F8B6"/>
    <w:rsid w:val="BF73A83F"/>
    <w:rsid w:val="BFD3D606"/>
    <w:rsid w:val="BFDF5118"/>
    <w:rsid w:val="C5FF7349"/>
    <w:rsid w:val="C8B9F53D"/>
    <w:rsid w:val="CDD7952E"/>
    <w:rsid w:val="CFBFE20F"/>
    <w:rsid w:val="CFFF7D54"/>
    <w:rsid w:val="CFFFB584"/>
    <w:rsid w:val="D1EB94EA"/>
    <w:rsid w:val="D3DCFE1C"/>
    <w:rsid w:val="D69597F6"/>
    <w:rsid w:val="D72D1B34"/>
    <w:rsid w:val="D93F9887"/>
    <w:rsid w:val="DA3EDFD8"/>
    <w:rsid w:val="DB5DB487"/>
    <w:rsid w:val="DD3F802C"/>
    <w:rsid w:val="DDFFFB85"/>
    <w:rsid w:val="DEAF767F"/>
    <w:rsid w:val="DF5FC5D8"/>
    <w:rsid w:val="DF744A54"/>
    <w:rsid w:val="DFAFD1E4"/>
    <w:rsid w:val="DFC46519"/>
    <w:rsid w:val="DFC74F77"/>
    <w:rsid w:val="DFE76AAA"/>
    <w:rsid w:val="DFFAD2FC"/>
    <w:rsid w:val="DFFF5058"/>
    <w:rsid w:val="DFFFE76B"/>
    <w:rsid w:val="E5C3528A"/>
    <w:rsid w:val="E5FC26BE"/>
    <w:rsid w:val="E5FFCDA7"/>
    <w:rsid w:val="E6FBFE2A"/>
    <w:rsid w:val="E73BAF34"/>
    <w:rsid w:val="EBBF09B7"/>
    <w:rsid w:val="EBCEF341"/>
    <w:rsid w:val="EE7B7438"/>
    <w:rsid w:val="EF92AD42"/>
    <w:rsid w:val="EFBBAB9D"/>
    <w:rsid w:val="EFBF3807"/>
    <w:rsid w:val="EFBFFD22"/>
    <w:rsid w:val="EFDD46C7"/>
    <w:rsid w:val="EFDDA2D8"/>
    <w:rsid w:val="EFFECA47"/>
    <w:rsid w:val="EFFF6998"/>
    <w:rsid w:val="F1CEE66B"/>
    <w:rsid w:val="F4F7B3CA"/>
    <w:rsid w:val="F4F7C97B"/>
    <w:rsid w:val="F5FFD82D"/>
    <w:rsid w:val="F7255B95"/>
    <w:rsid w:val="F77FCD8C"/>
    <w:rsid w:val="F7B938F5"/>
    <w:rsid w:val="F7BFF594"/>
    <w:rsid w:val="F7EDD3C7"/>
    <w:rsid w:val="F7F3C623"/>
    <w:rsid w:val="F8BF22A6"/>
    <w:rsid w:val="F9FD7385"/>
    <w:rsid w:val="FAE196F2"/>
    <w:rsid w:val="FAFF34F2"/>
    <w:rsid w:val="FB39C51F"/>
    <w:rsid w:val="FB56DAE2"/>
    <w:rsid w:val="FB6E7AD4"/>
    <w:rsid w:val="FB7731E7"/>
    <w:rsid w:val="FBFE0ABA"/>
    <w:rsid w:val="FBFEB5A9"/>
    <w:rsid w:val="FC3739E5"/>
    <w:rsid w:val="FC9F1606"/>
    <w:rsid w:val="FD1A91CA"/>
    <w:rsid w:val="FD6A4C9B"/>
    <w:rsid w:val="FD7F5F44"/>
    <w:rsid w:val="FDBFD066"/>
    <w:rsid w:val="FDC77B59"/>
    <w:rsid w:val="FDFB6846"/>
    <w:rsid w:val="FDFEF8C2"/>
    <w:rsid w:val="FDFFDE3F"/>
    <w:rsid w:val="FE3E7A25"/>
    <w:rsid w:val="FEAFC81A"/>
    <w:rsid w:val="FEBB2E35"/>
    <w:rsid w:val="FED52EA5"/>
    <w:rsid w:val="FEF5A3FD"/>
    <w:rsid w:val="FEF74AB1"/>
    <w:rsid w:val="FEFD5C2B"/>
    <w:rsid w:val="FEFF4E9E"/>
    <w:rsid w:val="FEFF65FC"/>
    <w:rsid w:val="FEFF79D9"/>
    <w:rsid w:val="FF2F4ABE"/>
    <w:rsid w:val="FF3C9F58"/>
    <w:rsid w:val="FF3DE74B"/>
    <w:rsid w:val="FF4A77F1"/>
    <w:rsid w:val="FF57831F"/>
    <w:rsid w:val="FF6B5CE6"/>
    <w:rsid w:val="FF7E8F37"/>
    <w:rsid w:val="FF8F0715"/>
    <w:rsid w:val="FFB5C555"/>
    <w:rsid w:val="FFBACE75"/>
    <w:rsid w:val="FFCFB226"/>
    <w:rsid w:val="FFD4DE76"/>
    <w:rsid w:val="FFDFF673"/>
    <w:rsid w:val="FFF334FB"/>
    <w:rsid w:val="FFF7B1F0"/>
    <w:rsid w:val="FFF7FDB1"/>
    <w:rsid w:val="FFFC8026"/>
    <w:rsid w:val="FFFFB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47C68D-36A4-4142-A73F-F43C0255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paragraph" w:customStyle="1" w:styleId="a8">
    <w:name w:val="注："/>
    <w:next w:val="a"/>
    <w:qFormat/>
    <w:pPr>
      <w:widowControl w:val="0"/>
      <w:numPr>
        <w:numId w:val="1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9">
    <w:name w:val="一级条标题"/>
    <w:next w:val="aa"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a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790</Characters>
  <Application>Microsoft Office Word</Application>
  <DocSecurity>0</DocSecurity>
  <Lines>6</Lines>
  <Paragraphs>1</Paragraphs>
  <ScaleCrop>false</ScaleCrop>
  <Company>Xtzj.Com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2023-11-23T16:38:00Z</cp:lastPrinted>
  <dcterms:created xsi:type="dcterms:W3CDTF">2023-11-24T02:35:00Z</dcterms:created>
  <dcterms:modified xsi:type="dcterms:W3CDTF">2023-11-24T02:35:00Z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6E67B052A1F386CB7E085F656DA3D0B2</vt:lpwstr>
  </property>
</Properties>
</file>