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BB69E5" w14:textId="77777777" w:rsidR="00FC20AB" w:rsidRDefault="00FC20AB">
      <w:pPr>
        <w:rPr>
          <w:rFonts w:ascii="宋体" w:hAnsi="宋体"/>
          <w:b/>
          <w:sz w:val="24"/>
          <w:szCs w:val="24"/>
        </w:rPr>
      </w:pPr>
    </w:p>
    <w:p w14:paraId="70DA4DEE" w14:textId="77777777" w:rsidR="00FC20AB" w:rsidRDefault="00231218">
      <w:pPr>
        <w:rPr>
          <w:rFonts w:ascii="宋体" w:hAnsi="宋体"/>
          <w:b/>
          <w:sz w:val="24"/>
          <w:szCs w:val="24"/>
        </w:rPr>
      </w:pPr>
      <w:r>
        <w:rPr>
          <w:rFonts w:ascii="宋体" w:hAnsi="宋体" w:hint="eastAsia"/>
          <w:b/>
          <w:sz w:val="24"/>
          <w:szCs w:val="24"/>
        </w:rPr>
        <w:t>附件3</w:t>
      </w:r>
      <w:r>
        <w:rPr>
          <w:rFonts w:ascii="宋体" w:hAnsi="宋体"/>
          <w:b/>
          <w:sz w:val="24"/>
          <w:szCs w:val="24"/>
        </w:rPr>
        <w:t xml:space="preserve"> </w:t>
      </w:r>
      <w:r>
        <w:rPr>
          <w:rFonts w:ascii="宋体" w:hAnsi="宋体" w:hint="eastAsia"/>
          <w:b/>
          <w:sz w:val="24"/>
          <w:szCs w:val="24"/>
        </w:rPr>
        <w:t>5</w:t>
      </w:r>
      <w:r>
        <w:rPr>
          <w:rFonts w:ascii="宋体" w:hAnsi="宋体"/>
          <w:b/>
          <w:sz w:val="24"/>
          <w:szCs w:val="24"/>
        </w:rPr>
        <w:t>102</w:t>
      </w:r>
      <w:r>
        <w:rPr>
          <w:rFonts w:ascii="宋体" w:hAnsi="宋体" w:hint="eastAsia"/>
          <w:b/>
          <w:sz w:val="24"/>
          <w:szCs w:val="24"/>
        </w:rPr>
        <w:t xml:space="preserve"> </w:t>
      </w:r>
      <w:r>
        <w:rPr>
          <w:rFonts w:ascii="宋体" w:hAnsi="宋体"/>
          <w:b/>
          <w:sz w:val="24"/>
          <w:szCs w:val="24"/>
        </w:rPr>
        <w:t xml:space="preserve"> </w:t>
      </w:r>
      <w:r>
        <w:rPr>
          <w:rFonts w:ascii="宋体" w:hAnsi="宋体" w:hint="eastAsia"/>
          <w:b/>
          <w:sz w:val="24"/>
          <w:szCs w:val="24"/>
        </w:rPr>
        <w:t>玻璃安瓿通则公示稿</w:t>
      </w:r>
    </w:p>
    <w:p w14:paraId="01EC9834" w14:textId="77777777" w:rsidR="00FC20AB" w:rsidRDefault="00231218">
      <w:pPr>
        <w:jc w:val="center"/>
        <w:rPr>
          <w:rFonts w:ascii="宋体" w:hAnsi="宋体"/>
          <w:b/>
          <w:sz w:val="24"/>
          <w:szCs w:val="24"/>
        </w:rPr>
      </w:pPr>
      <w:r>
        <w:rPr>
          <w:rFonts w:ascii="宋体" w:hAnsi="宋体" w:hint="eastAsia"/>
          <w:b/>
          <w:sz w:val="24"/>
          <w:szCs w:val="24"/>
        </w:rPr>
        <w:t>5</w:t>
      </w:r>
      <w:r>
        <w:rPr>
          <w:rFonts w:ascii="宋体" w:hAnsi="宋体"/>
          <w:b/>
          <w:sz w:val="24"/>
          <w:szCs w:val="24"/>
        </w:rPr>
        <w:t>102</w:t>
      </w:r>
      <w:r>
        <w:rPr>
          <w:rFonts w:ascii="宋体" w:hAnsi="宋体" w:hint="eastAsia"/>
          <w:b/>
          <w:sz w:val="24"/>
          <w:szCs w:val="24"/>
        </w:rPr>
        <w:t xml:space="preserve"> </w:t>
      </w:r>
      <w:r>
        <w:rPr>
          <w:rFonts w:ascii="宋体" w:hAnsi="宋体"/>
          <w:b/>
          <w:sz w:val="24"/>
          <w:szCs w:val="24"/>
        </w:rPr>
        <w:t xml:space="preserve"> </w:t>
      </w:r>
      <w:r>
        <w:rPr>
          <w:rFonts w:ascii="宋体" w:hAnsi="宋体" w:hint="eastAsia"/>
          <w:b/>
          <w:sz w:val="24"/>
          <w:szCs w:val="24"/>
        </w:rPr>
        <w:t>玻璃安瓿通则</w:t>
      </w:r>
    </w:p>
    <w:p w14:paraId="6C97B65D" w14:textId="77777777" w:rsidR="00FC20AB" w:rsidRDefault="00FC20AB">
      <w:pPr>
        <w:spacing w:line="360" w:lineRule="auto"/>
        <w:rPr>
          <w:rFonts w:ascii="宋体" w:hAnsi="宋体"/>
          <w:b/>
          <w:bCs/>
        </w:rPr>
      </w:pPr>
    </w:p>
    <w:p w14:paraId="133C05D3" w14:textId="77777777" w:rsidR="00FC20AB" w:rsidRDefault="00231218">
      <w:pPr>
        <w:spacing w:line="360" w:lineRule="auto"/>
        <w:rPr>
          <w:rFonts w:ascii="宋体" w:hAnsi="宋体"/>
          <w:b/>
          <w:bCs/>
        </w:rPr>
      </w:pPr>
      <w:r>
        <w:rPr>
          <w:rFonts w:ascii="宋体" w:hAnsi="宋体" w:hint="eastAsia"/>
          <w:b/>
          <w:bCs/>
        </w:rPr>
        <w:t>1 适用范围</w:t>
      </w:r>
    </w:p>
    <w:p w14:paraId="00B839C3" w14:textId="77777777" w:rsidR="00FC20AB" w:rsidRDefault="00231218">
      <w:pPr>
        <w:spacing w:line="360" w:lineRule="auto"/>
        <w:ind w:firstLineChars="200" w:firstLine="420"/>
        <w:rPr>
          <w:rFonts w:ascii="宋体" w:hAnsi="宋体" w:cs="仿宋"/>
          <w:b/>
          <w:szCs w:val="21"/>
        </w:rPr>
      </w:pPr>
      <w:r>
        <w:rPr>
          <w:rFonts w:ascii="宋体" w:hAnsi="宋体" w:hint="eastAsia"/>
          <w:bCs/>
        </w:rPr>
        <w:t>本通则规定了玻璃安瓿的分类和要求。</w:t>
      </w:r>
    </w:p>
    <w:p w14:paraId="368C939B" w14:textId="77777777" w:rsidR="00FC20AB" w:rsidRDefault="00231218">
      <w:pPr>
        <w:spacing w:line="360" w:lineRule="auto"/>
        <w:ind w:firstLineChars="200" w:firstLine="420"/>
        <w:rPr>
          <w:rFonts w:ascii="宋体" w:hAnsi="宋体"/>
          <w:bCs/>
        </w:rPr>
      </w:pPr>
      <w:r>
        <w:rPr>
          <w:rFonts w:ascii="宋体" w:hAnsi="宋体" w:hint="eastAsia"/>
          <w:bCs/>
        </w:rPr>
        <w:t>本通则适用于盛装注射液的玻璃安瓿。</w:t>
      </w:r>
    </w:p>
    <w:p w14:paraId="4A0769C4" w14:textId="77777777" w:rsidR="00FC20AB" w:rsidRDefault="00231218">
      <w:pPr>
        <w:spacing w:line="360" w:lineRule="auto"/>
        <w:rPr>
          <w:rFonts w:ascii="宋体" w:hAnsi="宋体"/>
          <w:b/>
        </w:rPr>
      </w:pPr>
      <w:r>
        <w:rPr>
          <w:rFonts w:ascii="宋体" w:hAnsi="宋体" w:hint="eastAsia"/>
          <w:b/>
        </w:rPr>
        <w:t>2 规范性引用文件</w:t>
      </w:r>
    </w:p>
    <w:p w14:paraId="19715BF2" w14:textId="77777777" w:rsidR="00FC20AB" w:rsidRDefault="00231218">
      <w:pPr>
        <w:spacing w:line="360" w:lineRule="auto"/>
        <w:ind w:firstLineChars="200" w:firstLine="420"/>
        <w:rPr>
          <w:rFonts w:ascii="宋体" w:hAnsi="宋体"/>
          <w:bCs/>
          <w:color w:val="000000"/>
          <w:szCs w:val="21"/>
        </w:rPr>
      </w:pPr>
      <w:r>
        <w:rPr>
          <w:rFonts w:ascii="宋体" w:hAnsi="宋体" w:hint="eastAsia"/>
          <w:bCs/>
          <w:color w:val="000000"/>
          <w:szCs w:val="21"/>
        </w:rPr>
        <w:t>下列文件中的内容通过文中的规范性引用而构成本通则必不可少的条款。其最新版本（包括增补本、勘误表等形式）适用于本通则。</w:t>
      </w:r>
    </w:p>
    <w:p w14:paraId="75AC43EE" w14:textId="4FC85276" w:rsidR="0080248F" w:rsidRDefault="0080248F" w:rsidP="0080248F">
      <w:pPr>
        <w:spacing w:line="360" w:lineRule="auto"/>
        <w:ind w:firstLineChars="200" w:firstLine="420"/>
        <w:rPr>
          <w:rFonts w:ascii="宋体" w:hAnsi="宋体"/>
          <w:szCs w:val="22"/>
        </w:rPr>
      </w:pPr>
      <w:bookmarkStart w:id="0" w:name="_Hlk102652552"/>
      <w:r>
        <w:rPr>
          <w:rFonts w:ascii="宋体" w:hAnsi="宋体" w:hint="eastAsia"/>
          <w:szCs w:val="22"/>
        </w:rPr>
        <w:t xml:space="preserve">通则 </w:t>
      </w:r>
      <w:r>
        <w:rPr>
          <w:rFonts w:ascii="宋体" w:hAnsi="宋体"/>
          <w:szCs w:val="22"/>
        </w:rPr>
        <w:t xml:space="preserve">5100  </w:t>
      </w:r>
      <w:r>
        <w:rPr>
          <w:rFonts w:ascii="宋体" w:hAnsi="宋体" w:hint="eastAsia"/>
          <w:szCs w:val="22"/>
        </w:rPr>
        <w:t>药品包装用玻璃容器通则</w:t>
      </w:r>
      <w:r>
        <w:rPr>
          <w:rFonts w:hint="eastAsia"/>
        </w:rPr>
        <w:t>（已</w:t>
      </w:r>
      <w:r>
        <w:t>公示）</w:t>
      </w:r>
    </w:p>
    <w:p w14:paraId="2CE1214A" w14:textId="67D069A6" w:rsidR="00FC20AB" w:rsidRDefault="00231218">
      <w:pPr>
        <w:spacing w:line="360" w:lineRule="auto"/>
        <w:ind w:firstLineChars="200" w:firstLine="420"/>
        <w:rPr>
          <w:rFonts w:ascii="宋体" w:hAnsi="宋体"/>
        </w:rPr>
      </w:pPr>
      <w:r>
        <w:rPr>
          <w:rFonts w:ascii="宋体" w:hAnsi="宋体" w:hint="eastAsia"/>
        </w:rPr>
        <w:t xml:space="preserve">通则 </w:t>
      </w:r>
      <w:r>
        <w:rPr>
          <w:rFonts w:ascii="宋体" w:hAnsi="宋体"/>
        </w:rPr>
        <w:t>4003</w:t>
      </w:r>
      <w:r>
        <w:rPr>
          <w:rFonts w:ascii="宋体" w:hAnsi="宋体" w:hint="eastAsia"/>
        </w:rPr>
        <w:t xml:space="preserve">  玻璃容器内应力测定法 </w:t>
      </w:r>
      <w:r w:rsidR="0080248F">
        <w:rPr>
          <w:rFonts w:hint="eastAsia"/>
        </w:rPr>
        <w:t>（已</w:t>
      </w:r>
      <w:r w:rsidR="0080248F">
        <w:t>公示）</w:t>
      </w:r>
    </w:p>
    <w:p w14:paraId="53C6ED92" w14:textId="6277D06D" w:rsidR="00FC20AB" w:rsidRDefault="00231218">
      <w:pPr>
        <w:spacing w:line="360" w:lineRule="auto"/>
        <w:ind w:firstLineChars="200" w:firstLine="420"/>
        <w:rPr>
          <w:rFonts w:ascii="宋体" w:hAnsi="宋体"/>
        </w:rPr>
      </w:pPr>
      <w:r>
        <w:rPr>
          <w:rFonts w:ascii="宋体" w:hAnsi="宋体" w:hint="eastAsia"/>
        </w:rPr>
        <w:t xml:space="preserve">通则 </w:t>
      </w:r>
      <w:r>
        <w:rPr>
          <w:rFonts w:ascii="宋体" w:hAnsi="宋体"/>
        </w:rPr>
        <w:t>4018</w:t>
      </w:r>
      <w:r>
        <w:rPr>
          <w:rFonts w:ascii="宋体" w:hAnsi="宋体" w:hint="eastAsia"/>
        </w:rPr>
        <w:t xml:space="preserve">  玻璃安瓿折断力测定法</w:t>
      </w:r>
      <w:r w:rsidR="0080248F">
        <w:rPr>
          <w:rFonts w:hint="eastAsia"/>
        </w:rPr>
        <w:t>（已</w:t>
      </w:r>
      <w:r w:rsidR="0080248F">
        <w:t>公示）</w:t>
      </w:r>
    </w:p>
    <w:p w14:paraId="1800F459" w14:textId="117CB7E2" w:rsidR="00FC20AB" w:rsidRDefault="00231218">
      <w:pPr>
        <w:spacing w:line="360" w:lineRule="auto"/>
        <w:ind w:firstLineChars="200" w:firstLine="420"/>
        <w:rPr>
          <w:rFonts w:ascii="宋体" w:hAnsi="宋体" w:cs="仿宋" w:hint="eastAsia"/>
          <w:szCs w:val="21"/>
        </w:rPr>
      </w:pPr>
      <w:r>
        <w:rPr>
          <w:rFonts w:ascii="宋体" w:hAnsi="宋体" w:cs="仿宋" w:hint="eastAsia"/>
          <w:szCs w:val="21"/>
        </w:rPr>
        <w:t>指导原则9</w:t>
      </w:r>
      <w:r>
        <w:rPr>
          <w:rFonts w:ascii="宋体" w:hAnsi="宋体" w:cs="仿宋"/>
          <w:szCs w:val="21"/>
        </w:rPr>
        <w:t xml:space="preserve">652  </w:t>
      </w:r>
      <w:r>
        <w:rPr>
          <w:rFonts w:ascii="宋体" w:hAnsi="宋体" w:cs="仿宋" w:hint="eastAsia"/>
          <w:szCs w:val="21"/>
        </w:rPr>
        <w:t>药包材检验规则指导原则</w:t>
      </w:r>
      <w:r w:rsidR="0080248F">
        <w:rPr>
          <w:rFonts w:ascii="宋体" w:hAnsi="宋体" w:cs="仿宋" w:hint="eastAsia"/>
          <w:szCs w:val="21"/>
        </w:rPr>
        <w:t>（已</w:t>
      </w:r>
      <w:r w:rsidR="0080248F">
        <w:rPr>
          <w:rFonts w:ascii="宋体" w:hAnsi="宋体" w:cs="仿宋"/>
          <w:szCs w:val="21"/>
        </w:rPr>
        <w:t>上</w:t>
      </w:r>
      <w:r w:rsidR="0080248F">
        <w:rPr>
          <w:rFonts w:ascii="宋体" w:hAnsi="宋体" w:cs="仿宋" w:hint="eastAsia"/>
          <w:szCs w:val="21"/>
        </w:rPr>
        <w:t>网</w:t>
      </w:r>
      <w:r w:rsidR="0080248F">
        <w:rPr>
          <w:rFonts w:ascii="宋体" w:hAnsi="宋体" w:cs="仿宋"/>
          <w:szCs w:val="21"/>
        </w:rPr>
        <w:t>征求意见）</w:t>
      </w:r>
      <w:bookmarkStart w:id="1" w:name="_GoBack"/>
      <w:bookmarkEnd w:id="1"/>
    </w:p>
    <w:bookmarkEnd w:id="0"/>
    <w:p w14:paraId="77AAC7CE" w14:textId="77777777" w:rsidR="00FC20AB" w:rsidRDefault="00231218">
      <w:pPr>
        <w:spacing w:line="360" w:lineRule="auto"/>
        <w:rPr>
          <w:rFonts w:ascii="宋体" w:hAnsi="宋体"/>
          <w:b/>
        </w:rPr>
      </w:pPr>
      <w:r>
        <w:rPr>
          <w:rFonts w:ascii="宋体" w:hAnsi="宋体" w:hint="eastAsia"/>
          <w:b/>
        </w:rPr>
        <w:t>3 分类</w:t>
      </w:r>
    </w:p>
    <w:p w14:paraId="6DC022FE" w14:textId="77777777" w:rsidR="00FC20AB" w:rsidRDefault="00231218">
      <w:pPr>
        <w:spacing w:line="360" w:lineRule="auto"/>
        <w:ind w:firstLineChars="200" w:firstLine="420"/>
        <w:rPr>
          <w:rFonts w:ascii="宋体" w:hAnsi="宋体"/>
          <w:bCs/>
        </w:rPr>
      </w:pPr>
      <w:r>
        <w:rPr>
          <w:rFonts w:ascii="宋体" w:hAnsi="宋体" w:hint="eastAsia"/>
          <w:bCs/>
        </w:rPr>
        <w:t>主要按玻璃的颜色、易折方式进行分类。</w:t>
      </w:r>
    </w:p>
    <w:p w14:paraId="7F0B5F88" w14:textId="77777777" w:rsidR="00FC20AB" w:rsidRDefault="00231218">
      <w:pPr>
        <w:spacing w:line="360" w:lineRule="auto"/>
        <w:ind w:firstLineChars="200" w:firstLine="420"/>
        <w:rPr>
          <w:rFonts w:ascii="宋体" w:hAnsi="宋体"/>
          <w:bCs/>
        </w:rPr>
      </w:pPr>
      <w:r>
        <w:rPr>
          <w:rFonts w:ascii="宋体" w:hAnsi="宋体" w:hint="eastAsia"/>
          <w:bCs/>
        </w:rPr>
        <w:t>——按玻璃颜色分类  可分为无色玻璃安瓿和棕色玻璃安瓿。</w:t>
      </w:r>
    </w:p>
    <w:p w14:paraId="725CEEF2" w14:textId="77777777" w:rsidR="00FC20AB" w:rsidRDefault="00231218">
      <w:pPr>
        <w:spacing w:line="360" w:lineRule="auto"/>
        <w:ind w:firstLineChars="200" w:firstLine="420"/>
        <w:rPr>
          <w:rFonts w:ascii="宋体" w:hAnsi="宋体"/>
          <w:bCs/>
        </w:rPr>
      </w:pPr>
      <w:r>
        <w:rPr>
          <w:rFonts w:ascii="宋体" w:hAnsi="宋体" w:hint="eastAsia"/>
          <w:bCs/>
        </w:rPr>
        <w:t>——按易折方式分类  可分为点刻痕易折玻璃安瓿和色环易折玻璃安瓿。</w:t>
      </w:r>
    </w:p>
    <w:p w14:paraId="7247B492" w14:textId="77777777" w:rsidR="00FC20AB" w:rsidRDefault="00231218">
      <w:pPr>
        <w:spacing w:line="360" w:lineRule="auto"/>
        <w:rPr>
          <w:rFonts w:ascii="宋体" w:hAnsi="宋体"/>
          <w:b/>
          <w:bCs/>
        </w:rPr>
      </w:pPr>
      <w:r>
        <w:rPr>
          <w:rFonts w:ascii="宋体" w:hAnsi="宋体" w:hint="eastAsia"/>
          <w:b/>
          <w:bCs/>
        </w:rPr>
        <w:t>4 要求</w:t>
      </w:r>
    </w:p>
    <w:p w14:paraId="43E72C37" w14:textId="77777777" w:rsidR="00FC20AB" w:rsidRDefault="00231218">
      <w:pPr>
        <w:spacing w:line="360" w:lineRule="auto"/>
        <w:ind w:leftChars="50" w:left="105" w:firstLineChars="200" w:firstLine="420"/>
        <w:rPr>
          <w:rFonts w:ascii="宋体" w:hAnsi="宋体"/>
          <w:bCs/>
        </w:rPr>
      </w:pPr>
      <w:r>
        <w:rPr>
          <w:rFonts w:ascii="宋体" w:hAnsi="宋体" w:hint="eastAsia"/>
          <w:bCs/>
        </w:rPr>
        <w:t>玻璃安瓿的材质</w:t>
      </w:r>
      <w:proofErr w:type="gramStart"/>
      <w:r>
        <w:rPr>
          <w:rFonts w:ascii="宋体" w:hAnsi="宋体" w:hint="eastAsia"/>
          <w:bCs/>
        </w:rPr>
        <w:t>为硼硅玻璃</w:t>
      </w:r>
      <w:proofErr w:type="gramEnd"/>
      <w:r>
        <w:rPr>
          <w:rFonts w:ascii="宋体" w:hAnsi="宋体" w:hint="eastAsia"/>
          <w:bCs/>
        </w:rPr>
        <w:t>，玻璃安瓿的质量应符合药品包装用玻璃容器通则（通则</w:t>
      </w:r>
      <w:r>
        <w:rPr>
          <w:rFonts w:ascii="宋体" w:hAnsi="宋体"/>
          <w:bCs/>
        </w:rPr>
        <w:t>5100</w:t>
      </w:r>
      <w:r>
        <w:rPr>
          <w:rFonts w:ascii="宋体" w:hAnsi="宋体" w:hint="eastAsia"/>
          <w:bCs/>
        </w:rPr>
        <w:t>）的规定，并符合下列要求</w:t>
      </w:r>
      <w:r>
        <w:rPr>
          <w:rFonts w:ascii="宋体" w:hAnsi="宋体"/>
          <w:bCs/>
        </w:rPr>
        <w:t>。</w:t>
      </w:r>
    </w:p>
    <w:p w14:paraId="16981878" w14:textId="77777777" w:rsidR="00FC20AB" w:rsidRDefault="00231218">
      <w:pPr>
        <w:spacing w:line="360" w:lineRule="auto"/>
        <w:rPr>
          <w:rFonts w:ascii="宋体" w:hAnsi="宋体"/>
          <w:szCs w:val="21"/>
        </w:rPr>
      </w:pPr>
      <w:r>
        <w:rPr>
          <w:rFonts w:ascii="宋体" w:hAnsi="宋体"/>
          <w:b/>
          <w:szCs w:val="21"/>
        </w:rPr>
        <w:t xml:space="preserve">4.1 </w:t>
      </w:r>
      <w:r>
        <w:rPr>
          <w:rFonts w:ascii="宋体" w:hAnsi="宋体"/>
          <w:b/>
          <w:bCs/>
          <w:szCs w:val="21"/>
        </w:rPr>
        <w:t>外观</w:t>
      </w:r>
      <w:r>
        <w:rPr>
          <w:rFonts w:ascii="宋体" w:hAnsi="宋体" w:hint="eastAsia"/>
          <w:b/>
          <w:bCs/>
          <w:szCs w:val="21"/>
        </w:rPr>
        <w:t xml:space="preserve">  </w:t>
      </w:r>
      <w:r>
        <w:rPr>
          <w:rFonts w:ascii="宋体" w:hAnsi="宋体" w:hint="eastAsia"/>
          <w:szCs w:val="21"/>
        </w:rPr>
        <w:t>用于控制玻璃安瓿的外观质量。</w:t>
      </w:r>
      <w:r>
        <w:rPr>
          <w:rFonts w:ascii="宋体" w:hAnsi="宋体" w:hint="eastAsia"/>
          <w:b/>
          <w:bCs/>
          <w:szCs w:val="21"/>
        </w:rPr>
        <w:t xml:space="preserve"> </w:t>
      </w:r>
      <w:r>
        <w:rPr>
          <w:rFonts w:ascii="宋体" w:hAnsi="宋体" w:hint="eastAsia"/>
          <w:szCs w:val="21"/>
        </w:rPr>
        <w:t>在自然光线明亮处，正视目测。外观质量应符合企业标准或质量协议的规定。</w:t>
      </w:r>
    </w:p>
    <w:p w14:paraId="63EF68F1" w14:textId="77777777" w:rsidR="00FC20AB" w:rsidRDefault="00231218">
      <w:pPr>
        <w:spacing w:line="360" w:lineRule="auto"/>
        <w:rPr>
          <w:rFonts w:ascii="宋体" w:hAnsi="宋体"/>
          <w:szCs w:val="21"/>
        </w:rPr>
      </w:pPr>
      <w:r>
        <w:rPr>
          <w:rFonts w:ascii="宋体" w:hAnsi="宋体"/>
          <w:b/>
          <w:szCs w:val="21"/>
        </w:rPr>
        <w:t xml:space="preserve">4.2 </w:t>
      </w:r>
      <w:r>
        <w:rPr>
          <w:rFonts w:ascii="宋体" w:hAnsi="宋体" w:hint="eastAsia"/>
          <w:b/>
          <w:szCs w:val="21"/>
        </w:rPr>
        <w:t>内应力</w:t>
      </w:r>
      <w:r>
        <w:rPr>
          <w:rFonts w:ascii="宋体" w:hAnsi="宋体"/>
          <w:b/>
          <w:szCs w:val="21"/>
        </w:rPr>
        <w:t xml:space="preserve"> </w:t>
      </w:r>
      <w:r>
        <w:rPr>
          <w:rFonts w:ascii="宋体" w:hAnsi="宋体" w:hint="eastAsia"/>
          <w:bCs/>
          <w:szCs w:val="21"/>
        </w:rPr>
        <w:t>用于控制玻璃安瓿退火后残余的内应力，减少内应力对产品机械强度的影响。</w:t>
      </w:r>
      <w:r>
        <w:rPr>
          <w:rFonts w:ascii="宋体" w:hAnsi="宋体"/>
          <w:szCs w:val="21"/>
        </w:rPr>
        <w:t>照</w:t>
      </w:r>
      <w:r>
        <w:rPr>
          <w:rFonts w:ascii="宋体" w:hAnsi="宋体" w:hint="eastAsia"/>
          <w:szCs w:val="21"/>
        </w:rPr>
        <w:t>玻璃容器</w:t>
      </w:r>
      <w:r>
        <w:rPr>
          <w:rFonts w:ascii="宋体" w:hAnsi="宋体"/>
          <w:szCs w:val="21"/>
        </w:rPr>
        <w:t>内应力测定法 （通则4003）测定，退火后的最大永久应力造成的光程差不得过40nm/mm。</w:t>
      </w:r>
    </w:p>
    <w:p w14:paraId="7299CBFA" w14:textId="77777777" w:rsidR="00FC20AB" w:rsidRDefault="00231218">
      <w:pPr>
        <w:spacing w:line="288" w:lineRule="auto"/>
        <w:rPr>
          <w:rFonts w:ascii="宋体" w:hAnsi="宋体"/>
          <w:b/>
          <w:bCs/>
          <w:szCs w:val="21"/>
        </w:rPr>
      </w:pPr>
      <w:r>
        <w:rPr>
          <w:rFonts w:ascii="宋体" w:hAnsi="宋体"/>
          <w:b/>
          <w:szCs w:val="21"/>
        </w:rPr>
        <w:t>4.3折断力</w:t>
      </w:r>
      <w:r>
        <w:rPr>
          <w:rFonts w:ascii="宋体" w:hAnsi="宋体" w:hint="eastAsia"/>
          <w:szCs w:val="21"/>
        </w:rPr>
        <w:t xml:space="preserve"> </w:t>
      </w:r>
      <w:r>
        <w:rPr>
          <w:rFonts w:ascii="宋体" w:hAnsi="宋体" w:hint="eastAsia"/>
          <w:bCs/>
          <w:szCs w:val="21"/>
        </w:rPr>
        <w:t>用于控制玻璃安瓿的易折性能。</w:t>
      </w:r>
      <w:r>
        <w:rPr>
          <w:rFonts w:ascii="宋体" w:hAnsi="宋体"/>
          <w:szCs w:val="21"/>
        </w:rPr>
        <w:t xml:space="preserve"> 照</w:t>
      </w:r>
      <w:r>
        <w:rPr>
          <w:rFonts w:ascii="宋体" w:hAnsi="宋体" w:hint="eastAsia"/>
          <w:szCs w:val="21"/>
        </w:rPr>
        <w:t>玻璃安瓿折断力测定法（通则</w:t>
      </w:r>
      <w:r>
        <w:rPr>
          <w:rFonts w:ascii="宋体" w:hAnsi="宋体"/>
          <w:szCs w:val="21"/>
        </w:rPr>
        <w:t>4018</w:t>
      </w:r>
      <w:r>
        <w:rPr>
          <w:rFonts w:ascii="宋体" w:hAnsi="宋体" w:hint="eastAsia"/>
          <w:szCs w:val="21"/>
        </w:rPr>
        <w:t>）测定</w:t>
      </w:r>
      <w:r>
        <w:rPr>
          <w:rFonts w:ascii="宋体" w:hAnsi="宋体"/>
          <w:szCs w:val="21"/>
        </w:rPr>
        <w:t>，安瓿折断力</w:t>
      </w:r>
      <w:r>
        <w:rPr>
          <w:rFonts w:ascii="宋体" w:hAnsi="宋体" w:hint="eastAsia"/>
          <w:szCs w:val="21"/>
        </w:rPr>
        <w:t>的范围</w:t>
      </w:r>
      <w:r>
        <w:rPr>
          <w:rFonts w:ascii="宋体" w:hAnsi="宋体"/>
          <w:szCs w:val="21"/>
        </w:rPr>
        <w:t>应符合表1规定的值</w:t>
      </w:r>
      <w:r>
        <w:rPr>
          <w:rFonts w:ascii="宋体" w:hAnsi="宋体" w:hint="eastAsia"/>
          <w:szCs w:val="21"/>
        </w:rPr>
        <w:t>。</w:t>
      </w:r>
    </w:p>
    <w:p w14:paraId="11331B47" w14:textId="77777777" w:rsidR="00FC20AB" w:rsidRDefault="00FC20AB">
      <w:pPr>
        <w:spacing w:line="288" w:lineRule="auto"/>
        <w:jc w:val="left"/>
        <w:rPr>
          <w:rFonts w:ascii="宋体" w:hAnsi="宋体"/>
          <w:szCs w:val="21"/>
        </w:rPr>
      </w:pPr>
    </w:p>
    <w:p w14:paraId="70AA242B" w14:textId="77777777" w:rsidR="00FC20AB" w:rsidRDefault="00FC20AB">
      <w:pPr>
        <w:spacing w:line="288" w:lineRule="auto"/>
        <w:jc w:val="left"/>
        <w:rPr>
          <w:rFonts w:ascii="宋体" w:hAnsi="宋体"/>
          <w:szCs w:val="21"/>
        </w:rPr>
      </w:pPr>
    </w:p>
    <w:p w14:paraId="4A3A7A5C" w14:textId="77777777" w:rsidR="00FC20AB" w:rsidRDefault="00FC20AB">
      <w:pPr>
        <w:spacing w:line="288" w:lineRule="auto"/>
        <w:jc w:val="left"/>
        <w:rPr>
          <w:rFonts w:ascii="宋体" w:hAnsi="宋体"/>
          <w:szCs w:val="21"/>
        </w:rPr>
      </w:pPr>
    </w:p>
    <w:p w14:paraId="4074F543" w14:textId="77777777" w:rsidR="00FC20AB" w:rsidRDefault="00FC20AB">
      <w:pPr>
        <w:spacing w:line="288" w:lineRule="auto"/>
        <w:jc w:val="left"/>
        <w:rPr>
          <w:rFonts w:ascii="宋体" w:hAnsi="宋体"/>
          <w:szCs w:val="21"/>
        </w:rPr>
      </w:pPr>
    </w:p>
    <w:p w14:paraId="61F1DD03" w14:textId="77777777" w:rsidR="00FC20AB" w:rsidRDefault="00FC20AB">
      <w:pPr>
        <w:spacing w:line="288" w:lineRule="auto"/>
        <w:jc w:val="left"/>
        <w:rPr>
          <w:rFonts w:ascii="宋体" w:hAnsi="宋体"/>
          <w:szCs w:val="21"/>
        </w:rPr>
      </w:pPr>
    </w:p>
    <w:p w14:paraId="16B8957B" w14:textId="77777777" w:rsidR="00FC20AB" w:rsidRDefault="00231218">
      <w:pPr>
        <w:spacing w:line="288" w:lineRule="auto"/>
        <w:jc w:val="center"/>
        <w:rPr>
          <w:rFonts w:ascii="宋体" w:hAnsi="宋体"/>
          <w:bCs/>
          <w:szCs w:val="21"/>
        </w:rPr>
      </w:pPr>
      <w:r>
        <w:rPr>
          <w:rFonts w:ascii="宋体" w:hAnsi="宋体"/>
          <w:bCs/>
          <w:szCs w:val="21"/>
        </w:rPr>
        <w:t>表1   安瓿折断力</w:t>
      </w:r>
    </w:p>
    <w:tbl>
      <w:tblPr>
        <w:tblW w:w="5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8"/>
        <w:gridCol w:w="1799"/>
        <w:gridCol w:w="1754"/>
      </w:tblGrid>
      <w:tr w:rsidR="00FC20AB" w14:paraId="4E546BCA" w14:textId="77777777">
        <w:trPr>
          <w:cantSplit/>
          <w:jc w:val="center"/>
        </w:trPr>
        <w:tc>
          <w:tcPr>
            <w:tcW w:w="2128" w:type="dxa"/>
            <w:vMerge w:val="restart"/>
            <w:vAlign w:val="center"/>
          </w:tcPr>
          <w:p w14:paraId="424B5DE9" w14:textId="77777777" w:rsidR="00FC20AB" w:rsidRDefault="00231218">
            <w:pPr>
              <w:spacing w:line="288" w:lineRule="auto"/>
              <w:jc w:val="center"/>
              <w:rPr>
                <w:rFonts w:ascii="宋体" w:hAnsi="宋体"/>
                <w:position w:val="4"/>
                <w:szCs w:val="21"/>
              </w:rPr>
            </w:pPr>
            <w:r>
              <w:rPr>
                <w:rFonts w:ascii="宋体" w:hAnsi="宋体"/>
                <w:position w:val="4"/>
                <w:szCs w:val="21"/>
              </w:rPr>
              <w:t>规格</w:t>
            </w:r>
          </w:p>
          <w:p w14:paraId="605E7F65" w14:textId="77777777" w:rsidR="00FC20AB" w:rsidRDefault="00231218">
            <w:pPr>
              <w:spacing w:line="288" w:lineRule="auto"/>
              <w:jc w:val="center"/>
              <w:rPr>
                <w:rFonts w:ascii="宋体" w:hAnsi="宋体"/>
                <w:position w:val="4"/>
                <w:szCs w:val="21"/>
              </w:rPr>
            </w:pPr>
            <w:r>
              <w:rPr>
                <w:rFonts w:ascii="宋体" w:hAnsi="宋体"/>
                <w:szCs w:val="21"/>
              </w:rPr>
              <w:t>（ml）</w:t>
            </w:r>
          </w:p>
        </w:tc>
        <w:tc>
          <w:tcPr>
            <w:tcW w:w="3553" w:type="dxa"/>
            <w:gridSpan w:val="2"/>
            <w:vAlign w:val="center"/>
          </w:tcPr>
          <w:p w14:paraId="244A3809" w14:textId="77777777" w:rsidR="00FC20AB" w:rsidRDefault="00231218">
            <w:pPr>
              <w:spacing w:line="288" w:lineRule="auto"/>
              <w:jc w:val="center"/>
              <w:rPr>
                <w:rFonts w:ascii="宋体" w:hAnsi="宋体"/>
                <w:position w:val="4"/>
                <w:szCs w:val="21"/>
              </w:rPr>
            </w:pPr>
            <w:r>
              <w:rPr>
                <w:rFonts w:ascii="宋体" w:hAnsi="宋体"/>
                <w:position w:val="4"/>
                <w:szCs w:val="21"/>
              </w:rPr>
              <w:t>折断力（N）</w:t>
            </w:r>
          </w:p>
        </w:tc>
      </w:tr>
      <w:tr w:rsidR="00FC20AB" w14:paraId="56327C51" w14:textId="77777777">
        <w:trPr>
          <w:cantSplit/>
          <w:jc w:val="center"/>
        </w:trPr>
        <w:tc>
          <w:tcPr>
            <w:tcW w:w="2128" w:type="dxa"/>
            <w:vMerge/>
            <w:vAlign w:val="center"/>
          </w:tcPr>
          <w:p w14:paraId="17B7F8E8" w14:textId="77777777" w:rsidR="00FC20AB" w:rsidRDefault="00FC20AB">
            <w:pPr>
              <w:jc w:val="left"/>
              <w:rPr>
                <w:rFonts w:ascii="宋体" w:hAnsi="宋体"/>
                <w:position w:val="4"/>
                <w:szCs w:val="21"/>
              </w:rPr>
            </w:pPr>
          </w:p>
        </w:tc>
        <w:tc>
          <w:tcPr>
            <w:tcW w:w="1799" w:type="dxa"/>
            <w:vAlign w:val="center"/>
          </w:tcPr>
          <w:p w14:paraId="07D48B91" w14:textId="77777777" w:rsidR="00FC20AB" w:rsidRDefault="00231218">
            <w:pPr>
              <w:spacing w:line="288" w:lineRule="auto"/>
              <w:jc w:val="center"/>
              <w:rPr>
                <w:rFonts w:ascii="宋体" w:hAnsi="宋体"/>
                <w:position w:val="4"/>
                <w:szCs w:val="21"/>
              </w:rPr>
            </w:pPr>
            <w:r>
              <w:rPr>
                <w:rFonts w:ascii="宋体" w:hAnsi="宋体"/>
                <w:position w:val="4"/>
                <w:szCs w:val="21"/>
              </w:rPr>
              <w:t>最小值</w:t>
            </w:r>
          </w:p>
        </w:tc>
        <w:tc>
          <w:tcPr>
            <w:tcW w:w="1754" w:type="dxa"/>
            <w:vAlign w:val="center"/>
          </w:tcPr>
          <w:p w14:paraId="7FFADE63" w14:textId="77777777" w:rsidR="00FC20AB" w:rsidRDefault="00231218">
            <w:pPr>
              <w:spacing w:line="288" w:lineRule="auto"/>
              <w:jc w:val="center"/>
              <w:rPr>
                <w:rFonts w:ascii="宋体" w:hAnsi="宋体"/>
                <w:position w:val="4"/>
                <w:szCs w:val="21"/>
              </w:rPr>
            </w:pPr>
            <w:r>
              <w:rPr>
                <w:rFonts w:ascii="宋体" w:hAnsi="宋体"/>
                <w:position w:val="4"/>
                <w:szCs w:val="21"/>
              </w:rPr>
              <w:t>最大值</w:t>
            </w:r>
          </w:p>
        </w:tc>
      </w:tr>
      <w:tr w:rsidR="00FC20AB" w14:paraId="02EEF9C0" w14:textId="77777777">
        <w:trPr>
          <w:cantSplit/>
          <w:jc w:val="center"/>
        </w:trPr>
        <w:tc>
          <w:tcPr>
            <w:tcW w:w="2128" w:type="dxa"/>
            <w:vAlign w:val="center"/>
          </w:tcPr>
          <w:p w14:paraId="69D80F1B" w14:textId="77777777" w:rsidR="00FC20AB" w:rsidRDefault="00231218">
            <w:pPr>
              <w:spacing w:line="288" w:lineRule="auto"/>
              <w:jc w:val="center"/>
              <w:rPr>
                <w:rFonts w:ascii="宋体" w:hAnsi="宋体"/>
                <w:position w:val="4"/>
                <w:szCs w:val="21"/>
              </w:rPr>
            </w:pPr>
            <w:r>
              <w:rPr>
                <w:rFonts w:ascii="宋体" w:hAnsi="宋体"/>
                <w:position w:val="4"/>
                <w:szCs w:val="21"/>
              </w:rPr>
              <w:t>1</w:t>
            </w:r>
          </w:p>
        </w:tc>
        <w:tc>
          <w:tcPr>
            <w:tcW w:w="1799" w:type="dxa"/>
            <w:vMerge w:val="restart"/>
            <w:vAlign w:val="center"/>
          </w:tcPr>
          <w:p w14:paraId="20C87D4A" w14:textId="77777777" w:rsidR="00FC20AB" w:rsidRDefault="00231218">
            <w:pPr>
              <w:spacing w:line="288" w:lineRule="auto"/>
              <w:jc w:val="center"/>
              <w:rPr>
                <w:rFonts w:ascii="宋体" w:hAnsi="宋体"/>
                <w:position w:val="4"/>
                <w:szCs w:val="21"/>
              </w:rPr>
            </w:pPr>
            <w:r>
              <w:rPr>
                <w:rFonts w:ascii="宋体" w:hAnsi="宋体" w:hint="eastAsia"/>
                <w:position w:val="4"/>
                <w:szCs w:val="21"/>
              </w:rPr>
              <w:t>2</w:t>
            </w:r>
            <w:r>
              <w:rPr>
                <w:rFonts w:ascii="宋体" w:hAnsi="宋体"/>
                <w:position w:val="4"/>
                <w:szCs w:val="21"/>
              </w:rPr>
              <w:t>5</w:t>
            </w:r>
          </w:p>
        </w:tc>
        <w:tc>
          <w:tcPr>
            <w:tcW w:w="1754" w:type="dxa"/>
            <w:vMerge w:val="restart"/>
            <w:vAlign w:val="center"/>
          </w:tcPr>
          <w:p w14:paraId="467B4ABC" w14:textId="77777777" w:rsidR="00FC20AB" w:rsidRDefault="00231218">
            <w:pPr>
              <w:spacing w:line="288" w:lineRule="auto"/>
              <w:jc w:val="center"/>
              <w:rPr>
                <w:rFonts w:ascii="宋体" w:hAnsi="宋体"/>
                <w:position w:val="4"/>
                <w:szCs w:val="21"/>
              </w:rPr>
            </w:pPr>
            <w:r>
              <w:rPr>
                <w:rFonts w:ascii="宋体" w:hAnsi="宋体"/>
                <w:position w:val="4"/>
                <w:szCs w:val="21"/>
              </w:rPr>
              <w:t>80</w:t>
            </w:r>
          </w:p>
        </w:tc>
      </w:tr>
      <w:tr w:rsidR="00FC20AB" w14:paraId="1BBE1449" w14:textId="77777777">
        <w:trPr>
          <w:cantSplit/>
          <w:jc w:val="center"/>
        </w:trPr>
        <w:tc>
          <w:tcPr>
            <w:tcW w:w="2128" w:type="dxa"/>
            <w:vAlign w:val="center"/>
          </w:tcPr>
          <w:p w14:paraId="24EFD9FF" w14:textId="77777777" w:rsidR="00FC20AB" w:rsidRDefault="00231218">
            <w:pPr>
              <w:spacing w:line="288" w:lineRule="auto"/>
              <w:jc w:val="center"/>
              <w:rPr>
                <w:rFonts w:ascii="宋体" w:hAnsi="宋体"/>
                <w:position w:val="4"/>
                <w:szCs w:val="21"/>
              </w:rPr>
            </w:pPr>
            <w:r>
              <w:rPr>
                <w:rFonts w:ascii="宋体" w:hAnsi="宋体"/>
                <w:position w:val="4"/>
                <w:szCs w:val="21"/>
              </w:rPr>
              <w:t>2</w:t>
            </w:r>
          </w:p>
        </w:tc>
        <w:tc>
          <w:tcPr>
            <w:tcW w:w="1799" w:type="dxa"/>
            <w:vMerge/>
            <w:vAlign w:val="center"/>
          </w:tcPr>
          <w:p w14:paraId="208ADBAA" w14:textId="77777777" w:rsidR="00FC20AB" w:rsidRDefault="00FC20AB">
            <w:pPr>
              <w:jc w:val="left"/>
              <w:rPr>
                <w:rFonts w:ascii="宋体" w:hAnsi="宋体"/>
                <w:position w:val="4"/>
                <w:szCs w:val="21"/>
              </w:rPr>
            </w:pPr>
          </w:p>
        </w:tc>
        <w:tc>
          <w:tcPr>
            <w:tcW w:w="1754" w:type="dxa"/>
            <w:vMerge/>
            <w:vAlign w:val="center"/>
          </w:tcPr>
          <w:p w14:paraId="0A19D2F1" w14:textId="77777777" w:rsidR="00FC20AB" w:rsidRDefault="00FC20AB">
            <w:pPr>
              <w:jc w:val="left"/>
              <w:rPr>
                <w:rFonts w:ascii="宋体" w:hAnsi="宋体"/>
                <w:position w:val="4"/>
                <w:szCs w:val="21"/>
              </w:rPr>
            </w:pPr>
          </w:p>
        </w:tc>
      </w:tr>
      <w:tr w:rsidR="00FC20AB" w14:paraId="7B3C7933" w14:textId="77777777">
        <w:trPr>
          <w:cantSplit/>
          <w:jc w:val="center"/>
        </w:trPr>
        <w:tc>
          <w:tcPr>
            <w:tcW w:w="2128" w:type="dxa"/>
            <w:vAlign w:val="center"/>
          </w:tcPr>
          <w:p w14:paraId="661CF8DA" w14:textId="77777777" w:rsidR="00FC20AB" w:rsidRDefault="00231218">
            <w:pPr>
              <w:spacing w:line="288" w:lineRule="auto"/>
              <w:jc w:val="center"/>
              <w:rPr>
                <w:rFonts w:ascii="宋体" w:hAnsi="宋体"/>
                <w:position w:val="4"/>
                <w:szCs w:val="21"/>
              </w:rPr>
            </w:pPr>
            <w:r>
              <w:rPr>
                <w:rFonts w:ascii="宋体" w:hAnsi="宋体"/>
                <w:position w:val="4"/>
                <w:szCs w:val="21"/>
              </w:rPr>
              <w:t>3</w:t>
            </w:r>
          </w:p>
        </w:tc>
        <w:tc>
          <w:tcPr>
            <w:tcW w:w="1799" w:type="dxa"/>
            <w:vMerge/>
            <w:vAlign w:val="center"/>
          </w:tcPr>
          <w:p w14:paraId="0083B637" w14:textId="77777777" w:rsidR="00FC20AB" w:rsidRDefault="00FC20AB">
            <w:pPr>
              <w:jc w:val="left"/>
              <w:rPr>
                <w:rFonts w:ascii="宋体" w:hAnsi="宋体"/>
                <w:position w:val="4"/>
                <w:szCs w:val="21"/>
              </w:rPr>
            </w:pPr>
          </w:p>
        </w:tc>
        <w:tc>
          <w:tcPr>
            <w:tcW w:w="1754" w:type="dxa"/>
            <w:vMerge/>
            <w:vAlign w:val="center"/>
          </w:tcPr>
          <w:p w14:paraId="57F2087D" w14:textId="77777777" w:rsidR="00FC20AB" w:rsidRDefault="00FC20AB">
            <w:pPr>
              <w:jc w:val="left"/>
              <w:rPr>
                <w:rFonts w:ascii="宋体" w:hAnsi="宋体"/>
                <w:position w:val="4"/>
                <w:szCs w:val="21"/>
              </w:rPr>
            </w:pPr>
          </w:p>
        </w:tc>
      </w:tr>
      <w:tr w:rsidR="00FC20AB" w14:paraId="5C103AEF" w14:textId="77777777">
        <w:trPr>
          <w:cantSplit/>
          <w:jc w:val="center"/>
        </w:trPr>
        <w:tc>
          <w:tcPr>
            <w:tcW w:w="2128" w:type="dxa"/>
            <w:vAlign w:val="center"/>
          </w:tcPr>
          <w:p w14:paraId="5A02A45E" w14:textId="77777777" w:rsidR="00FC20AB" w:rsidRDefault="00231218">
            <w:pPr>
              <w:spacing w:line="288" w:lineRule="auto"/>
              <w:jc w:val="center"/>
              <w:rPr>
                <w:rFonts w:ascii="宋体" w:hAnsi="宋体"/>
                <w:position w:val="4"/>
                <w:szCs w:val="21"/>
              </w:rPr>
            </w:pPr>
            <w:r>
              <w:rPr>
                <w:rFonts w:ascii="宋体" w:hAnsi="宋体"/>
                <w:position w:val="4"/>
                <w:szCs w:val="21"/>
              </w:rPr>
              <w:t>5</w:t>
            </w:r>
          </w:p>
        </w:tc>
        <w:tc>
          <w:tcPr>
            <w:tcW w:w="1799" w:type="dxa"/>
            <w:vMerge/>
            <w:vAlign w:val="center"/>
          </w:tcPr>
          <w:p w14:paraId="32689A51" w14:textId="77777777" w:rsidR="00FC20AB" w:rsidRDefault="00FC20AB">
            <w:pPr>
              <w:jc w:val="left"/>
              <w:rPr>
                <w:rFonts w:ascii="宋体" w:hAnsi="宋体"/>
                <w:position w:val="4"/>
                <w:szCs w:val="21"/>
              </w:rPr>
            </w:pPr>
          </w:p>
        </w:tc>
        <w:tc>
          <w:tcPr>
            <w:tcW w:w="1754" w:type="dxa"/>
            <w:vMerge/>
            <w:vAlign w:val="center"/>
          </w:tcPr>
          <w:p w14:paraId="71F4EC0A" w14:textId="77777777" w:rsidR="00FC20AB" w:rsidRDefault="00FC20AB">
            <w:pPr>
              <w:jc w:val="left"/>
              <w:rPr>
                <w:rFonts w:ascii="宋体" w:hAnsi="宋体"/>
                <w:position w:val="4"/>
                <w:szCs w:val="21"/>
              </w:rPr>
            </w:pPr>
          </w:p>
        </w:tc>
      </w:tr>
      <w:tr w:rsidR="00FC20AB" w14:paraId="7B3039EC" w14:textId="77777777">
        <w:trPr>
          <w:cantSplit/>
          <w:jc w:val="center"/>
        </w:trPr>
        <w:tc>
          <w:tcPr>
            <w:tcW w:w="2128" w:type="dxa"/>
            <w:vAlign w:val="center"/>
          </w:tcPr>
          <w:p w14:paraId="75B1D40A" w14:textId="77777777" w:rsidR="00FC20AB" w:rsidRDefault="00231218">
            <w:pPr>
              <w:spacing w:line="288" w:lineRule="auto"/>
              <w:jc w:val="center"/>
              <w:rPr>
                <w:rFonts w:ascii="宋体" w:hAnsi="宋体"/>
                <w:position w:val="4"/>
                <w:szCs w:val="21"/>
              </w:rPr>
            </w:pPr>
            <w:r>
              <w:rPr>
                <w:rFonts w:ascii="宋体" w:hAnsi="宋体"/>
                <w:position w:val="4"/>
                <w:szCs w:val="21"/>
              </w:rPr>
              <w:t>10</w:t>
            </w:r>
          </w:p>
        </w:tc>
        <w:tc>
          <w:tcPr>
            <w:tcW w:w="1799" w:type="dxa"/>
            <w:vMerge/>
            <w:vAlign w:val="center"/>
          </w:tcPr>
          <w:p w14:paraId="42206F15" w14:textId="77777777" w:rsidR="00FC20AB" w:rsidRDefault="00FC20AB">
            <w:pPr>
              <w:jc w:val="left"/>
              <w:rPr>
                <w:rFonts w:ascii="宋体" w:hAnsi="宋体"/>
                <w:position w:val="4"/>
                <w:szCs w:val="21"/>
              </w:rPr>
            </w:pPr>
          </w:p>
        </w:tc>
        <w:tc>
          <w:tcPr>
            <w:tcW w:w="1754" w:type="dxa"/>
            <w:vAlign w:val="center"/>
          </w:tcPr>
          <w:p w14:paraId="71523E62" w14:textId="77777777" w:rsidR="00FC20AB" w:rsidRDefault="00231218">
            <w:pPr>
              <w:spacing w:line="288" w:lineRule="auto"/>
              <w:jc w:val="center"/>
              <w:rPr>
                <w:rFonts w:ascii="宋体" w:hAnsi="宋体"/>
                <w:position w:val="4"/>
                <w:szCs w:val="21"/>
              </w:rPr>
            </w:pPr>
            <w:r>
              <w:rPr>
                <w:rFonts w:ascii="宋体" w:hAnsi="宋体"/>
                <w:position w:val="4"/>
                <w:szCs w:val="21"/>
              </w:rPr>
              <w:t>90</w:t>
            </w:r>
          </w:p>
        </w:tc>
      </w:tr>
      <w:tr w:rsidR="00FC20AB" w14:paraId="6A836D78" w14:textId="77777777">
        <w:trPr>
          <w:cantSplit/>
          <w:jc w:val="center"/>
        </w:trPr>
        <w:tc>
          <w:tcPr>
            <w:tcW w:w="2128" w:type="dxa"/>
            <w:vAlign w:val="center"/>
          </w:tcPr>
          <w:p w14:paraId="042B0A8C" w14:textId="77777777" w:rsidR="00FC20AB" w:rsidRDefault="00231218">
            <w:pPr>
              <w:spacing w:line="288" w:lineRule="auto"/>
              <w:jc w:val="center"/>
              <w:rPr>
                <w:rFonts w:ascii="宋体" w:hAnsi="宋体"/>
                <w:position w:val="4"/>
                <w:szCs w:val="21"/>
              </w:rPr>
            </w:pPr>
            <w:r>
              <w:rPr>
                <w:rFonts w:ascii="宋体" w:hAnsi="宋体"/>
                <w:position w:val="4"/>
                <w:szCs w:val="21"/>
              </w:rPr>
              <w:t>20</w:t>
            </w:r>
          </w:p>
        </w:tc>
        <w:tc>
          <w:tcPr>
            <w:tcW w:w="1799" w:type="dxa"/>
            <w:vMerge/>
            <w:vAlign w:val="center"/>
          </w:tcPr>
          <w:p w14:paraId="0240616C" w14:textId="77777777" w:rsidR="00FC20AB" w:rsidRDefault="00FC20AB">
            <w:pPr>
              <w:jc w:val="left"/>
              <w:rPr>
                <w:rFonts w:ascii="宋体" w:hAnsi="宋体"/>
                <w:position w:val="4"/>
                <w:szCs w:val="21"/>
              </w:rPr>
            </w:pPr>
          </w:p>
        </w:tc>
        <w:tc>
          <w:tcPr>
            <w:tcW w:w="1754" w:type="dxa"/>
            <w:vMerge w:val="restart"/>
            <w:vAlign w:val="center"/>
          </w:tcPr>
          <w:p w14:paraId="7AE6276D" w14:textId="77777777" w:rsidR="00FC20AB" w:rsidRDefault="00231218">
            <w:pPr>
              <w:spacing w:line="288" w:lineRule="auto"/>
              <w:jc w:val="center"/>
              <w:rPr>
                <w:rFonts w:ascii="宋体" w:hAnsi="宋体"/>
                <w:position w:val="4"/>
                <w:szCs w:val="21"/>
              </w:rPr>
            </w:pPr>
            <w:r>
              <w:rPr>
                <w:rFonts w:ascii="宋体" w:hAnsi="宋体"/>
                <w:position w:val="4"/>
                <w:szCs w:val="21"/>
              </w:rPr>
              <w:t>100</w:t>
            </w:r>
          </w:p>
        </w:tc>
      </w:tr>
      <w:tr w:rsidR="00FC20AB" w14:paraId="7D0E121B" w14:textId="77777777">
        <w:trPr>
          <w:cantSplit/>
          <w:jc w:val="center"/>
        </w:trPr>
        <w:tc>
          <w:tcPr>
            <w:tcW w:w="2128" w:type="dxa"/>
            <w:vAlign w:val="center"/>
          </w:tcPr>
          <w:p w14:paraId="4F0B8283" w14:textId="77777777" w:rsidR="00FC20AB" w:rsidRDefault="00231218">
            <w:pPr>
              <w:spacing w:line="288" w:lineRule="auto"/>
              <w:jc w:val="center"/>
              <w:rPr>
                <w:rFonts w:ascii="宋体" w:hAnsi="宋体"/>
                <w:position w:val="4"/>
                <w:szCs w:val="21"/>
              </w:rPr>
            </w:pPr>
            <w:r>
              <w:rPr>
                <w:rFonts w:ascii="宋体" w:hAnsi="宋体"/>
                <w:position w:val="4"/>
                <w:szCs w:val="21"/>
              </w:rPr>
              <w:t>25</w:t>
            </w:r>
          </w:p>
        </w:tc>
        <w:tc>
          <w:tcPr>
            <w:tcW w:w="1799" w:type="dxa"/>
            <w:vMerge/>
            <w:vAlign w:val="center"/>
          </w:tcPr>
          <w:p w14:paraId="079AC757" w14:textId="77777777" w:rsidR="00FC20AB" w:rsidRDefault="00FC20AB">
            <w:pPr>
              <w:jc w:val="left"/>
              <w:rPr>
                <w:rFonts w:ascii="宋体" w:hAnsi="宋体"/>
                <w:position w:val="4"/>
                <w:szCs w:val="21"/>
              </w:rPr>
            </w:pPr>
          </w:p>
        </w:tc>
        <w:tc>
          <w:tcPr>
            <w:tcW w:w="1754" w:type="dxa"/>
            <w:vMerge/>
            <w:vAlign w:val="center"/>
          </w:tcPr>
          <w:p w14:paraId="57DE0FB9" w14:textId="77777777" w:rsidR="00FC20AB" w:rsidRDefault="00FC20AB">
            <w:pPr>
              <w:jc w:val="left"/>
              <w:rPr>
                <w:rFonts w:ascii="宋体" w:hAnsi="宋体"/>
                <w:position w:val="4"/>
                <w:szCs w:val="21"/>
              </w:rPr>
            </w:pPr>
          </w:p>
        </w:tc>
      </w:tr>
      <w:tr w:rsidR="00FC20AB" w14:paraId="5E23EEF1" w14:textId="77777777">
        <w:trPr>
          <w:cantSplit/>
          <w:trHeight w:val="77"/>
          <w:jc w:val="center"/>
        </w:trPr>
        <w:tc>
          <w:tcPr>
            <w:tcW w:w="2128" w:type="dxa"/>
            <w:vAlign w:val="center"/>
          </w:tcPr>
          <w:p w14:paraId="1FD99736" w14:textId="77777777" w:rsidR="00FC20AB" w:rsidRDefault="00231218">
            <w:pPr>
              <w:spacing w:line="288" w:lineRule="auto"/>
              <w:jc w:val="center"/>
              <w:rPr>
                <w:rFonts w:ascii="宋体" w:hAnsi="宋体"/>
                <w:position w:val="4"/>
                <w:szCs w:val="21"/>
              </w:rPr>
            </w:pPr>
            <w:r>
              <w:rPr>
                <w:rFonts w:ascii="宋体" w:hAnsi="宋体" w:hint="eastAsia"/>
                <w:position w:val="4"/>
                <w:szCs w:val="21"/>
              </w:rPr>
              <w:t>30</w:t>
            </w:r>
          </w:p>
        </w:tc>
        <w:tc>
          <w:tcPr>
            <w:tcW w:w="1799" w:type="dxa"/>
            <w:vMerge/>
            <w:vAlign w:val="center"/>
          </w:tcPr>
          <w:p w14:paraId="798AC0C4" w14:textId="77777777" w:rsidR="00FC20AB" w:rsidRDefault="00FC20AB">
            <w:pPr>
              <w:jc w:val="left"/>
              <w:rPr>
                <w:rFonts w:ascii="宋体" w:hAnsi="宋体"/>
                <w:position w:val="4"/>
                <w:szCs w:val="21"/>
              </w:rPr>
            </w:pPr>
          </w:p>
        </w:tc>
        <w:tc>
          <w:tcPr>
            <w:tcW w:w="1754" w:type="dxa"/>
            <w:vMerge/>
            <w:vAlign w:val="center"/>
          </w:tcPr>
          <w:p w14:paraId="5B120A59" w14:textId="77777777" w:rsidR="00FC20AB" w:rsidRDefault="00FC20AB">
            <w:pPr>
              <w:jc w:val="left"/>
              <w:rPr>
                <w:rFonts w:ascii="宋体" w:hAnsi="宋体"/>
                <w:position w:val="4"/>
                <w:szCs w:val="21"/>
              </w:rPr>
            </w:pPr>
          </w:p>
        </w:tc>
      </w:tr>
    </w:tbl>
    <w:p w14:paraId="239281FF" w14:textId="77777777" w:rsidR="00FC20AB" w:rsidRDefault="00FC20AB">
      <w:pPr>
        <w:pStyle w:val="a3"/>
        <w:suppressLineNumbers/>
        <w:adjustRightInd w:val="0"/>
        <w:snapToGrid w:val="0"/>
        <w:spacing w:line="360" w:lineRule="auto"/>
        <w:rPr>
          <w:rFonts w:ascii="Times New Roman" w:hAnsi="Times New Roman" w:cs="Times New Roman"/>
          <w:sz w:val="24"/>
          <w:szCs w:val="24"/>
        </w:rPr>
      </w:pPr>
    </w:p>
    <w:p w14:paraId="4691E36F" w14:textId="77777777" w:rsidR="00FC20AB" w:rsidRDefault="00FC20AB">
      <w:pPr>
        <w:pStyle w:val="a3"/>
        <w:suppressLineNumbers/>
        <w:adjustRightInd w:val="0"/>
        <w:snapToGrid w:val="0"/>
        <w:spacing w:line="360" w:lineRule="auto"/>
        <w:rPr>
          <w:rFonts w:ascii="Times New Roman" w:hAnsi="Times New Roman" w:cs="Times New Roman"/>
          <w:sz w:val="24"/>
          <w:szCs w:val="24"/>
        </w:rPr>
      </w:pPr>
    </w:p>
    <w:p w14:paraId="65CF0452" w14:textId="77777777" w:rsidR="00FC20AB" w:rsidRDefault="00231218">
      <w:pPr>
        <w:pStyle w:val="a3"/>
        <w:suppressLineNumbers/>
        <w:adjustRightInd w:val="0"/>
        <w:snapToGrid w:val="0"/>
        <w:spacing w:line="360" w:lineRule="auto"/>
        <w:rPr>
          <w:rFonts w:ascii="Times New Roman" w:hAnsi="Times New Roman" w:cs="Times New Roman"/>
          <w:sz w:val="24"/>
          <w:szCs w:val="24"/>
        </w:rPr>
      </w:pPr>
      <w:r>
        <w:rPr>
          <w:noProof/>
          <w:sz w:val="24"/>
        </w:rPr>
        <mc:AlternateContent>
          <mc:Choice Requires="wps">
            <w:drawing>
              <wp:anchor distT="0" distB="0" distL="114300" distR="114300" simplePos="0" relativeHeight="251659264" behindDoc="0" locked="0" layoutInCell="1" allowOverlap="1" wp14:anchorId="5A3F618F" wp14:editId="4C8EA455">
                <wp:simplePos x="0" y="0"/>
                <wp:positionH relativeFrom="column">
                  <wp:posOffset>51435</wp:posOffset>
                </wp:positionH>
                <wp:positionV relativeFrom="paragraph">
                  <wp:posOffset>86995</wp:posOffset>
                </wp:positionV>
                <wp:extent cx="505777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05777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4CA5959E" id="直接连接符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4.05pt,6.85pt" to="402.3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"/>
            </w:pict>
          </mc:Fallback>
        </mc:AlternateContent>
      </w:r>
    </w:p>
    <w:p w14:paraId="51E5A650" w14:textId="77777777" w:rsidR="00FC20AB" w:rsidRDefault="00231218">
      <w:pPr>
        <w:pStyle w:val="a3"/>
        <w:suppressLineNumbers/>
        <w:adjustRightInd w:val="0"/>
        <w:snapToGrid w:val="0"/>
        <w:spacing w:line="440" w:lineRule="exact"/>
        <w:rPr>
          <w:rFonts w:hAnsi="宋体"/>
          <w:sz w:val="21"/>
          <w:szCs w:val="21"/>
        </w:rPr>
      </w:pPr>
      <w:r>
        <w:rPr>
          <w:rFonts w:hAnsi="宋体" w:hint="eastAsia"/>
          <w:sz w:val="21"/>
          <w:szCs w:val="21"/>
        </w:rPr>
        <w:t>起草单位：中国医药包装协会           联系电话：  010-62267215</w:t>
      </w:r>
    </w:p>
    <w:p w14:paraId="581289DA" w14:textId="753610C8" w:rsidR="00FC20AB" w:rsidRPr="0080248F" w:rsidRDefault="00231218" w:rsidP="0080248F">
      <w:pPr>
        <w:pStyle w:val="a3"/>
        <w:suppressLineNumbers/>
        <w:adjustRightInd w:val="0"/>
        <w:snapToGrid w:val="0"/>
        <w:spacing w:line="440" w:lineRule="exact"/>
        <w:rPr>
          <w:rFonts w:hAnsi="宋体" w:hint="eastAsia"/>
          <w:sz w:val="21"/>
          <w:szCs w:val="21"/>
        </w:rPr>
      </w:pPr>
      <w:r>
        <w:rPr>
          <w:rFonts w:hAnsi="宋体" w:hint="eastAsia"/>
          <w:sz w:val="21"/>
          <w:szCs w:val="21"/>
        </w:rPr>
        <w:t>参与单位：中国食品药品检定研究院、浙江省药品化妆品审评中心、山东省医疗器械和药品包装检验研究院、天津市药品检验研究院、国家食品药品监督管理局药品包装材料科研检验中心、山西省检验检测中心、江苏省医疗器械检验所、江苏省药品监督管理局审核查验中心、苏州工业园区汇毓医药包装研究院、山东省药用玻璃股份有限公司、双峰格雷斯海姆医药玻璃（丹阳）有限公司、山东力诺特种玻璃股份有限公司、康宁药用玻璃有限公司、重庆正川医药包装材料股份有限公司、宁波正力药品包装有限公司、成都平原尼普洛药业包装有限公司、肖特药品包装（浙江）有限公司、沧州四星玻璃股份有限公司、肖特</w:t>
      </w:r>
      <w:proofErr w:type="gramStart"/>
      <w:r>
        <w:rPr>
          <w:rFonts w:hAnsi="宋体" w:hint="eastAsia"/>
          <w:sz w:val="21"/>
          <w:szCs w:val="21"/>
        </w:rPr>
        <w:t>玻</w:t>
      </w:r>
      <w:proofErr w:type="gramEnd"/>
      <w:r>
        <w:rPr>
          <w:rFonts w:hAnsi="宋体" w:hint="eastAsia"/>
          <w:sz w:val="21"/>
          <w:szCs w:val="21"/>
        </w:rPr>
        <w:t>管（浙江）有限公司、欧璧医药包装科技（中国）有限公司、湛江圣华玻璃容器有限公司、尼普洛医药包装容器（上海）有限公司、山东威高普瑞医药包装有限公司</w:t>
      </w:r>
    </w:p>
    <w:sectPr w:rsidR="00FC20AB" w:rsidRPr="0080248F" w:rsidSect="00C95605">
      <w:headerReference w:type="default" r:id="rId7"/>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C057EB" w14:textId="77777777" w:rsidR="00435A0E" w:rsidRDefault="00435A0E">
      <w:r>
        <w:separator/>
      </w:r>
    </w:p>
  </w:endnote>
  <w:endnote w:type="continuationSeparator" w:id="0">
    <w:p w14:paraId="15236C6C" w14:textId="77777777" w:rsidR="00435A0E" w:rsidRDefault="00435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40836B" w14:textId="77777777" w:rsidR="00435A0E" w:rsidRDefault="00435A0E">
      <w:r>
        <w:separator/>
      </w:r>
    </w:p>
  </w:footnote>
  <w:footnote w:type="continuationSeparator" w:id="0">
    <w:p w14:paraId="2023D6C4" w14:textId="77777777" w:rsidR="00435A0E" w:rsidRDefault="00435A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4D7C0" w14:textId="59FF59E0" w:rsidR="00FC20AB" w:rsidRDefault="00D01D57">
    <w:pPr>
      <w:pStyle w:val="a5"/>
    </w:pPr>
    <w:r>
      <w:rPr>
        <w:noProof/>
      </w:rPr>
      <mc:AlternateContent>
        <mc:Choice Requires="wps">
          <w:drawing>
            <wp:anchor distT="0" distB="0" distL="114300" distR="114300" simplePos="0" relativeHeight="251657728" behindDoc="1" locked="0" layoutInCell="1" allowOverlap="1" wp14:anchorId="7EC43C0C" wp14:editId="6758F016">
              <wp:simplePos x="0" y="0"/>
              <wp:positionH relativeFrom="margin">
                <wp:align>center</wp:align>
              </wp:positionH>
              <wp:positionV relativeFrom="margin">
                <wp:align>center</wp:align>
              </wp:positionV>
              <wp:extent cx="5405755" cy="2052320"/>
              <wp:effectExtent l="0" t="1390650" r="0" b="1348105"/>
              <wp:wrapNone/>
              <wp:docPr id="2" name="WordArt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2700000">
                        <a:off x="0" y="0"/>
                        <a:ext cx="5405755" cy="20523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215435A" w14:textId="77777777" w:rsidR="00D01D57" w:rsidRDefault="00D01D57" w:rsidP="00D01D57">
                          <w:pPr>
                            <w:pStyle w:val="a7"/>
                            <w:spacing w:before="0" w:beforeAutospacing="0" w:after="0" w:afterAutospacing="0"/>
                            <w:jc w:val="center"/>
                          </w:pPr>
                          <w:r>
                            <w:rPr>
                              <w:rFonts w:ascii="新宋体" w:eastAsia="新宋体" w:hAnsi="新宋体" w:hint="eastAsia"/>
                              <w:color w:val="C0C0C0"/>
                              <w:sz w:val="72"/>
                              <w:szCs w:val="72"/>
                              <w14:textFill>
                                <w14:solidFill>
                                  <w14:srgbClr w14:val="C0C0C0">
                                    <w14:alpha w14:val="62000"/>
                                  </w14:srgbClr>
                                </w14:solidFill>
                              </w14:textFill>
                            </w:rPr>
                            <w:t>公示稿</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EC43C0C" id="_x0000_t202" coordsize="21600,21600" o:spt="202" path="m,l,21600r21600,l21600,xe">
              <v:stroke joinstyle="miter"/>
              <v:path gradientshapeok="t" o:connecttype="rect"/>
            </v:shapetype>
            <v:shape id="WordArt 4" o:spid="_x0000_s1026" type="#_x0000_t202" style="position:absolute;left:0;text-align:left;margin-left:0;margin-top:0;width:425.65pt;height:161.6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" filled="f" stroked="f">
              <v:stroke joinstyle="round"/>
              <o:lock v:ext="edit" aspectratio="t" shapetype="t"/>
              <v:textbox style="mso-fit-shape-to-text:t">
                <w:txbxContent>
                  <w:p w14:paraId="2215435A" w14:textId="77777777" w:rsidR="00D01D57" w:rsidRDefault="00D01D57" w:rsidP="00D01D57">
                    <w:pPr>
                      <w:pStyle w:val="a7"/>
                      <w:spacing w:before="0" w:beforeAutospacing="0" w:after="0" w:afterAutospacing="0"/>
                      <w:jc w:val="center"/>
                    </w:pPr>
                    <w:r>
                      <w:rPr>
                        <w:rFonts w:ascii="新宋体" w:eastAsia="新宋体" w:hAnsi="新宋体" w:hint="eastAsia"/>
                        <w:color w:val="C0C0C0"/>
                        <w:sz w:val="72"/>
                        <w:szCs w:val="72"/>
                        <w14:textFill>
                          <w14:solidFill>
                            <w14:srgbClr w14:val="C0C0C0">
                              <w14:alpha w14:val="62000"/>
                            </w14:srgbClr>
                          </w14:solidFill>
                        </w14:textFill>
                      </w:rPr>
                      <w:t>公示稿</w:t>
                    </w:r>
                  </w:p>
                </w:txbxContent>
              </v:textbox>
              <w10:wrap anchorx="margin" anchory="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2YjNhNGVlYWRhNmNhMGRkNWY1MTZiM2U3N2UzOWQifQ=="/>
  </w:docVars>
  <w:rsids>
    <w:rsidRoot w:val="3CB50D4E"/>
    <w:rsid w:val="00027561"/>
    <w:rsid w:val="00231218"/>
    <w:rsid w:val="00435A0E"/>
    <w:rsid w:val="0080248F"/>
    <w:rsid w:val="00C95605"/>
    <w:rsid w:val="00D01D57"/>
    <w:rsid w:val="00FC20AB"/>
    <w:rsid w:val="17D631C0"/>
    <w:rsid w:val="189270E7"/>
    <w:rsid w:val="3CB50D4E"/>
    <w:rsid w:val="73EB6821"/>
    <w:rsid w:val="7D7478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AAF82A"/>
  <w15:docId w15:val="{FD6E1690-150C-43C9-B8DD-3C5E1BEDB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uiPriority w:val="99"/>
    <w:qFormat/>
    <w:pPr>
      <w:widowControl w:val="0"/>
      <w:jc w:val="both"/>
    </w:pPr>
    <w:rPr>
      <w:rFonts w:ascii="宋体" w:eastAsia="宋体" w:hAnsi="Courier New" w:cs="宋体"/>
    </w:rPr>
  </w:style>
  <w:style w:type="paragraph" w:styleId="a4">
    <w:name w:val="footer"/>
    <w:uiPriority w:val="99"/>
    <w:qFormat/>
    <w:pPr>
      <w:widowControl w:val="0"/>
      <w:tabs>
        <w:tab w:val="center" w:pos="4153"/>
        <w:tab w:val="right" w:pos="8306"/>
      </w:tabs>
      <w:snapToGrid w:val="0"/>
    </w:pPr>
    <w:rPr>
      <w:rFonts w:ascii="Calibri" w:eastAsia="宋体" w:hAnsi="Calibri" w:cs="Times New Roman"/>
      <w:kern w:val="2"/>
      <w:sz w:val="18"/>
      <w:szCs w:val="18"/>
    </w:rPr>
  </w:style>
  <w:style w:type="paragraph" w:styleId="a5">
    <w:name w:val="header"/>
    <w:qFormat/>
    <w:pPr>
      <w:widowControl w:val="0"/>
      <w:pBdr>
        <w:bottom w:val="single" w:sz="6" w:space="1" w:color="auto"/>
      </w:pBdr>
      <w:tabs>
        <w:tab w:val="center" w:pos="4153"/>
        <w:tab w:val="right" w:pos="8306"/>
      </w:tabs>
      <w:snapToGrid w:val="0"/>
      <w:jc w:val="center"/>
    </w:pPr>
    <w:rPr>
      <w:rFonts w:ascii="Calibri" w:eastAsia="宋体" w:hAnsi="Calibri" w:cs="Times New Roman"/>
      <w:kern w:val="2"/>
      <w:sz w:val="18"/>
      <w:szCs w:val="18"/>
    </w:rPr>
  </w:style>
  <w:style w:type="character" w:styleId="a6">
    <w:name w:val="line number"/>
    <w:basedOn w:val="a0"/>
    <w:rsid w:val="00C95605"/>
  </w:style>
  <w:style w:type="paragraph" w:styleId="a7">
    <w:name w:val="Normal (Web)"/>
    <w:basedOn w:val="a"/>
    <w:uiPriority w:val="99"/>
    <w:unhideWhenUsed/>
    <w:rsid w:val="00D01D57"/>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2"/>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941</Characters>
  <Application>Microsoft Office Word</Application>
  <DocSecurity>0</DocSecurity>
  <Lines>7</Lines>
  <Paragraphs>2</Paragraphs>
  <ScaleCrop>false</ScaleCrop>
  <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曦</dc:creator>
  <cp:lastModifiedBy>陈蕾</cp:lastModifiedBy>
  <cp:revision>3</cp:revision>
  <dcterms:created xsi:type="dcterms:W3CDTF">2023-02-06T03:35:00Z</dcterms:created>
  <dcterms:modified xsi:type="dcterms:W3CDTF">2023-02-06T03:36:00Z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ECF0ACB1FB1740CD966C9E4E2C5BEBA8</vt:lpwstr>
  </property>
</Properties>
</file>