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52DFA">
      <w:pPr>
        <w:widowControl/>
        <w:jc w:val="lef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E52DFA">
      <w:pPr>
        <w:widowControl/>
        <w:spacing w:line="600" w:lineRule="exact"/>
        <w:jc w:val="center"/>
        <w:rPr>
          <w:rFonts w:ascii="黑体" w:eastAsia="黑体" w:hAnsi="黑体" w:cs="黑体" w:hint="eastAsia"/>
          <w:sz w:val="32"/>
          <w:szCs w:val="32"/>
        </w:rPr>
      </w:pPr>
    </w:p>
    <w:p w:rsidR="00000000" w:rsidRDefault="00E52DFA">
      <w:pPr>
        <w:spacing w:line="600" w:lineRule="exact"/>
        <w:jc w:val="center"/>
        <w:rPr>
          <w:rFonts w:eastAsia="方正小标宋简体"/>
          <w:sz w:val="44"/>
          <w:szCs w:val="32"/>
        </w:rPr>
      </w:pPr>
      <w:r>
        <w:rPr>
          <w:rFonts w:eastAsia="方正小标宋简体"/>
          <w:sz w:val="44"/>
          <w:szCs w:val="32"/>
        </w:rPr>
        <w:t>不符合规定项目的小知识</w:t>
      </w:r>
    </w:p>
    <w:p w:rsidR="00000000" w:rsidRDefault="00E52DFA">
      <w:pPr>
        <w:spacing w:line="600" w:lineRule="exact"/>
        <w:jc w:val="center"/>
        <w:rPr>
          <w:rFonts w:eastAsia="方正小标宋简体"/>
          <w:sz w:val="44"/>
          <w:szCs w:val="32"/>
        </w:rPr>
      </w:pPr>
    </w:p>
    <w:p w:rsidR="00000000" w:rsidRDefault="00E52DFA">
      <w:pPr>
        <w:overflowPunct w:val="0"/>
        <w:spacing w:line="560" w:lineRule="exact"/>
        <w:ind w:firstLineChars="200" w:firstLine="640"/>
        <w:rPr>
          <w:rFonts w:eastAsia="仿宋_GB2312"/>
          <w:sz w:val="32"/>
          <w:szCs w:val="32"/>
        </w:rPr>
      </w:pPr>
      <w:r>
        <w:rPr>
          <w:rFonts w:eastAsia="仿宋_GB2312"/>
          <w:sz w:val="32"/>
          <w:szCs w:val="32"/>
        </w:rPr>
        <w:t>一、</w:t>
      </w:r>
      <w:r>
        <w:rPr>
          <w:rFonts w:eastAsia="仿宋_GB2312"/>
          <w:sz w:val="32"/>
          <w:szCs w:val="32"/>
        </w:rPr>
        <w:t>可见异物系指存在于注射剂、眼用液体制剂中，在规定的目视条件下能够观察到的不溶性物质，其粒径或长度通常大于</w:t>
      </w:r>
      <w:r>
        <w:rPr>
          <w:rFonts w:eastAsia="仿宋_GB2312"/>
          <w:sz w:val="32"/>
          <w:szCs w:val="32"/>
        </w:rPr>
        <w:t>50</w:t>
      </w:r>
      <w:r>
        <w:rPr>
          <w:rFonts w:eastAsia="仿宋_GB2312"/>
          <w:sz w:val="32"/>
          <w:szCs w:val="32"/>
        </w:rPr>
        <w:t>微米。</w:t>
      </w:r>
    </w:p>
    <w:p w:rsidR="00000000" w:rsidRDefault="00E52DFA">
      <w:pPr>
        <w:overflowPunct w:val="0"/>
        <w:spacing w:line="560" w:lineRule="exact"/>
        <w:ind w:firstLineChars="200" w:firstLine="640"/>
        <w:rPr>
          <w:rFonts w:eastAsia="仿宋_GB2312"/>
          <w:sz w:val="32"/>
          <w:szCs w:val="32"/>
        </w:rPr>
      </w:pPr>
      <w:r>
        <w:rPr>
          <w:rFonts w:eastAsia="仿宋_GB2312"/>
          <w:sz w:val="32"/>
          <w:szCs w:val="32"/>
        </w:rPr>
        <w:t>二、</w:t>
      </w:r>
      <w:r>
        <w:rPr>
          <w:rFonts w:eastAsia="仿宋_GB2312"/>
          <w:sz w:val="32"/>
          <w:szCs w:val="32"/>
        </w:rPr>
        <w:t>含量测定系指用规定的试验方法测定原料及制剂中有效成分的含量，一般可采用化学、仪器或生物测定方法。</w:t>
      </w:r>
    </w:p>
    <w:p w:rsidR="00000000" w:rsidRDefault="00E52DFA">
      <w:pPr>
        <w:overflowPunct w:val="0"/>
        <w:spacing w:line="560" w:lineRule="exact"/>
        <w:ind w:firstLineChars="200" w:firstLine="640"/>
        <w:rPr>
          <w:rFonts w:eastAsia="仿宋_GB2312"/>
          <w:sz w:val="32"/>
          <w:szCs w:val="32"/>
        </w:rPr>
      </w:pPr>
      <w:r>
        <w:rPr>
          <w:rFonts w:eastAsia="仿宋_GB2312"/>
          <w:sz w:val="32"/>
          <w:szCs w:val="32"/>
        </w:rPr>
        <w:t>三</w:t>
      </w:r>
      <w:r>
        <w:rPr>
          <w:rFonts w:eastAsia="仿宋_GB2312"/>
          <w:sz w:val="32"/>
          <w:szCs w:val="32"/>
        </w:rPr>
        <w:t>、微生物限度系对非直接进入人体内环境的药物制剂的微生物控制要求。由</w:t>
      </w:r>
      <w:r>
        <w:rPr>
          <w:rFonts w:eastAsia="仿宋_GB2312"/>
          <w:sz w:val="32"/>
          <w:szCs w:val="32"/>
        </w:rPr>
        <w:t>于此类药物制剂的用药风险略低，可以允许一定数量的微生物存在，但不得检出一些条件致病菌。微生物限度分为计数检查和控制菌检查两部分。</w:t>
      </w:r>
    </w:p>
    <w:p w:rsidR="00000000" w:rsidRDefault="00E52DFA">
      <w:pPr>
        <w:overflowPunct w:val="0"/>
        <w:spacing w:line="560" w:lineRule="exact"/>
        <w:ind w:firstLineChars="200" w:firstLine="640"/>
        <w:rPr>
          <w:rFonts w:eastAsia="仿宋_GB2312"/>
          <w:sz w:val="32"/>
          <w:szCs w:val="32"/>
        </w:rPr>
      </w:pPr>
      <w:r>
        <w:rPr>
          <w:rFonts w:eastAsia="仿宋_GB2312"/>
          <w:sz w:val="32"/>
          <w:szCs w:val="32"/>
        </w:rPr>
        <w:t>四、</w:t>
      </w:r>
      <w:r>
        <w:rPr>
          <w:rFonts w:eastAsia="仿宋_GB2312"/>
          <w:sz w:val="32"/>
          <w:szCs w:val="32"/>
        </w:rPr>
        <w:t>土大黄苷主要考察含大黄的药品中是否存在土大黄的情况。</w:t>
      </w:r>
    </w:p>
    <w:p w:rsidR="00000000" w:rsidRDefault="00E52DFA">
      <w:pPr>
        <w:overflowPunct w:val="0"/>
        <w:spacing w:line="560" w:lineRule="exact"/>
        <w:ind w:firstLineChars="200" w:firstLine="640"/>
        <w:rPr>
          <w:rFonts w:eastAsia="仿宋_GB2312"/>
          <w:sz w:val="32"/>
          <w:szCs w:val="32"/>
        </w:rPr>
      </w:pPr>
      <w:r>
        <w:rPr>
          <w:rFonts w:eastAsia="仿宋_GB2312"/>
          <w:sz w:val="32"/>
          <w:szCs w:val="32"/>
        </w:rPr>
        <w:t>五、</w:t>
      </w:r>
      <w:r>
        <w:rPr>
          <w:rFonts w:eastAsia="仿宋_GB2312"/>
          <w:sz w:val="32"/>
          <w:szCs w:val="32"/>
        </w:rPr>
        <w:t>pH</w:t>
      </w:r>
      <w:r>
        <w:rPr>
          <w:rFonts w:eastAsia="仿宋_GB2312"/>
          <w:sz w:val="32"/>
          <w:szCs w:val="32"/>
        </w:rPr>
        <w:t>值是氢离子浓度指数，作为酸碱程度的衡量指标。</w:t>
      </w:r>
    </w:p>
    <w:p w:rsidR="00000000" w:rsidRDefault="00E52DFA">
      <w:pPr>
        <w:overflowPunct w:val="0"/>
        <w:spacing w:line="560" w:lineRule="exact"/>
        <w:ind w:firstLineChars="200" w:firstLine="640"/>
        <w:rPr>
          <w:rFonts w:eastAsia="仿宋_GB2312"/>
          <w:sz w:val="32"/>
          <w:szCs w:val="32"/>
        </w:rPr>
      </w:pPr>
      <w:r>
        <w:rPr>
          <w:rFonts w:eastAsia="仿宋_GB2312"/>
          <w:sz w:val="32"/>
          <w:szCs w:val="32"/>
        </w:rPr>
        <w:t>六</w:t>
      </w:r>
      <w:r>
        <w:rPr>
          <w:rFonts w:eastAsia="仿宋_GB2312"/>
          <w:sz w:val="32"/>
          <w:szCs w:val="32"/>
        </w:rPr>
        <w:t>、水分系指药品中的含水量。水分偏高通常与工艺、包装不当以及储运环境等因素有关。</w:t>
      </w:r>
    </w:p>
    <w:p w:rsidR="00000000" w:rsidRDefault="00E52DFA">
      <w:pPr>
        <w:overflowPunct w:val="0"/>
        <w:spacing w:line="560" w:lineRule="exact"/>
        <w:ind w:firstLineChars="200" w:firstLine="640"/>
        <w:rPr>
          <w:rFonts w:eastAsia="仿宋_GB2312"/>
          <w:sz w:val="32"/>
          <w:szCs w:val="32"/>
        </w:rPr>
      </w:pPr>
      <w:r>
        <w:rPr>
          <w:rFonts w:eastAsia="仿宋_GB2312"/>
          <w:sz w:val="32"/>
          <w:szCs w:val="32"/>
        </w:rPr>
        <w:t>七</w:t>
      </w:r>
      <w:r>
        <w:rPr>
          <w:rFonts w:eastAsia="仿宋_GB2312"/>
          <w:sz w:val="32"/>
          <w:szCs w:val="32"/>
        </w:rPr>
        <w:t>、总灰分测定的目的是检测中药的纯净程度。</w:t>
      </w:r>
    </w:p>
    <w:p w:rsidR="00E52DFA" w:rsidRDefault="00E52DFA" w:rsidP="00771972">
      <w:pPr>
        <w:rPr>
          <w:rFonts w:eastAsia="方正仿宋简体" w:hint="eastAsia"/>
          <w:sz w:val="28"/>
          <w:szCs w:val="28"/>
        </w:rPr>
      </w:pPr>
      <w:r>
        <w:rPr>
          <w:rFonts w:eastAsia="仿宋_GB2312"/>
          <w:sz w:val="32"/>
          <w:szCs w:val="32"/>
        </w:rPr>
        <w:t>八</w:t>
      </w:r>
      <w:r>
        <w:rPr>
          <w:rFonts w:eastAsia="仿宋_GB2312"/>
          <w:sz w:val="32"/>
          <w:szCs w:val="32"/>
        </w:rPr>
        <w:t>、酸不溶性灰分指标主要用于检测中药中泥土、沙石等杂质的含量。</w:t>
      </w:r>
      <w:bookmarkStart w:id="0" w:name="_GoBack"/>
      <w:bookmarkEnd w:id="0"/>
    </w:p>
    <w:sectPr w:rsidR="00E52DFA">
      <w:footerReference w:type="even" r:id="rId6"/>
      <w:footerReference w:type="default" r:id="rId7"/>
      <w:footerReference w:type="first" r:id="rId8"/>
      <w:pgSz w:w="11906" w:h="16838"/>
      <w:pgMar w:top="1928" w:right="1531" w:bottom="1814" w:left="1531" w:header="851" w:footer="1134"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DFA" w:rsidRDefault="00E52DFA">
      <w:r>
        <w:separator/>
      </w:r>
    </w:p>
  </w:endnote>
  <w:endnote w:type="continuationSeparator" w:id="0">
    <w:p w:rsidR="00E52DFA" w:rsidRDefault="00E5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26235">
    <w:pPr>
      <w:pStyle w:val="a5"/>
      <w:ind w:right="360"/>
    </w:pPr>
    <w:r>
      <w:rPr>
        <w:noProof/>
      </w:rPr>
      <mc:AlternateContent>
        <mc:Choice Requires="wps">
          <w:drawing>
            <wp:anchor distT="0" distB="0" distL="114300" distR="114300" simplePos="0" relativeHeight="251661824" behindDoc="0" locked="0" layoutInCell="1" allowOverlap="1">
              <wp:simplePos x="0" y="0"/>
              <wp:positionH relativeFrom="margin">
                <wp:align>outside</wp:align>
              </wp:positionH>
              <wp:positionV relativeFrom="paragraph">
                <wp:posOffset>0</wp:posOffset>
              </wp:positionV>
              <wp:extent cx="89535" cy="204470"/>
              <wp:effectExtent l="635" t="1270" r="0" b="381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E52DFA">
                          <w:pPr>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771972">
                            <w:rPr>
                              <w:noProof/>
                              <w:sz w:val="28"/>
                              <w:szCs w:val="28"/>
                            </w:rPr>
                            <w:t>2</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44.15pt;margin-top:0;width:7.05pt;height:16.1pt;z-index:25166182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" filled="f" stroked="f">
              <v:textbox style="mso-fit-shape-to-text:t" inset="0,0,0,0">
                <w:txbxContent>
                  <w:p w:rsidR="00000000" w:rsidRDefault="00E52DFA">
                    <w:pPr>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771972">
                      <w:rPr>
                        <w:noProof/>
                        <w:sz w:val="28"/>
                        <w:szCs w:val="28"/>
                      </w:rPr>
                      <w:t>2</w:t>
                    </w:r>
                    <w:r>
                      <w:rPr>
                        <w:rFonts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26235">
    <w:pPr>
      <w:pStyle w:val="a5"/>
      <w:wordWrap w:val="0"/>
      <w:jc w:val="right"/>
    </w:pPr>
    <w:r>
      <w:rPr>
        <w:noProof/>
      </w:rPr>
      <mc:AlternateContent>
        <mc:Choice Requires="wps">
          <w:drawing>
            <wp:anchor distT="0" distB="0" distL="114300" distR="114300" simplePos="0" relativeHeight="251660800" behindDoc="0" locked="0" layoutInCell="1" allowOverlap="1">
              <wp:simplePos x="0" y="0"/>
              <wp:positionH relativeFrom="margin">
                <wp:align>outside</wp:align>
              </wp:positionH>
              <wp:positionV relativeFrom="paragraph">
                <wp:posOffset>0</wp:posOffset>
              </wp:positionV>
              <wp:extent cx="89535" cy="204470"/>
              <wp:effectExtent l="0" t="2540" r="0" b="254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E52DFA">
                          <w:pPr>
                            <w:pStyle w:val="a5"/>
                            <w:wordWrap w:val="0"/>
                            <w:jc w:val="right"/>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771972">
                            <w:rPr>
                              <w:noProof/>
                              <w:sz w:val="28"/>
                              <w:szCs w:val="28"/>
                            </w:rPr>
                            <w:t>1</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44.15pt;margin-top:0;width:7.05pt;height:16.1pt;z-index:25166080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" filled="f" stroked="f">
              <v:textbox style="mso-fit-shape-to-text:t" inset="0,0,0,0">
                <w:txbxContent>
                  <w:p w:rsidR="00000000" w:rsidRDefault="00E52DFA">
                    <w:pPr>
                      <w:pStyle w:val="a5"/>
                      <w:wordWrap w:val="0"/>
                      <w:jc w:val="right"/>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771972">
                      <w:rPr>
                        <w:noProof/>
                        <w:sz w:val="28"/>
                        <w:szCs w:val="28"/>
                      </w:rPr>
                      <w:t>1</w:t>
                    </w:r>
                    <w:r>
                      <w:rPr>
                        <w:rFonts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52DFA">
    <w:pPr>
      <w:pStyle w:val="a5"/>
    </w:pPr>
  </w:p>
  <w:p w:rsidR="00000000" w:rsidRDefault="00E52D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DFA" w:rsidRDefault="00E52DFA">
      <w:r>
        <w:separator/>
      </w:r>
    </w:p>
  </w:footnote>
  <w:footnote w:type="continuationSeparator" w:id="0">
    <w:p w:rsidR="00E52DFA" w:rsidRDefault="00E52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8"/>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26235"/>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71972"/>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52DFA"/>
    <w:rsid w:val="00E73776"/>
    <w:rsid w:val="00ED2031"/>
    <w:rsid w:val="00EE37FE"/>
    <w:rsid w:val="00F33350"/>
    <w:rsid w:val="00F64776"/>
    <w:rsid w:val="00F6624B"/>
    <w:rsid w:val="00F81D94"/>
    <w:rsid w:val="00F8685B"/>
    <w:rsid w:val="00FA60C8"/>
    <w:rsid w:val="00FD22E5"/>
    <w:rsid w:val="00FD443E"/>
    <w:rsid w:val="00FD754D"/>
    <w:rsid w:val="00FF6452"/>
    <w:rsid w:val="06E4493B"/>
    <w:rsid w:val="12681CD2"/>
    <w:rsid w:val="1616507C"/>
    <w:rsid w:val="1BB76D72"/>
    <w:rsid w:val="2BECD1A4"/>
    <w:rsid w:val="35569F19"/>
    <w:rsid w:val="3BBB04D8"/>
    <w:rsid w:val="3D6E74CB"/>
    <w:rsid w:val="45386969"/>
    <w:rsid w:val="45492E01"/>
    <w:rsid w:val="466F7F34"/>
    <w:rsid w:val="5657B9E7"/>
    <w:rsid w:val="5B1F5A18"/>
    <w:rsid w:val="5B543AAE"/>
    <w:rsid w:val="5CAF0CE0"/>
    <w:rsid w:val="5CDF00A6"/>
    <w:rsid w:val="5E99BDF6"/>
    <w:rsid w:val="5F8C32F3"/>
    <w:rsid w:val="5FBE21BA"/>
    <w:rsid w:val="5FF59749"/>
    <w:rsid w:val="63BF1C13"/>
    <w:rsid w:val="6BCBDE96"/>
    <w:rsid w:val="6FF72FA2"/>
    <w:rsid w:val="6FF7B0FA"/>
    <w:rsid w:val="6FFF5A55"/>
    <w:rsid w:val="73FF7824"/>
    <w:rsid w:val="743C761F"/>
    <w:rsid w:val="758F27DE"/>
    <w:rsid w:val="767F6198"/>
    <w:rsid w:val="77D7B35E"/>
    <w:rsid w:val="7D3B41DF"/>
    <w:rsid w:val="7DF319E8"/>
    <w:rsid w:val="7E8EDC1A"/>
    <w:rsid w:val="7EBFF272"/>
    <w:rsid w:val="7FB16D24"/>
    <w:rsid w:val="7FDCFB95"/>
    <w:rsid w:val="7FE7A844"/>
    <w:rsid w:val="7FF538CD"/>
    <w:rsid w:val="7FF70B6F"/>
    <w:rsid w:val="8EBF5233"/>
    <w:rsid w:val="9DF6761E"/>
    <w:rsid w:val="9EB7ECD0"/>
    <w:rsid w:val="9FEFF0AF"/>
    <w:rsid w:val="AECFB86F"/>
    <w:rsid w:val="B3BDA393"/>
    <w:rsid w:val="B5DFF13C"/>
    <w:rsid w:val="BE7D4A72"/>
    <w:rsid w:val="BE9C67A7"/>
    <w:rsid w:val="BF71AC97"/>
    <w:rsid w:val="BFDD728F"/>
    <w:rsid w:val="BFFB8058"/>
    <w:rsid w:val="BFFF47E5"/>
    <w:rsid w:val="DB7F2A0B"/>
    <w:rsid w:val="DBFD8FEB"/>
    <w:rsid w:val="DBFFCB6B"/>
    <w:rsid w:val="DFDDC100"/>
    <w:rsid w:val="DFF766DC"/>
    <w:rsid w:val="DFFE1332"/>
    <w:rsid w:val="E6DFAF55"/>
    <w:rsid w:val="E7F7374B"/>
    <w:rsid w:val="EFB38A06"/>
    <w:rsid w:val="EFFFC49D"/>
    <w:rsid w:val="F4FF3A8A"/>
    <w:rsid w:val="F71E57D0"/>
    <w:rsid w:val="F7BFE725"/>
    <w:rsid w:val="FAB65372"/>
    <w:rsid w:val="FB37A803"/>
    <w:rsid w:val="FDEF5867"/>
    <w:rsid w:val="FEF907DD"/>
    <w:rsid w:val="FFFE7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C283BE48-C89B-4B17-AE93-98568B09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Company>Xtzj.Com</Company>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2023-06-17T07:42:00Z</cp:lastPrinted>
  <dcterms:created xsi:type="dcterms:W3CDTF">2023-06-20T09:16:00Z</dcterms:created>
  <dcterms:modified xsi:type="dcterms:W3CDTF">2023-06-20T09:16:00Z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EB9BE76F5A1DDB670FCE8F64D592078F</vt:lpwstr>
  </property>
</Properties>
</file>