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E0239">
      <w:pPr>
        <w:overflowPunct w:val="0"/>
        <w:spacing w:line="560" w:lineRule="exact"/>
        <w:jc w:val="lef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8E0239">
      <w:pPr>
        <w:overflowPunct w:val="0"/>
        <w:spacing w:line="600" w:lineRule="exact"/>
        <w:jc w:val="center"/>
        <w:rPr>
          <w:rFonts w:ascii="黑体" w:eastAsia="黑体" w:hAnsi="黑体"/>
          <w:sz w:val="32"/>
          <w:szCs w:val="32"/>
        </w:rPr>
      </w:pPr>
    </w:p>
    <w:p w:rsidR="00000000" w:rsidRDefault="008E0239">
      <w:pPr>
        <w:overflowPunct w:val="0"/>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国家药监局关于进一步优化临床急需境外</w:t>
      </w:r>
    </w:p>
    <w:p w:rsidR="00000000" w:rsidRDefault="008E0239">
      <w:pPr>
        <w:overflowPunct w:val="0"/>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已上市药品审评审批</w:t>
      </w:r>
      <w:r>
        <w:rPr>
          <w:rFonts w:ascii="方正小标宋简体" w:eastAsia="方正小标宋简体" w:hint="eastAsia"/>
          <w:sz w:val="44"/>
          <w:szCs w:val="44"/>
        </w:rPr>
        <w:t>有</w:t>
      </w:r>
      <w:r>
        <w:rPr>
          <w:rFonts w:ascii="方正小标宋简体" w:eastAsia="方正小标宋简体" w:hint="eastAsia"/>
          <w:sz w:val="44"/>
          <w:szCs w:val="44"/>
        </w:rPr>
        <w:t>关事项的公告</w:t>
      </w:r>
    </w:p>
    <w:p w:rsidR="00000000" w:rsidRDefault="008E0239">
      <w:pPr>
        <w:overflowPunct w:val="0"/>
        <w:spacing w:line="600" w:lineRule="exact"/>
        <w:jc w:val="center"/>
        <w:rPr>
          <w:rFonts w:ascii="楷体_GB2312" w:eastAsia="楷体_GB2312" w:hAnsi="楷体_GB2312" w:cs="楷体_GB2312" w:hint="eastAsia"/>
          <w:sz w:val="32"/>
          <w:szCs w:val="44"/>
        </w:rPr>
      </w:pPr>
      <w:r>
        <w:rPr>
          <w:rFonts w:ascii="楷体_GB2312" w:eastAsia="楷体_GB2312" w:hAnsi="楷体_GB2312" w:cs="楷体_GB2312" w:hint="eastAsia"/>
          <w:sz w:val="32"/>
          <w:szCs w:val="44"/>
        </w:rPr>
        <w:t>（征求意见稿）</w:t>
      </w:r>
    </w:p>
    <w:p w:rsidR="00000000" w:rsidRDefault="008E0239">
      <w:pPr>
        <w:pStyle w:val="a7"/>
        <w:overflowPunct w:val="0"/>
        <w:spacing w:before="0" w:beforeAutospacing="0" w:after="0" w:afterAutospacing="0" w:line="600" w:lineRule="exact"/>
        <w:ind w:firstLineChars="200" w:firstLine="640"/>
        <w:jc w:val="center"/>
        <w:rPr>
          <w:rFonts w:ascii="仿宋_GB2312" w:eastAsia="仿宋_GB2312" w:hAnsi="仿宋_GB2312" w:cs="仿宋_GB2312" w:hint="eastAsia"/>
          <w:sz w:val="32"/>
          <w:szCs w:val="32"/>
        </w:rPr>
      </w:pPr>
    </w:p>
    <w:p w:rsidR="00000000" w:rsidRDefault="008E0239">
      <w:pPr>
        <w:pStyle w:val="a7"/>
        <w:overflowPunct w:val="0"/>
        <w:spacing w:before="0" w:beforeAutospacing="0" w:after="0" w:afterAutospacing="0" w:line="54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为加快临床急需境外已上市药品在境内上市，满足患者临</w:t>
      </w:r>
      <w:r>
        <w:rPr>
          <w:rFonts w:ascii="仿宋_GB2312" w:eastAsia="仿宋_GB2312" w:hAnsi="仿宋_GB2312" w:cs="仿宋_GB2312" w:hint="eastAsia"/>
          <w:sz w:val="32"/>
          <w:szCs w:val="32"/>
        </w:rPr>
        <w:t>床用药迫切需求，国家药监局决定进一步优化临床急需境外已上市药品审评审批工作机制。有关事</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公告如下：</w:t>
      </w:r>
    </w:p>
    <w:p w:rsidR="00000000" w:rsidRDefault="008E0239">
      <w:pPr>
        <w:pStyle w:val="a7"/>
        <w:overflowPunct w:val="0"/>
        <w:spacing w:before="0" w:beforeAutospacing="0" w:after="0" w:afterAutospacing="0" w:line="54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一、以临床价值为导向，鼓励临床急需境外已上市药品在境内上市。对临床急需的境外已上市药品，包括原研药、化学仿制药及生物类似药等，符合要求的，</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纳入优先审评审批范围。</w:t>
      </w:r>
    </w:p>
    <w:p w:rsidR="00000000" w:rsidRDefault="008E0239">
      <w:pPr>
        <w:pStyle w:val="a7"/>
        <w:overflowPunct w:val="0"/>
        <w:spacing w:before="0" w:beforeAutospacing="0" w:after="0" w:afterAutospacing="0" w:line="540" w:lineRule="exact"/>
        <w:ind w:firstLineChars="200" w:firstLine="640"/>
        <w:jc w:val="both"/>
        <w:rPr>
          <w:rFonts w:ascii="Nimbus Roman No9 L" w:eastAsia="仿宋_GB2312" w:hAnsi="Nimbus Roman No9 L" w:cs="Nimbus Roman No9 L"/>
          <w:sz w:val="32"/>
          <w:szCs w:val="32"/>
        </w:rPr>
      </w:pPr>
      <w:r>
        <w:rPr>
          <w:rFonts w:ascii="仿宋_GB2312" w:eastAsia="仿宋_GB2312" w:hAnsi="仿宋_GB2312" w:cs="仿宋_GB2312" w:hint="eastAsia"/>
          <w:sz w:val="32"/>
          <w:szCs w:val="32"/>
        </w:rPr>
        <w:t>二、优化审评机制，加快审评速度。申请人</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对临床急需的境外已上市药品</w:t>
      </w:r>
      <w:r>
        <w:rPr>
          <w:rFonts w:ascii="仿宋_GB2312" w:eastAsia="仿宋_GB2312" w:hAnsi="仿宋_GB2312" w:cs="仿宋_GB2312" w:hint="eastAsia"/>
          <w:sz w:val="32"/>
          <w:szCs w:val="32"/>
        </w:rPr>
        <w:t>就</w:t>
      </w:r>
      <w:r>
        <w:rPr>
          <w:rFonts w:eastAsia="仿宋_GB2312" w:hint="eastAsia"/>
          <w:sz w:val="32"/>
          <w:szCs w:val="32"/>
        </w:rPr>
        <w:t>境内外临床数据利用情况</w:t>
      </w:r>
      <w:r>
        <w:rPr>
          <w:rFonts w:ascii="仿宋_GB2312" w:eastAsia="仿宋_GB2312" w:hAnsi="仿宋_GB2312" w:cs="仿宋_GB2312" w:hint="eastAsia"/>
          <w:sz w:val="32"/>
          <w:szCs w:val="32"/>
        </w:rPr>
        <w:t>和优先审评审批事项申请沟通交流，并</w:t>
      </w:r>
      <w:r>
        <w:rPr>
          <w:rFonts w:ascii="仿宋_GB2312" w:eastAsia="仿宋_GB2312" w:hAnsi="仿宋_GB2312" w:cs="仿宋_GB2312" w:hint="eastAsia"/>
          <w:sz w:val="32"/>
          <w:szCs w:val="32"/>
        </w:rPr>
        <w:t>提交境内</w:t>
      </w:r>
      <w:r>
        <w:rPr>
          <w:rFonts w:ascii="仿宋_GB2312" w:eastAsia="仿宋_GB2312" w:hAnsi="仿宋_GB2312" w:cs="仿宋_GB2312" w:hint="eastAsia"/>
          <w:sz w:val="32"/>
          <w:szCs w:val="32"/>
        </w:rPr>
        <w:t>外</w:t>
      </w:r>
      <w:r>
        <w:rPr>
          <w:rFonts w:ascii="仿宋_GB2312" w:eastAsia="仿宋_GB2312" w:hAnsi="仿宋_GB2312" w:cs="仿宋_GB2312" w:hint="eastAsia"/>
          <w:sz w:val="32"/>
          <w:szCs w:val="32"/>
        </w:rPr>
        <w:t>全套临床试验资料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临床试验文献资料</w:t>
      </w:r>
      <w:r>
        <w:rPr>
          <w:rFonts w:ascii="仿宋_GB2312" w:eastAsia="仿宋_GB2312" w:hAnsi="仿宋_GB2312" w:cs="仿宋_GB2312" w:hint="eastAsia"/>
          <w:sz w:val="32"/>
          <w:szCs w:val="32"/>
        </w:rPr>
        <w:t>、在国内开展国际多中心药物临床试验研究</w:t>
      </w:r>
      <w:r>
        <w:rPr>
          <w:rFonts w:ascii="仿宋_GB2312" w:eastAsia="仿宋_GB2312" w:hAnsi="仿宋_GB2312" w:cs="仿宋_GB2312" w:hint="eastAsia"/>
          <w:sz w:val="32"/>
          <w:szCs w:val="32"/>
        </w:rPr>
        <w:t>资料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不存在人种差异的支持性材料等</w:t>
      </w:r>
      <w:r>
        <w:rPr>
          <w:rFonts w:ascii="仿宋_GB2312" w:eastAsia="仿宋_GB2312" w:hAnsi="仿宋_GB2312" w:cs="仿宋_GB2312" w:hint="eastAsia"/>
          <w:sz w:val="32"/>
          <w:szCs w:val="32"/>
        </w:rPr>
        <w:t>资料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国家药监局</w:t>
      </w:r>
      <w:r>
        <w:rPr>
          <w:rFonts w:ascii="仿宋_GB2312" w:eastAsia="仿宋_GB2312" w:hAnsi="仿宋_GB2312" w:cs="仿宋_GB2312" w:hint="eastAsia"/>
          <w:sz w:val="32"/>
          <w:szCs w:val="32"/>
        </w:rPr>
        <w:t>药审中心</w:t>
      </w:r>
      <w:r>
        <w:rPr>
          <w:rFonts w:ascii="仿宋_GB2312" w:eastAsia="仿宋_GB2312" w:hAnsi="仿宋_GB2312" w:cs="仿宋_GB2312" w:hint="eastAsia"/>
          <w:sz w:val="32"/>
          <w:szCs w:val="32"/>
        </w:rPr>
        <w:t>（以下简称药审中心）</w:t>
      </w:r>
      <w:r>
        <w:rPr>
          <w:rFonts w:ascii="仿宋_GB2312" w:eastAsia="仿宋_GB2312" w:hAnsi="仿宋_GB2312" w:cs="仿宋_GB2312" w:hint="eastAsia"/>
          <w:sz w:val="32"/>
          <w:szCs w:val="32"/>
        </w:rPr>
        <w:t>沟通交流形成一致意见后，可豁免药物临床试验</w:t>
      </w:r>
      <w:r>
        <w:rPr>
          <w:rFonts w:ascii="仿宋_GB2312" w:eastAsia="仿宋_GB2312" w:hAnsi="仿宋_GB2312" w:cs="仿宋_GB2312" w:hint="eastAsia"/>
          <w:sz w:val="32"/>
          <w:szCs w:val="32"/>
        </w:rPr>
        <w:t>,</w:t>
      </w:r>
      <w:r>
        <w:rPr>
          <w:rFonts w:ascii="仿宋_GB2312" w:eastAsia="仿宋_GB2312" w:hint="eastAsia"/>
          <w:sz w:val="32"/>
        </w:rPr>
        <w:t>直接提出药品</w:t>
      </w:r>
      <w:r>
        <w:rPr>
          <w:rFonts w:ascii="Nimbus Roman No9 L" w:eastAsia="仿宋_GB2312" w:hAnsi="Nimbus Roman No9 L" w:cs="Nimbus Roman No9 L"/>
          <w:sz w:val="32"/>
        </w:rPr>
        <w:t>上市许可申请</w:t>
      </w:r>
      <w:r>
        <w:rPr>
          <w:rFonts w:ascii="Nimbus Roman No9 L" w:eastAsia="仿宋_GB2312" w:hAnsi="Nimbus Roman No9 L" w:cs="Nimbus Roman No9 L"/>
          <w:sz w:val="32"/>
        </w:rPr>
        <w:t>，</w:t>
      </w:r>
      <w:r>
        <w:rPr>
          <w:rFonts w:ascii="Nimbus Roman No9 L" w:eastAsia="仿宋_GB2312" w:hAnsi="Nimbus Roman No9 L" w:cs="Nimbus Roman No9 L"/>
          <w:sz w:val="32"/>
        </w:rPr>
        <w:t>对需要开展</w:t>
      </w:r>
      <w:r>
        <w:rPr>
          <w:rFonts w:ascii="Nimbus Roman No9 L" w:eastAsia="仿宋_GB2312" w:hAnsi="Nimbus Roman No9 L" w:cs="Nimbus Roman No9 L"/>
          <w:sz w:val="32"/>
          <w:szCs w:val="32"/>
        </w:rPr>
        <w:t>药物临床试验的品种，自受理之日起</w:t>
      </w:r>
      <w:r>
        <w:rPr>
          <w:rFonts w:ascii="Nimbus Roman No9 L" w:eastAsia="仿宋_GB2312" w:hAnsi="Nimbus Roman No9 L" w:cs="Nimbus Roman No9 L"/>
          <w:sz w:val="32"/>
          <w:szCs w:val="32"/>
          <w:lang w:val="en"/>
        </w:rPr>
        <w:t>30</w:t>
      </w:r>
      <w:r>
        <w:rPr>
          <w:rFonts w:ascii="Nimbus Roman No9 L" w:eastAsia="仿宋_GB2312" w:hAnsi="Nimbus Roman No9 L" w:cs="Nimbus Roman No9 L"/>
          <w:sz w:val="32"/>
          <w:szCs w:val="32"/>
        </w:rPr>
        <w:t>日内决定是否同意开展。</w:t>
      </w:r>
      <w:r>
        <w:rPr>
          <w:rFonts w:ascii="Nimbus Roman No9 L" w:eastAsia="仿宋_GB2312" w:hAnsi="Nimbus Roman No9 L" w:cs="Nimbus Roman No9 L"/>
          <w:sz w:val="32"/>
        </w:rPr>
        <w:t>对申请纳入优先审评审批程序的品种，</w:t>
      </w:r>
      <w:r>
        <w:rPr>
          <w:rFonts w:ascii="Nimbus Roman No9 L" w:eastAsia="仿宋_GB2312" w:hAnsi="Nimbus Roman No9 L" w:cs="Nimbus Roman No9 L"/>
          <w:sz w:val="32"/>
          <w:szCs w:val="32"/>
        </w:rPr>
        <w:t>药审中心按程序审核</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经</w:t>
      </w:r>
      <w:r>
        <w:rPr>
          <w:rFonts w:ascii="Nimbus Roman No9 L" w:eastAsia="仿宋_GB2312" w:hAnsi="Nimbus Roman No9 L" w:cs="Nimbus Roman No9 L"/>
          <w:sz w:val="32"/>
          <w:szCs w:val="32"/>
        </w:rPr>
        <w:t>专家评估</w:t>
      </w:r>
      <w:r>
        <w:rPr>
          <w:rFonts w:ascii="Nimbus Roman No9 L" w:eastAsia="仿宋_GB2312" w:hAnsi="Nimbus Roman No9 L" w:cs="Nimbus Roman No9 L"/>
          <w:sz w:val="32"/>
          <w:szCs w:val="32"/>
        </w:rPr>
        <w:t>符合要求的，可纳入优先</w:t>
      </w:r>
      <w:r>
        <w:rPr>
          <w:rFonts w:ascii="Nimbus Roman No9 L" w:eastAsia="仿宋_GB2312" w:hAnsi="Nimbus Roman No9 L" w:cs="Nimbus Roman No9 L"/>
          <w:sz w:val="32"/>
        </w:rPr>
        <w:t>审评审批范畴</w:t>
      </w:r>
      <w:r>
        <w:rPr>
          <w:rFonts w:ascii="Nimbus Roman No9 L" w:eastAsia="仿宋_GB2312" w:hAnsi="Nimbus Roman No9 L" w:cs="Nimbus Roman No9 L"/>
          <w:sz w:val="32"/>
          <w:szCs w:val="32"/>
        </w:rPr>
        <w:t>。</w:t>
      </w:r>
    </w:p>
    <w:p w:rsidR="00000000" w:rsidRDefault="008E0239">
      <w:pPr>
        <w:pStyle w:val="a7"/>
        <w:overflowPunct w:val="0"/>
        <w:spacing w:before="0" w:beforeAutospacing="0" w:after="0" w:afterAutospacing="0" w:line="54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药审中心对纳入优先审评审批范围的临床急需境外已上市</w:t>
      </w:r>
      <w:r>
        <w:rPr>
          <w:rFonts w:ascii="仿宋_GB2312" w:eastAsia="仿宋_GB2312" w:hAnsi="仿宋_GB2312" w:cs="仿宋_GB2312" w:hint="eastAsia"/>
          <w:sz w:val="32"/>
          <w:szCs w:val="32"/>
        </w:rPr>
        <w:lastRenderedPageBreak/>
        <w:t>药品注</w:t>
      </w:r>
      <w:r>
        <w:rPr>
          <w:rFonts w:ascii="仿宋_GB2312" w:eastAsia="仿宋_GB2312" w:hAnsi="仿宋_GB2312" w:cs="仿宋_GB2312" w:hint="eastAsia"/>
          <w:sz w:val="32"/>
          <w:szCs w:val="32"/>
        </w:rPr>
        <w:t>册申请予以单独管理</w:t>
      </w:r>
      <w:r>
        <w:rPr>
          <w:rFonts w:ascii="仿宋_GB2312" w:eastAsia="仿宋_GB2312" w:hAnsi="仿宋_GB2312" w:cs="仿宋_GB2312"/>
          <w:sz w:val="32"/>
          <w:szCs w:val="32"/>
          <w:lang w:val="en"/>
        </w:rPr>
        <w:t>，</w:t>
      </w:r>
      <w:r>
        <w:rPr>
          <w:rFonts w:ascii="仿宋_GB2312" w:eastAsia="仿宋_GB2312" w:hAnsi="仿宋_GB2312" w:cs="仿宋_GB2312" w:hint="eastAsia"/>
          <w:sz w:val="32"/>
          <w:szCs w:val="32"/>
        </w:rPr>
        <w:t>加强研发申报全过程</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沟通指导。</w:t>
      </w:r>
    </w:p>
    <w:p w:rsidR="00000000" w:rsidRDefault="008E0239">
      <w:pPr>
        <w:pStyle w:val="a7"/>
        <w:overflowPunct w:val="0"/>
        <w:spacing w:before="0" w:beforeAutospacing="0" w:after="0" w:afterAutospacing="0" w:line="540" w:lineRule="exact"/>
        <w:ind w:firstLineChars="200" w:firstLine="640"/>
        <w:jc w:val="both"/>
        <w:rPr>
          <w:rFonts w:eastAsia="仿宋_GB2312"/>
          <w:sz w:val="32"/>
          <w:szCs w:val="32"/>
        </w:rPr>
      </w:pPr>
      <w:r>
        <w:rPr>
          <w:rFonts w:ascii="仿宋_GB2312" w:eastAsia="仿宋_GB2312" w:hAnsi="仿宋_GB2312" w:cs="仿宋_GB2312" w:hint="eastAsia"/>
          <w:sz w:val="32"/>
          <w:szCs w:val="32"/>
        </w:rPr>
        <w:t>三、完善检验制度，体现品种特点。对于临床急需境外已上市</w:t>
      </w:r>
      <w:r>
        <w:rPr>
          <w:rFonts w:ascii="仿宋_GB2312" w:eastAsia="仿宋_GB2312" w:hAnsi="仿宋_GB2312" w:cs="仿宋_GB2312" w:hint="eastAsia"/>
          <w:sz w:val="32"/>
          <w:szCs w:val="32"/>
        </w:rPr>
        <w:t>境内未上市的罕见病</w:t>
      </w:r>
      <w:r>
        <w:rPr>
          <w:rFonts w:ascii="仿宋_GB2312" w:eastAsia="仿宋_GB2312" w:hAnsi="仿宋_GB2312" w:cs="仿宋_GB2312" w:hint="eastAsia"/>
          <w:sz w:val="32"/>
          <w:szCs w:val="32"/>
        </w:rPr>
        <w:t>药品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鼓励申请人</w:t>
      </w:r>
      <w:r>
        <w:rPr>
          <w:rFonts w:ascii="仿宋_GB2312" w:eastAsia="仿宋_GB2312" w:hAnsi="仿宋_GB2312" w:cs="仿宋_GB2312" w:hint="eastAsia"/>
          <w:sz w:val="32"/>
          <w:szCs w:val="32"/>
        </w:rPr>
        <w:t>采取前置检验方式申请注册检验，只进行</w:t>
      </w:r>
      <w:r>
        <w:rPr>
          <w:rFonts w:ascii="仿宋_GB2312" w:eastAsia="仿宋_GB2312" w:hAnsi="仿宋_GB2312" w:cs="仿宋_GB2312" w:hint="eastAsia"/>
          <w:sz w:val="32"/>
          <w:szCs w:val="32"/>
        </w:rPr>
        <w:t>样品检验的，注册检验时限由</w:t>
      </w:r>
      <w:r>
        <w:rPr>
          <w:rFonts w:eastAsia="仿宋_GB2312"/>
          <w:sz w:val="32"/>
          <w:szCs w:val="32"/>
        </w:rPr>
        <w:t>60</w:t>
      </w:r>
      <w:r>
        <w:rPr>
          <w:rFonts w:eastAsia="仿宋_GB2312"/>
          <w:sz w:val="32"/>
          <w:szCs w:val="32"/>
        </w:rPr>
        <w:t>日缩短至</w:t>
      </w:r>
      <w:r>
        <w:rPr>
          <w:rFonts w:eastAsia="仿宋_GB2312"/>
          <w:sz w:val="32"/>
          <w:szCs w:val="32"/>
        </w:rPr>
        <w:t>40</w:t>
      </w:r>
      <w:r>
        <w:rPr>
          <w:rFonts w:eastAsia="仿宋_GB2312"/>
          <w:sz w:val="32"/>
          <w:szCs w:val="32"/>
        </w:rPr>
        <w:t>日；同时进行标准复核和样品检验的，注册检验时限</w:t>
      </w:r>
      <w:r>
        <w:rPr>
          <w:rFonts w:ascii="仿宋_GB2312" w:eastAsia="仿宋_GB2312" w:hAnsi="仿宋_GB2312" w:cs="仿宋_GB2312" w:hint="eastAsia"/>
          <w:sz w:val="32"/>
          <w:szCs w:val="32"/>
        </w:rPr>
        <w:t>由</w:t>
      </w:r>
      <w:r>
        <w:rPr>
          <w:rFonts w:eastAsia="仿宋_GB2312"/>
          <w:sz w:val="32"/>
          <w:szCs w:val="32"/>
        </w:rPr>
        <w:t>90</w:t>
      </w:r>
      <w:r>
        <w:rPr>
          <w:rFonts w:eastAsia="仿宋_GB2312"/>
          <w:sz w:val="32"/>
          <w:szCs w:val="32"/>
        </w:rPr>
        <w:t>日缩短至</w:t>
      </w:r>
      <w:r>
        <w:rPr>
          <w:rFonts w:eastAsia="仿宋_GB2312"/>
          <w:sz w:val="32"/>
          <w:szCs w:val="32"/>
        </w:rPr>
        <w:t>70</w:t>
      </w:r>
      <w:r>
        <w:rPr>
          <w:rFonts w:eastAsia="仿宋_GB2312"/>
          <w:sz w:val="32"/>
          <w:szCs w:val="32"/>
        </w:rPr>
        <w:t>日；</w:t>
      </w:r>
      <w:r>
        <w:rPr>
          <w:rFonts w:eastAsia="仿宋_GB2312"/>
          <w:sz w:val="32"/>
          <w:szCs w:val="32"/>
        </w:rPr>
        <w:t>注册检验所需样品量</w:t>
      </w:r>
      <w:r>
        <w:rPr>
          <w:rFonts w:eastAsia="仿宋_GB2312"/>
          <w:sz w:val="32"/>
          <w:szCs w:val="32"/>
        </w:rPr>
        <w:t>为</w:t>
      </w:r>
      <w:r>
        <w:rPr>
          <w:rFonts w:eastAsia="仿宋_GB2312"/>
          <w:sz w:val="32"/>
          <w:szCs w:val="32"/>
        </w:rPr>
        <w:t>商业规模生产</w:t>
      </w:r>
      <w:r>
        <w:rPr>
          <w:rFonts w:eastAsia="仿宋_GB2312"/>
          <w:sz w:val="32"/>
          <w:szCs w:val="32"/>
        </w:rPr>
        <w:t>1</w:t>
      </w:r>
      <w:r>
        <w:rPr>
          <w:rFonts w:eastAsia="仿宋_GB2312"/>
          <w:sz w:val="32"/>
          <w:szCs w:val="32"/>
        </w:rPr>
        <w:t>批次，每批样品数量为质量标准检验项目所需量的</w:t>
      </w:r>
      <w:r>
        <w:rPr>
          <w:rFonts w:eastAsia="仿宋_GB2312"/>
          <w:sz w:val="32"/>
          <w:szCs w:val="32"/>
        </w:rPr>
        <w:t>2</w:t>
      </w:r>
      <w:r>
        <w:rPr>
          <w:rFonts w:eastAsia="仿宋_GB2312"/>
          <w:sz w:val="32"/>
          <w:szCs w:val="32"/>
        </w:rPr>
        <w:t>倍。</w:t>
      </w:r>
    </w:p>
    <w:p w:rsidR="00000000" w:rsidRDefault="008E0239">
      <w:pPr>
        <w:pStyle w:val="a7"/>
        <w:overflowPunct w:val="0"/>
        <w:spacing w:before="0" w:beforeAutospacing="0" w:after="0" w:afterAutospacing="0" w:line="54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四、优化注册核查，加强全生命周期监管。对纳入优先审评审批范围的临床急需境外已上市药品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优化境外注册核查启动方式，</w:t>
      </w:r>
      <w:r>
        <w:rPr>
          <w:rFonts w:ascii="仿宋_GB2312" w:eastAsia="仿宋_GB2312" w:hAnsi="仿宋_GB2312" w:cs="仿宋_GB2312" w:hint="eastAsia"/>
          <w:sz w:val="32"/>
          <w:szCs w:val="32"/>
        </w:rPr>
        <w:t>可根据风险与上市后</w:t>
      </w:r>
      <w:r>
        <w:rPr>
          <w:rFonts w:ascii="仿宋_GB2312" w:eastAsia="仿宋_GB2312" w:hAnsi="仿宋_GB2312" w:cs="仿宋_GB2312" w:hint="eastAsia"/>
          <w:sz w:val="32"/>
          <w:szCs w:val="32"/>
        </w:rPr>
        <w:t>境外检查</w:t>
      </w:r>
      <w:r>
        <w:rPr>
          <w:rFonts w:ascii="仿宋_GB2312" w:eastAsia="仿宋_GB2312" w:hAnsi="仿宋_GB2312" w:cs="仿宋_GB2312" w:hint="eastAsia"/>
          <w:sz w:val="32"/>
          <w:szCs w:val="32"/>
        </w:rPr>
        <w:t>工作有机结合、统筹安排</w:t>
      </w:r>
      <w:r>
        <w:rPr>
          <w:rFonts w:ascii="仿宋_GB2312" w:eastAsia="仿宋_GB2312" w:hAnsi="仿宋_GB2312" w:cs="仿宋_GB2312" w:hint="eastAsia"/>
          <w:sz w:val="32"/>
          <w:szCs w:val="32"/>
        </w:rPr>
        <w:t>。</w:t>
      </w:r>
    </w:p>
    <w:p w:rsidR="00000000" w:rsidRDefault="008E0239">
      <w:pPr>
        <w:pStyle w:val="a7"/>
        <w:overflowPunct w:val="0"/>
        <w:spacing w:before="0" w:beforeAutospacing="0" w:after="0" w:afterAutospacing="0" w:line="54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五、持续畅通临床急需药品临时进口通道。</w:t>
      </w:r>
      <w:r>
        <w:rPr>
          <w:rFonts w:ascii="仿宋_GB2312" w:eastAsia="仿宋_GB2312" w:hAnsi="仿宋_GB2312" w:cs="仿宋_GB2312" w:hint="eastAsia"/>
          <w:sz w:val="32"/>
          <w:szCs w:val="32"/>
        </w:rPr>
        <w:t>优化罕见病临时进口通道，进一步提速增效</w:t>
      </w:r>
      <w:r>
        <w:rPr>
          <w:rFonts w:ascii="仿宋_GB2312" w:eastAsia="仿宋_GB2312" w:hAnsi="仿宋_GB2312" w:cs="仿宋_GB2312" w:hint="eastAsia"/>
          <w:sz w:val="32"/>
          <w:szCs w:val="32"/>
        </w:rPr>
        <w:t>，满足</w:t>
      </w:r>
      <w:r>
        <w:rPr>
          <w:rFonts w:ascii="仿宋_GB2312" w:eastAsia="仿宋_GB2312" w:hAnsi="仿宋_GB2312" w:cs="仿宋_GB2312" w:hint="eastAsia"/>
          <w:sz w:val="32"/>
          <w:szCs w:val="32"/>
        </w:rPr>
        <w:t>医疗机构</w:t>
      </w:r>
      <w:r>
        <w:rPr>
          <w:rFonts w:ascii="仿宋_GB2312" w:eastAsia="仿宋_GB2312" w:hAnsi="仿宋_GB2312" w:cs="仿宋_GB2312" w:hint="eastAsia"/>
          <w:sz w:val="32"/>
          <w:szCs w:val="32"/>
        </w:rPr>
        <w:t>临床急需</w:t>
      </w:r>
      <w:r>
        <w:rPr>
          <w:rFonts w:ascii="仿宋_GB2312" w:eastAsia="仿宋_GB2312" w:hAnsi="仿宋_GB2312" w:cs="仿宋_GB2312" w:hint="eastAsia"/>
          <w:sz w:val="32"/>
          <w:szCs w:val="32"/>
        </w:rPr>
        <w:t>罕见病</w:t>
      </w:r>
      <w:r>
        <w:rPr>
          <w:rFonts w:ascii="仿宋_GB2312" w:eastAsia="仿宋_GB2312" w:hAnsi="仿宋_GB2312" w:cs="仿宋_GB2312" w:hint="eastAsia"/>
          <w:sz w:val="32"/>
          <w:szCs w:val="32"/>
        </w:rPr>
        <w:t>用药需求。</w:t>
      </w:r>
    </w:p>
    <w:p w:rsidR="00000000" w:rsidRDefault="008E0239">
      <w:pPr>
        <w:pStyle w:val="a7"/>
        <w:overflowPunct w:val="0"/>
        <w:spacing w:before="0" w:beforeAutospacing="0" w:after="0" w:afterAutospacing="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特此公告。</w:t>
      </w:r>
    </w:p>
    <w:p w:rsidR="00000000" w:rsidRDefault="008E0239">
      <w:pPr>
        <w:rPr>
          <w:rFonts w:ascii="仿宋_GB2312" w:eastAsia="仿宋_GB2312" w:hint="eastAsia"/>
          <w:sz w:val="28"/>
          <w:szCs w:val="28"/>
        </w:rPr>
      </w:pPr>
      <w:r>
        <w:rPr>
          <w:rFonts w:ascii="仿宋_GB2312" w:eastAsia="仿宋_GB2312" w:hAnsi="仿宋_GB2312" w:cs="仿宋_GB2312" w:hint="eastAsia"/>
          <w:sz w:val="32"/>
          <w:szCs w:val="32"/>
        </w:rPr>
        <w:t xml:space="preserve"> </w:t>
      </w:r>
    </w:p>
    <w:p w:rsidR="00000000" w:rsidRDefault="008E0239">
      <w:pPr>
        <w:jc w:val="left"/>
        <w:rPr>
          <w:rFonts w:ascii="黑体" w:eastAsia="黑体" w:hAnsi="黑体" w:cs="黑体" w:hint="eastAsia"/>
          <w:sz w:val="32"/>
          <w:szCs w:val="32"/>
        </w:rPr>
        <w:sectPr w:rsidR="00000000">
          <w:footerReference w:type="default" r:id="rId6"/>
          <w:pgSz w:w="11906" w:h="16838"/>
          <w:pgMar w:top="1928" w:right="1531" w:bottom="1814" w:left="1531" w:header="851" w:footer="1361" w:gutter="0"/>
          <w:pgNumType w:start="1"/>
          <w:cols w:space="720"/>
          <w:docGrid w:type="lines" w:linePitch="312"/>
        </w:sectPr>
      </w:pPr>
    </w:p>
    <w:p w:rsidR="00000000" w:rsidRDefault="008E0239">
      <w:pPr>
        <w:jc w:val="left"/>
        <w:rPr>
          <w:rFonts w:ascii="黑体" w:eastAsia="黑体" w:hAnsi="黑体" w:cs="黑体" w:hint="eastAsia"/>
          <w:sz w:val="32"/>
          <w:szCs w:val="32"/>
          <w:lang w:val="en"/>
        </w:rPr>
      </w:pPr>
      <w:r>
        <w:rPr>
          <w:rFonts w:ascii="黑体" w:eastAsia="黑体" w:hAnsi="黑体" w:cs="黑体" w:hint="eastAsia"/>
          <w:sz w:val="32"/>
          <w:szCs w:val="32"/>
        </w:rPr>
        <w:lastRenderedPageBreak/>
        <w:t>附件</w:t>
      </w:r>
      <w:r>
        <w:rPr>
          <w:rFonts w:ascii="黑体" w:eastAsia="黑体" w:hAnsi="黑体" w:cs="黑体" w:hint="eastAsia"/>
          <w:sz w:val="32"/>
          <w:szCs w:val="32"/>
          <w:lang w:val="en"/>
        </w:rPr>
        <w:t>2</w:t>
      </w:r>
    </w:p>
    <w:p w:rsidR="00000000" w:rsidRDefault="008E0239">
      <w:pPr>
        <w:snapToGrid w:val="0"/>
        <w:spacing w:line="560" w:lineRule="exact"/>
        <w:jc w:val="center"/>
        <w:rPr>
          <w:rFonts w:eastAsia="方正小标宋简体"/>
          <w:sz w:val="44"/>
          <w:szCs w:val="44"/>
        </w:rPr>
      </w:pPr>
    </w:p>
    <w:p w:rsidR="00000000" w:rsidRDefault="008E0239">
      <w:pPr>
        <w:spacing w:line="560" w:lineRule="exact"/>
        <w:jc w:val="center"/>
        <w:rPr>
          <w:rFonts w:eastAsia="方正小标宋简体"/>
          <w:sz w:val="44"/>
          <w:szCs w:val="44"/>
        </w:rPr>
      </w:pPr>
      <w:r>
        <w:rPr>
          <w:rFonts w:eastAsia="方正小标宋简体"/>
          <w:sz w:val="44"/>
          <w:szCs w:val="44"/>
        </w:rPr>
        <w:t>《国家药</w:t>
      </w:r>
      <w:r>
        <w:rPr>
          <w:rFonts w:eastAsia="方正小标宋简体"/>
          <w:sz w:val="44"/>
          <w:szCs w:val="44"/>
        </w:rPr>
        <w:t>监局关于进一步优化临床急需境外已上市药品审评审批</w:t>
      </w:r>
    </w:p>
    <w:p w:rsidR="00000000" w:rsidRDefault="008E0239">
      <w:pPr>
        <w:spacing w:line="560" w:lineRule="exact"/>
        <w:jc w:val="center"/>
        <w:rPr>
          <w:rFonts w:eastAsia="方正小标宋简体"/>
          <w:sz w:val="44"/>
          <w:szCs w:val="44"/>
        </w:rPr>
      </w:pPr>
      <w:r>
        <w:rPr>
          <w:rFonts w:eastAsia="方正小标宋简体" w:hint="eastAsia"/>
          <w:sz w:val="44"/>
          <w:szCs w:val="44"/>
        </w:rPr>
        <w:t>有</w:t>
      </w:r>
      <w:r>
        <w:rPr>
          <w:rFonts w:eastAsia="方正小标宋简体"/>
          <w:sz w:val="44"/>
          <w:szCs w:val="44"/>
        </w:rPr>
        <w:t>关事项的公告</w:t>
      </w:r>
      <w:r>
        <w:rPr>
          <w:rFonts w:ascii="方正小标宋简体" w:eastAsia="方正小标宋简体" w:hint="eastAsia"/>
          <w:sz w:val="44"/>
          <w:szCs w:val="44"/>
        </w:rPr>
        <w:t>（</w:t>
      </w:r>
      <w:r>
        <w:rPr>
          <w:rFonts w:ascii="方正小标宋简体" w:eastAsia="方正小标宋简体" w:hint="eastAsia"/>
          <w:sz w:val="44"/>
          <w:szCs w:val="44"/>
        </w:rPr>
        <w:t>征求意见稿</w:t>
      </w:r>
      <w:r>
        <w:rPr>
          <w:rFonts w:ascii="方正小标宋简体" w:eastAsia="方正小标宋简体" w:hint="eastAsia"/>
          <w:sz w:val="44"/>
          <w:szCs w:val="44"/>
        </w:rPr>
        <w:t>）</w:t>
      </w:r>
      <w:r>
        <w:rPr>
          <w:rFonts w:eastAsia="方正小标宋简体"/>
          <w:sz w:val="44"/>
          <w:szCs w:val="44"/>
        </w:rPr>
        <w:t>》意见反馈表</w:t>
      </w:r>
    </w:p>
    <w:p w:rsidR="00000000" w:rsidRDefault="008E0239">
      <w:pPr>
        <w:snapToGrid w:val="0"/>
        <w:spacing w:line="560" w:lineRule="exact"/>
        <w:jc w:val="center"/>
        <w:rPr>
          <w:rFonts w:eastAsia="方正小标宋简体"/>
          <w:sz w:val="44"/>
          <w:szCs w:val="44"/>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52"/>
        <w:gridCol w:w="3260"/>
        <w:gridCol w:w="3205"/>
        <w:gridCol w:w="3943"/>
        <w:gridCol w:w="3402"/>
      </w:tblGrid>
      <w:tr w:rsidR="00000000">
        <w:trPr>
          <w:trHeight w:val="819"/>
          <w:jc w:val="center"/>
        </w:trPr>
        <w:tc>
          <w:tcPr>
            <w:tcW w:w="14562" w:type="dxa"/>
            <w:gridSpan w:val="5"/>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单位</w:t>
            </w:r>
            <w:r>
              <w:rPr>
                <w:rFonts w:ascii="黑体" w:eastAsia="黑体" w:hAnsi="黑体" w:cs="黑体" w:hint="eastAsia"/>
                <w:bCs/>
                <w:color w:val="000000"/>
                <w:kern w:val="0"/>
                <w:sz w:val="24"/>
                <w:szCs w:val="21"/>
              </w:rPr>
              <w:t>/</w:t>
            </w:r>
            <w:r>
              <w:rPr>
                <w:rFonts w:ascii="黑体" w:eastAsia="黑体" w:hAnsi="黑体" w:cs="黑体" w:hint="eastAsia"/>
                <w:bCs/>
                <w:color w:val="000000"/>
                <w:kern w:val="0"/>
                <w:sz w:val="24"/>
                <w:szCs w:val="21"/>
              </w:rPr>
              <w:t>企业名称</w:t>
            </w:r>
          </w:p>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填写人</w:t>
            </w:r>
          </w:p>
        </w:tc>
      </w:tr>
      <w:tr w:rsidR="00000000">
        <w:trPr>
          <w:trHeight w:val="763"/>
          <w:jc w:val="center"/>
        </w:trPr>
        <w:tc>
          <w:tcPr>
            <w:tcW w:w="14562" w:type="dxa"/>
            <w:gridSpan w:val="5"/>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联系电话</w:t>
            </w:r>
            <w:r>
              <w:rPr>
                <w:rFonts w:ascii="黑体" w:eastAsia="黑体" w:hAnsi="黑体" w:cs="黑体" w:hint="eastAsia"/>
                <w:bCs/>
                <w:color w:val="000000"/>
                <w:kern w:val="0"/>
                <w:sz w:val="24"/>
                <w:szCs w:val="21"/>
              </w:rPr>
              <w:t>/</w:t>
            </w:r>
            <w:r>
              <w:rPr>
                <w:rFonts w:ascii="黑体" w:eastAsia="黑体" w:hAnsi="黑体" w:cs="黑体" w:hint="eastAsia"/>
                <w:bCs/>
                <w:color w:val="000000"/>
                <w:kern w:val="0"/>
                <w:sz w:val="24"/>
                <w:szCs w:val="21"/>
              </w:rPr>
              <w:t>手机</w:t>
            </w:r>
          </w:p>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电子邮箱　</w:t>
            </w:r>
          </w:p>
        </w:tc>
      </w:tr>
      <w:tr w:rsidR="00000000">
        <w:trPr>
          <w:trHeight w:val="835"/>
          <w:jc w:val="center"/>
        </w:trPr>
        <w:tc>
          <w:tcPr>
            <w:tcW w:w="752" w:type="dxa"/>
            <w:tcBorders>
              <w:tl2br w:val="nil"/>
              <w:tr2bl w:val="nil"/>
            </w:tcBorders>
            <w:vAlign w:val="center"/>
          </w:tcPr>
          <w:p w:rsidR="00000000" w:rsidRDefault="008E0239">
            <w:pPr>
              <w:jc w:val="center"/>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序号</w:t>
            </w:r>
          </w:p>
        </w:tc>
        <w:tc>
          <w:tcPr>
            <w:tcW w:w="3260" w:type="dxa"/>
            <w:tcBorders>
              <w:tl2br w:val="nil"/>
              <w:tr2bl w:val="nil"/>
            </w:tcBorders>
            <w:vAlign w:val="center"/>
          </w:tcPr>
          <w:p w:rsidR="00000000" w:rsidRDefault="008E0239">
            <w:pPr>
              <w:jc w:val="center"/>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修订的位置（</w:t>
            </w:r>
            <w:r>
              <w:rPr>
                <w:rFonts w:ascii="黑体" w:eastAsia="黑体" w:hAnsi="黑体" w:cs="黑体" w:hint="eastAsia"/>
                <w:bCs/>
                <w:color w:val="000000"/>
                <w:kern w:val="0"/>
                <w:sz w:val="24"/>
                <w:szCs w:val="21"/>
              </w:rPr>
              <w:t>第</w:t>
            </w:r>
            <w:r>
              <w:rPr>
                <w:rFonts w:ascii="黑体" w:eastAsia="黑体" w:hAnsi="黑体" w:cs="黑体" w:hint="eastAsia"/>
                <w:bCs/>
                <w:color w:val="000000"/>
                <w:kern w:val="0"/>
                <w:sz w:val="24"/>
                <w:szCs w:val="21"/>
              </w:rPr>
              <w:t>*</w:t>
            </w:r>
            <w:r>
              <w:rPr>
                <w:rFonts w:ascii="黑体" w:eastAsia="黑体" w:hAnsi="黑体" w:cs="黑体" w:hint="eastAsia"/>
                <w:bCs/>
                <w:color w:val="000000"/>
                <w:kern w:val="0"/>
                <w:sz w:val="24"/>
                <w:szCs w:val="21"/>
              </w:rPr>
              <w:t>条</w:t>
            </w:r>
            <w:r>
              <w:rPr>
                <w:rFonts w:ascii="黑体" w:eastAsia="黑体" w:hAnsi="黑体" w:cs="黑体" w:hint="eastAsia"/>
                <w:bCs/>
                <w:color w:val="000000"/>
                <w:kern w:val="0"/>
                <w:sz w:val="24"/>
                <w:szCs w:val="21"/>
              </w:rPr>
              <w:t>）</w:t>
            </w:r>
          </w:p>
        </w:tc>
        <w:tc>
          <w:tcPr>
            <w:tcW w:w="3205" w:type="dxa"/>
            <w:tcBorders>
              <w:tl2br w:val="nil"/>
              <w:tr2bl w:val="nil"/>
            </w:tcBorders>
            <w:vAlign w:val="center"/>
          </w:tcPr>
          <w:p w:rsidR="00000000" w:rsidRDefault="008E0239">
            <w:pPr>
              <w:jc w:val="center"/>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修订的内容（原文）</w:t>
            </w:r>
          </w:p>
        </w:tc>
        <w:tc>
          <w:tcPr>
            <w:tcW w:w="3943" w:type="dxa"/>
            <w:tcBorders>
              <w:tl2br w:val="nil"/>
              <w:tr2bl w:val="nil"/>
            </w:tcBorders>
            <w:vAlign w:val="center"/>
          </w:tcPr>
          <w:p w:rsidR="00000000" w:rsidRDefault="008E0239">
            <w:pPr>
              <w:jc w:val="center"/>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修订</w:t>
            </w:r>
            <w:r>
              <w:rPr>
                <w:rFonts w:ascii="黑体" w:eastAsia="黑体" w:hAnsi="黑体" w:cs="黑体" w:hint="eastAsia"/>
                <w:bCs/>
                <w:color w:val="000000"/>
                <w:kern w:val="0"/>
                <w:sz w:val="24"/>
                <w:szCs w:val="21"/>
              </w:rPr>
              <w:t>的</w:t>
            </w:r>
            <w:r>
              <w:rPr>
                <w:rFonts w:ascii="黑体" w:eastAsia="黑体" w:hAnsi="黑体" w:cs="黑体" w:hint="eastAsia"/>
                <w:bCs/>
                <w:color w:val="000000"/>
                <w:kern w:val="0"/>
                <w:sz w:val="24"/>
                <w:szCs w:val="21"/>
              </w:rPr>
              <w:t>建议</w:t>
            </w:r>
          </w:p>
        </w:tc>
        <w:tc>
          <w:tcPr>
            <w:tcW w:w="3402" w:type="dxa"/>
            <w:tcBorders>
              <w:tl2br w:val="nil"/>
              <w:tr2bl w:val="nil"/>
            </w:tcBorders>
            <w:vAlign w:val="center"/>
          </w:tcPr>
          <w:p w:rsidR="00000000" w:rsidRDefault="008E0239">
            <w:pPr>
              <w:jc w:val="center"/>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理由或依据</w:t>
            </w:r>
          </w:p>
        </w:tc>
      </w:tr>
      <w:tr w:rsidR="00000000">
        <w:trPr>
          <w:trHeight w:val="629"/>
          <w:jc w:val="center"/>
        </w:trPr>
        <w:tc>
          <w:tcPr>
            <w:tcW w:w="752" w:type="dxa"/>
            <w:tcBorders>
              <w:tl2br w:val="nil"/>
              <w:tr2bl w:val="nil"/>
            </w:tcBorders>
            <w:vAlign w:val="center"/>
          </w:tcPr>
          <w:p w:rsidR="00000000" w:rsidRDefault="008E0239">
            <w:pPr>
              <w:jc w:val="center"/>
              <w:rPr>
                <w:rFonts w:eastAsia="黑体"/>
                <w:bCs/>
                <w:color w:val="000000"/>
                <w:kern w:val="0"/>
                <w:sz w:val="24"/>
                <w:szCs w:val="21"/>
              </w:rPr>
            </w:pPr>
            <w:r>
              <w:rPr>
                <w:rFonts w:eastAsia="黑体"/>
                <w:bCs/>
                <w:color w:val="000000"/>
                <w:kern w:val="0"/>
                <w:sz w:val="24"/>
                <w:szCs w:val="21"/>
              </w:rPr>
              <w:t>1</w:t>
            </w:r>
          </w:p>
        </w:tc>
        <w:tc>
          <w:tcPr>
            <w:tcW w:w="3260"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　</w:t>
            </w:r>
          </w:p>
        </w:tc>
        <w:tc>
          <w:tcPr>
            <w:tcW w:w="3205"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　</w:t>
            </w:r>
          </w:p>
        </w:tc>
        <w:tc>
          <w:tcPr>
            <w:tcW w:w="3943"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　</w:t>
            </w:r>
          </w:p>
        </w:tc>
        <w:tc>
          <w:tcPr>
            <w:tcW w:w="3402"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　</w:t>
            </w:r>
          </w:p>
        </w:tc>
      </w:tr>
      <w:tr w:rsidR="00000000">
        <w:trPr>
          <w:trHeight w:val="645"/>
          <w:jc w:val="center"/>
        </w:trPr>
        <w:tc>
          <w:tcPr>
            <w:tcW w:w="752" w:type="dxa"/>
            <w:tcBorders>
              <w:tl2br w:val="nil"/>
              <w:tr2bl w:val="nil"/>
            </w:tcBorders>
            <w:vAlign w:val="center"/>
          </w:tcPr>
          <w:p w:rsidR="00000000" w:rsidRDefault="008E0239">
            <w:pPr>
              <w:jc w:val="center"/>
              <w:rPr>
                <w:rFonts w:eastAsia="黑体"/>
                <w:bCs/>
                <w:color w:val="000000"/>
                <w:kern w:val="0"/>
                <w:sz w:val="24"/>
                <w:szCs w:val="21"/>
              </w:rPr>
            </w:pPr>
            <w:r>
              <w:rPr>
                <w:rFonts w:eastAsia="黑体"/>
                <w:bCs/>
                <w:color w:val="000000"/>
                <w:kern w:val="0"/>
                <w:sz w:val="24"/>
                <w:szCs w:val="21"/>
              </w:rPr>
              <w:t>2</w:t>
            </w:r>
          </w:p>
        </w:tc>
        <w:tc>
          <w:tcPr>
            <w:tcW w:w="3260"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　</w:t>
            </w:r>
          </w:p>
        </w:tc>
        <w:tc>
          <w:tcPr>
            <w:tcW w:w="3205"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　</w:t>
            </w:r>
          </w:p>
        </w:tc>
        <w:tc>
          <w:tcPr>
            <w:tcW w:w="3943"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　</w:t>
            </w:r>
          </w:p>
        </w:tc>
        <w:tc>
          <w:tcPr>
            <w:tcW w:w="3402"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 xml:space="preserve">　</w:t>
            </w:r>
          </w:p>
        </w:tc>
      </w:tr>
      <w:tr w:rsidR="00000000">
        <w:trPr>
          <w:trHeight w:val="569"/>
          <w:jc w:val="center"/>
        </w:trPr>
        <w:tc>
          <w:tcPr>
            <w:tcW w:w="752" w:type="dxa"/>
            <w:tcBorders>
              <w:tl2br w:val="nil"/>
              <w:tr2bl w:val="nil"/>
            </w:tcBorders>
            <w:vAlign w:val="center"/>
          </w:tcPr>
          <w:p w:rsidR="00000000" w:rsidRDefault="008E0239">
            <w:pPr>
              <w:jc w:val="center"/>
              <w:rPr>
                <w:rFonts w:eastAsia="黑体" w:hint="eastAsia"/>
                <w:bCs/>
                <w:color w:val="000000"/>
                <w:kern w:val="0"/>
                <w:sz w:val="24"/>
                <w:szCs w:val="21"/>
              </w:rPr>
            </w:pPr>
            <w:r>
              <w:rPr>
                <w:rFonts w:eastAsia="黑体" w:hint="eastAsia"/>
                <w:bCs/>
                <w:color w:val="000000"/>
                <w:kern w:val="0"/>
                <w:sz w:val="24"/>
                <w:szCs w:val="21"/>
              </w:rPr>
              <w:t>3</w:t>
            </w:r>
          </w:p>
        </w:tc>
        <w:tc>
          <w:tcPr>
            <w:tcW w:w="3260"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p>
        </w:tc>
        <w:tc>
          <w:tcPr>
            <w:tcW w:w="3205"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p>
        </w:tc>
        <w:tc>
          <w:tcPr>
            <w:tcW w:w="3943"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p>
        </w:tc>
        <w:tc>
          <w:tcPr>
            <w:tcW w:w="3402" w:type="dxa"/>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p>
        </w:tc>
      </w:tr>
      <w:tr w:rsidR="00000000">
        <w:trPr>
          <w:trHeight w:val="562"/>
          <w:jc w:val="center"/>
        </w:trPr>
        <w:tc>
          <w:tcPr>
            <w:tcW w:w="14562" w:type="dxa"/>
            <w:gridSpan w:val="5"/>
            <w:tcBorders>
              <w:tl2br w:val="nil"/>
              <w:tr2bl w:val="nil"/>
            </w:tcBorders>
            <w:vAlign w:val="center"/>
          </w:tcPr>
          <w:p w:rsidR="00000000" w:rsidRDefault="008E0239">
            <w:pPr>
              <w:jc w:val="left"/>
              <w:rPr>
                <w:rFonts w:ascii="黑体" w:eastAsia="黑体" w:hAnsi="黑体" w:cs="黑体" w:hint="eastAsia"/>
                <w:bCs/>
                <w:color w:val="000000"/>
                <w:kern w:val="0"/>
                <w:sz w:val="24"/>
                <w:szCs w:val="21"/>
              </w:rPr>
            </w:pPr>
            <w:r>
              <w:rPr>
                <w:rFonts w:ascii="黑体" w:eastAsia="黑体" w:hAnsi="黑体" w:cs="黑体" w:hint="eastAsia"/>
                <w:bCs/>
                <w:color w:val="000000"/>
                <w:kern w:val="0"/>
                <w:sz w:val="24"/>
                <w:szCs w:val="21"/>
              </w:rPr>
              <w:t>其他建议：</w:t>
            </w:r>
          </w:p>
        </w:tc>
      </w:tr>
    </w:tbl>
    <w:p w:rsidR="008E0239" w:rsidRDefault="008E0239">
      <w:pPr>
        <w:rPr>
          <w:rFonts w:ascii="仿宋_GB2312" w:eastAsia="仿宋_GB2312" w:hint="eastAsia"/>
          <w:sz w:val="28"/>
          <w:szCs w:val="28"/>
        </w:rPr>
      </w:pPr>
    </w:p>
    <w:sectPr w:rsidR="008E0239">
      <w:pgSz w:w="16838" w:h="11906" w:orient="landscape"/>
      <w:pgMar w:top="1531" w:right="1814" w:bottom="1531" w:left="1814"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239" w:rsidRDefault="008E0239">
      <w:r>
        <w:separator/>
      </w:r>
    </w:p>
  </w:endnote>
  <w:endnote w:type="continuationSeparator" w:id="0">
    <w:p w:rsidR="008E0239" w:rsidRDefault="008E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Nimbus Roman No9 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E5FBE">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3175" r="0"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E0239">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E5FBE">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8E0239">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E5FBE">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239" w:rsidRDefault="008E0239">
      <w:r>
        <w:separator/>
      </w:r>
    </w:p>
  </w:footnote>
  <w:footnote w:type="continuationSeparator" w:id="0">
    <w:p w:rsidR="008E0239" w:rsidRDefault="008E0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56CD5"/>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7E5FBE"/>
    <w:rsid w:val="00810BF8"/>
    <w:rsid w:val="00834B83"/>
    <w:rsid w:val="00843985"/>
    <w:rsid w:val="00871284"/>
    <w:rsid w:val="0087177C"/>
    <w:rsid w:val="0087484E"/>
    <w:rsid w:val="00874A57"/>
    <w:rsid w:val="00881440"/>
    <w:rsid w:val="0089278B"/>
    <w:rsid w:val="008C461A"/>
    <w:rsid w:val="008C6209"/>
    <w:rsid w:val="008D69AA"/>
    <w:rsid w:val="008E0239"/>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1FA76DCB"/>
    <w:rsid w:val="26D734E3"/>
    <w:rsid w:val="2AFBADB6"/>
    <w:rsid w:val="2B98A33E"/>
    <w:rsid w:val="2D507037"/>
    <w:rsid w:val="2D8253D0"/>
    <w:rsid w:val="311F20B3"/>
    <w:rsid w:val="334D7CFE"/>
    <w:rsid w:val="36EDF92F"/>
    <w:rsid w:val="37F76ABE"/>
    <w:rsid w:val="3A7F1830"/>
    <w:rsid w:val="3D7F414B"/>
    <w:rsid w:val="3FFF1769"/>
    <w:rsid w:val="43D85486"/>
    <w:rsid w:val="476B1D48"/>
    <w:rsid w:val="4CFEED9F"/>
    <w:rsid w:val="539F4C57"/>
    <w:rsid w:val="57CE6FC3"/>
    <w:rsid w:val="5DDF344A"/>
    <w:rsid w:val="5FFF639E"/>
    <w:rsid w:val="5FFF9FEB"/>
    <w:rsid w:val="5FFFC830"/>
    <w:rsid w:val="67CF2063"/>
    <w:rsid w:val="6C95179E"/>
    <w:rsid w:val="6DE7E70A"/>
    <w:rsid w:val="6ED415F7"/>
    <w:rsid w:val="6FD3265C"/>
    <w:rsid w:val="73FF7E54"/>
    <w:rsid w:val="778061B1"/>
    <w:rsid w:val="7B4E21E4"/>
    <w:rsid w:val="7BDFB42E"/>
    <w:rsid w:val="7C491389"/>
    <w:rsid w:val="7CFDC4AA"/>
    <w:rsid w:val="7EF5F583"/>
    <w:rsid w:val="7F3FB784"/>
    <w:rsid w:val="7FAD91A6"/>
    <w:rsid w:val="7FBA0900"/>
    <w:rsid w:val="7FDD192E"/>
    <w:rsid w:val="7FEBA3C3"/>
    <w:rsid w:val="7FFDD257"/>
    <w:rsid w:val="9FFD8009"/>
    <w:rsid w:val="AAF76925"/>
    <w:rsid w:val="AAF7F054"/>
    <w:rsid w:val="B77BFA43"/>
    <w:rsid w:val="B7FF24A5"/>
    <w:rsid w:val="BF0F736E"/>
    <w:rsid w:val="BF5F5B49"/>
    <w:rsid w:val="BFEF1CBB"/>
    <w:rsid w:val="C790FE3A"/>
    <w:rsid w:val="D7F3F425"/>
    <w:rsid w:val="D7FD0EFC"/>
    <w:rsid w:val="DFFDBB4D"/>
    <w:rsid w:val="E34C5123"/>
    <w:rsid w:val="EDD8CE93"/>
    <w:rsid w:val="EFEF82B7"/>
    <w:rsid w:val="F3F7F3BA"/>
    <w:rsid w:val="F7BCD4C8"/>
    <w:rsid w:val="F7FC6641"/>
    <w:rsid w:val="F9FF5AD7"/>
    <w:rsid w:val="FF87B824"/>
    <w:rsid w:val="FFBFB44E"/>
    <w:rsid w:val="FFFF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4A67C7-5FE8-4939-B675-F9ECEEF8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844</Characters>
  <Application>Microsoft Office Word</Application>
  <DocSecurity>0</DocSecurity>
  <Lines>7</Lines>
  <Paragraphs>1</Paragraphs>
  <ScaleCrop>false</ScaleCrop>
  <Company>Xtzj.Com</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2024-06-25T18:04:00Z</cp:lastPrinted>
  <dcterms:created xsi:type="dcterms:W3CDTF">2024-06-25T06:17:00Z</dcterms:created>
  <dcterms:modified xsi:type="dcterms:W3CDTF">2024-06-25T06:17:00Z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20DBB20FDE5679F4A22C7A666F1D91A2</vt:lpwstr>
  </property>
</Properties>
</file>