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ind w:left="3"/>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03.080.99</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A 16</w:t>
            </w:r>
            <w:r>
              <w:rPr>
                <w:rFonts w:ascii="黑体" w:hAnsi="黑体" w:eastAsia="黑体"/>
                <w:sz w:val="21"/>
                <w:szCs w:val="21"/>
              </w:rPr>
              <w:fldChar w:fldCharType="end"/>
            </w:r>
            <w:bookmarkEnd w:id="1"/>
          </w:p>
        </w:tc>
      </w:tr>
    </w:tbl>
    <w:tbl>
      <w:tblPr>
        <w:tblStyle w:val="28"/>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pPr>
              <w:pStyle w:val="50"/>
              <w:framePr w:w="0" w:hRule="auto" w:wrap="auto" w:vAnchor="margin" w:hAnchor="text" w:xAlign="left" w:yAlign="inline"/>
              <w:ind w:firstLine="420"/>
            </w:pPr>
            <w:bookmarkStart w:id="2" w:name="_Hlk26473981"/>
            <w:r>
              <w:fldChar w:fldCharType="begin">
                <w:ffData>
                  <w:name w:val="c1"/>
                  <w:enabled/>
                  <w:calcOnExit w:val="0"/>
                  <w:textInput>
                    <w:maxLength w:val="8"/>
                  </w:textInput>
                </w:ffData>
              </w:fldChar>
            </w:r>
            <w:bookmarkStart w:id="3" w:name="c1"/>
            <w:r>
              <w:instrText xml:space="preserve"> FORMTEXT </w:instrText>
            </w:r>
            <w:r>
              <w:fldChar w:fldCharType="separate"/>
            </w:r>
            <w:r>
              <w:t xml:space="preserve"> MZ</w:t>
            </w:r>
            <w:r>
              <w:fldChar w:fldCharType="end"/>
            </w:r>
            <w:bookmarkEnd w:id="3"/>
          </w:p>
        </w:tc>
      </w:tr>
    </w:tbl>
    <w:p>
      <w:pPr>
        <w:pStyle w:val="51"/>
        <w:framePr w:w="9639" w:h="624" w:hRule="exact" w:hSpace="181" w:vSpace="181" w:wrap="around" w:hAnchor="page" w:x="1305" w:y="2269"/>
        <w:rPr>
          <w:rFonts w:ascii="黑体" w:hAnsi="黑体" w:eastAsia="黑体"/>
          <w:b w:val="0"/>
          <w:bCs w:val="0"/>
          <w:w w:val="100"/>
          <w:sz w:val="48"/>
          <w:szCs w:val="48"/>
        </w:rPr>
      </w:pPr>
      <w:r>
        <w:rPr>
          <w:rFonts w:hint="eastAsia" w:ascii="黑体" w:hAnsi="黑体" w:eastAsia="黑体"/>
          <w:b w:val="0"/>
          <w:bCs w:val="0"/>
          <w:w w:val="100"/>
          <w:sz w:val="48"/>
          <w:szCs w:val="48"/>
        </w:rPr>
        <w:t>中华人民共和国</w:t>
      </w:r>
      <w:r>
        <w:rPr>
          <w:rFonts w:ascii="黑体" w:eastAsia="黑体"/>
          <w:b w:val="0"/>
          <w:bCs w:val="0"/>
          <w:w w:val="100"/>
          <w:sz w:val="48"/>
        </w:rPr>
        <w:fldChar w:fldCharType="begin">
          <w:ffData>
            <w:name w:val="c2"/>
            <w:enabled/>
            <w:calcOnExit w:val="0"/>
            <w:textInput/>
          </w:ffData>
        </w:fldChar>
      </w:r>
      <w:bookmarkStart w:id="4" w:name="c2"/>
      <w:r>
        <w:rPr>
          <w:rFonts w:ascii="黑体" w:eastAsia="黑体"/>
          <w:b w:val="0"/>
          <w:bCs w:val="0"/>
          <w:w w:val="100"/>
          <w:sz w:val="48"/>
        </w:rPr>
        <w:instrText xml:space="preserve"> FORMTEXT </w:instrText>
      </w:r>
      <w:r>
        <w:rPr>
          <w:rFonts w:ascii="黑体" w:eastAsia="黑体"/>
          <w:b w:val="0"/>
          <w:bCs w:val="0"/>
          <w:w w:val="100"/>
          <w:sz w:val="48"/>
        </w:rPr>
        <w:fldChar w:fldCharType="separate"/>
      </w:r>
      <w:r>
        <w:rPr>
          <w:rFonts w:hint="eastAsia" w:ascii="黑体" w:eastAsia="黑体"/>
          <w:b w:val="0"/>
          <w:bCs w:val="0"/>
          <w:w w:val="100"/>
          <w:sz w:val="48"/>
        </w:rPr>
        <w:t>民政</w:t>
      </w:r>
      <w:r>
        <w:rPr>
          <w:rFonts w:ascii="黑体" w:eastAsia="黑体"/>
          <w:b w:val="0"/>
          <w:bCs w:val="0"/>
          <w:w w:val="100"/>
          <w:sz w:val="48"/>
        </w:rPr>
        <w:fldChar w:fldCharType="end"/>
      </w:r>
      <w:bookmarkEnd w:id="4"/>
      <w:r>
        <w:rPr>
          <w:rFonts w:hint="eastAsia" w:ascii="黑体" w:hAnsi="黑体" w:eastAsia="黑体"/>
          <w:b w:val="0"/>
          <w:bCs w:val="0"/>
          <w:w w:val="100"/>
          <w:sz w:val="48"/>
          <w:szCs w:val="48"/>
        </w:rPr>
        <w:t>行业标准</w:t>
      </w:r>
    </w:p>
    <w:bookmarkEnd w:id="2"/>
    <w:p>
      <w:pPr>
        <w:pStyle w:val="196"/>
        <w:framePr/>
        <w:rPr>
          <w:lang w:val="fr-FR"/>
        </w:rPr>
      </w:pP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t>MZ</w:t>
      </w:r>
      <w:r>
        <w:rPr>
          <w:lang w:val="fr-FR"/>
        </w:rPr>
        <w:t>/T</w:t>
      </w:r>
      <w:r>
        <w:fldChar w:fldCharType="end"/>
      </w:r>
      <w:bookmarkEnd w:id="5"/>
      <w:r>
        <w:rPr>
          <w:lang w:val="fr-FR"/>
        </w:rPr>
        <w:t xml:space="preserve"> </w:t>
      </w:r>
      <w:r>
        <w:fldChar w:fldCharType="begin">
          <w:ffData>
            <w:name w:val="NSTD_CODE_F"/>
            <w:enabled/>
            <w:calcOnExit w:val="0"/>
            <w:textInput>
              <w:default w:val="XXXXX"/>
            </w:textInput>
          </w:ffData>
        </w:fldChar>
      </w:r>
      <w:bookmarkStart w:id="6" w:name="NSTD_CODE_F"/>
      <w:r>
        <w:rPr>
          <w:lang w:val="fr-FR"/>
        </w:rPr>
        <w:instrText xml:space="preserve"> FORMTEXT </w:instrText>
      </w:r>
      <w:r>
        <w:fldChar w:fldCharType="separate"/>
      </w:r>
      <w:r>
        <w:rPr>
          <w:lang w:val="fr-FR"/>
        </w:rPr>
        <w:t>XXXXX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spacing w:line="240" w:lineRule="auto"/>
        <w:rPr>
          <w:rFonts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1"/>
        <w:framePr w:w="9639" w:h="6976" w:hRule="exact" w:hSpace="0" w:vSpace="0" w:wrap="around" w:hAnchor="page" w:y="6408"/>
        <w:jc w:val="center"/>
        <w:rPr>
          <w:rFonts w:ascii="黑体" w:hAnsi="黑体" w:eastAsia="黑体"/>
          <w:b w:val="0"/>
          <w:bCs w:val="0"/>
          <w:w w:val="100"/>
          <w:lang w:val="fr-FR"/>
        </w:rPr>
      </w:pPr>
    </w:p>
    <w:p>
      <w:pPr>
        <w:pStyle w:val="198"/>
        <w:framePr w:h="6974" w:hRule="exact" w:wrap="around"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t>养老机构文娱服务安全规范</w:t>
      </w:r>
      <w:r>
        <w:fldChar w:fldCharType="end"/>
      </w:r>
      <w:bookmarkEnd w:id="8"/>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fldChar w:fldCharType="separate"/>
      </w:r>
      <w:r>
        <w:rPr>
          <w:rFonts w:eastAsia="黑体"/>
          <w:szCs w:val="28"/>
        </w:rPr>
        <w:t>Safety specification of cultural and entertainment services for senior care organization</w:t>
      </w:r>
      <w:r>
        <w:rPr>
          <w:rFonts w:eastAsia="黑体"/>
          <w:szCs w:val="28"/>
        </w:rPr>
        <w:fldChar w:fldCharType="end"/>
      </w:r>
      <w:bookmarkEnd w:id="9"/>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0"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10"/>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中华人民共和国民政部</w:t>
      </w:r>
      <w:r>
        <w:rPr>
          <w:rFonts w:hAnsi="黑体"/>
          <w:w w:val="100"/>
          <w:sz w:val="28"/>
        </w:rPr>
        <w:fldChar w:fldCharType="end"/>
      </w:r>
      <w:bookmarkEnd w:id="20"/>
      <w:r>
        <w:rPr>
          <w:rFonts w:ascii="Times New Roman"/>
          <w:w w:val="100"/>
          <w:sz w:val="28"/>
          <w:szCs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021"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2"/>
        <w:spacing w:after="360"/>
      </w:pPr>
      <w:bookmarkStart w:id="21" w:name="BookMark1"/>
      <w:bookmarkStart w:id="22" w:name="_Toc142903895"/>
      <w:bookmarkStart w:id="23" w:name="_Toc25835"/>
      <w:bookmarkStart w:id="24" w:name="_Toc142903874"/>
      <w:bookmarkStart w:id="25" w:name="_Toc142905848"/>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"_Toc142919031" </w:instrText>
      </w:r>
      <w:r>
        <w:fldChar w:fldCharType="separate"/>
      </w:r>
      <w:r>
        <w:rPr>
          <w:rStyle w:val="33"/>
          <w:rFonts w:hint="eastAsia"/>
        </w:rPr>
        <w:t>前言</w:t>
      </w:r>
      <w:r>
        <w:tab/>
      </w:r>
      <w:r>
        <w:fldChar w:fldCharType="begin"/>
      </w:r>
      <w:r>
        <w:instrText xml:space="preserve"> PAGEREF _Toc142919031 \h </w:instrText>
      </w:r>
      <w:r>
        <w:fldChar w:fldCharType="separate"/>
      </w:r>
      <w:r>
        <w:t>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"_Toc142919032" </w:instrText>
      </w:r>
      <w:r>
        <w:fldChar w:fldCharType="separate"/>
      </w:r>
      <w:r>
        <w:rPr>
          <w:rStyle w:val="33"/>
        </w:rPr>
        <w:t xml:space="preserve">1 </w:t>
      </w:r>
      <w:r>
        <w:rPr>
          <w:rStyle w:val="33"/>
          <w:rFonts w:hint="eastAsia"/>
        </w:rPr>
        <w:t xml:space="preserve"> 范围</w:t>
      </w:r>
      <w:r>
        <w:tab/>
      </w:r>
      <w:r>
        <w:fldChar w:fldCharType="begin"/>
      </w:r>
      <w:r>
        <w:instrText xml:space="preserve"> PAGEREF _Toc142919032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"_Toc142919033" </w:instrText>
      </w:r>
      <w:r>
        <w:fldChar w:fldCharType="separate"/>
      </w:r>
      <w:r>
        <w:rPr>
          <w:rStyle w:val="33"/>
        </w:rPr>
        <w:t xml:space="preserve">2 </w:t>
      </w:r>
      <w:r>
        <w:rPr>
          <w:rStyle w:val="33"/>
          <w:rFonts w:hint="eastAsia"/>
        </w:rPr>
        <w:t xml:space="preserve"> 规范性引用文件</w:t>
      </w:r>
      <w:r>
        <w:tab/>
      </w:r>
      <w:r>
        <w:fldChar w:fldCharType="begin"/>
      </w:r>
      <w:r>
        <w:instrText xml:space="preserve"> PAGEREF _Toc142919033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"_Toc142919034" </w:instrText>
      </w:r>
      <w:r>
        <w:fldChar w:fldCharType="separate"/>
      </w:r>
      <w:r>
        <w:rPr>
          <w:rStyle w:val="33"/>
        </w:rPr>
        <w:t xml:space="preserve">3 </w:t>
      </w:r>
      <w:r>
        <w:rPr>
          <w:rStyle w:val="33"/>
          <w:rFonts w:hint="eastAsia"/>
        </w:rPr>
        <w:t xml:space="preserve"> 术语和定义</w:t>
      </w:r>
      <w:r>
        <w:tab/>
      </w:r>
      <w:r>
        <w:fldChar w:fldCharType="begin"/>
      </w:r>
      <w:r>
        <w:instrText xml:space="preserve"> PAGEREF _Toc142919034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"_Toc142919035" </w:instrText>
      </w:r>
      <w:r>
        <w:fldChar w:fldCharType="separate"/>
      </w:r>
      <w:r>
        <w:rPr>
          <w:rStyle w:val="33"/>
        </w:rPr>
        <w:t xml:space="preserve">4 </w:t>
      </w:r>
      <w:r>
        <w:rPr>
          <w:rStyle w:val="33"/>
          <w:rFonts w:hint="eastAsia"/>
        </w:rPr>
        <w:t xml:space="preserve"> 基本要求</w:t>
      </w:r>
      <w:r>
        <w:tab/>
      </w:r>
      <w:r>
        <w:fldChar w:fldCharType="begin"/>
      </w:r>
      <w:r>
        <w:instrText xml:space="preserve"> PAGEREF _Toc142919035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"_Toc142919036" </w:instrText>
      </w:r>
      <w:r>
        <w:fldChar w:fldCharType="separate"/>
      </w:r>
      <w:r>
        <w:rPr>
          <w:rStyle w:val="33"/>
        </w:rPr>
        <w:t xml:space="preserve">5 </w:t>
      </w:r>
      <w:r>
        <w:rPr>
          <w:rStyle w:val="33"/>
          <w:rFonts w:hint="eastAsia"/>
        </w:rPr>
        <w:t xml:space="preserve"> 服务提供要求</w:t>
      </w:r>
      <w:r>
        <w:tab/>
      </w:r>
      <w:r>
        <w:fldChar w:fldCharType="begin"/>
      </w:r>
      <w:r>
        <w:instrText xml:space="preserve"> PAGEREF _Toc142919036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"_Toc142919037" </w:instrText>
      </w:r>
      <w:r>
        <w:fldChar w:fldCharType="separate"/>
      </w:r>
      <w:r>
        <w:rPr>
          <w:rStyle w:val="33"/>
        </w:rPr>
        <w:t xml:space="preserve">6 </w:t>
      </w:r>
      <w:r>
        <w:rPr>
          <w:rStyle w:val="33"/>
          <w:rFonts w:hint="eastAsia"/>
        </w:rPr>
        <w:t xml:space="preserve"> 风险评估</w:t>
      </w:r>
      <w:r>
        <w:tab/>
      </w:r>
      <w:r>
        <w:fldChar w:fldCharType="begin"/>
      </w:r>
      <w:r>
        <w:instrText xml:space="preserve"> PAGEREF _Toc142919037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"_Toc142919038" </w:instrText>
      </w:r>
      <w:r>
        <w:fldChar w:fldCharType="separate"/>
      </w:r>
      <w:r>
        <w:rPr>
          <w:rStyle w:val="33"/>
        </w:rPr>
        <w:t xml:space="preserve">7 </w:t>
      </w:r>
      <w:r>
        <w:rPr>
          <w:rStyle w:val="33"/>
          <w:rFonts w:hint="eastAsia"/>
        </w:rPr>
        <w:t xml:space="preserve"> 服务防护</w:t>
      </w:r>
      <w:r>
        <w:tab/>
      </w:r>
      <w:r>
        <w:fldChar w:fldCharType="begin"/>
      </w:r>
      <w:r>
        <w:instrText xml:space="preserve"> PAGEREF _Toc142919038 \h </w:instrText>
      </w:r>
      <w:r>
        <w:fldChar w:fldCharType="separate"/>
      </w:r>
      <w:r>
        <w:t>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"_Toc142919039" </w:instrText>
      </w:r>
      <w:r>
        <w:fldChar w:fldCharType="separate"/>
      </w:r>
      <w:r>
        <w:rPr>
          <w:rStyle w:val="33"/>
        </w:rPr>
        <w:t xml:space="preserve">8 </w:t>
      </w:r>
      <w:r>
        <w:rPr>
          <w:rStyle w:val="33"/>
          <w:rFonts w:hint="eastAsia"/>
        </w:rPr>
        <w:t xml:space="preserve"> 应急处置</w:t>
      </w:r>
      <w:r>
        <w:tab/>
      </w:r>
      <w:r>
        <w:fldChar w:fldCharType="begin"/>
      </w:r>
      <w:r>
        <w:instrText xml:space="preserve"> PAGEREF _Toc142919039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"_Toc142919040" </w:instrText>
      </w:r>
      <w:r>
        <w:fldChar w:fldCharType="separate"/>
      </w:r>
      <w:r>
        <w:rPr>
          <w:rStyle w:val="33"/>
        </w:rPr>
        <w:t xml:space="preserve">9 </w:t>
      </w:r>
      <w:r>
        <w:rPr>
          <w:rStyle w:val="33"/>
          <w:rFonts w:hint="eastAsia"/>
        </w:rPr>
        <w:t xml:space="preserve"> 评价与改进</w:t>
      </w:r>
      <w:r>
        <w:tab/>
      </w:r>
      <w:r>
        <w:fldChar w:fldCharType="begin"/>
      </w:r>
      <w:r>
        <w:instrText xml:space="preserve"> PAGEREF _Toc142919040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"_Toc142919041" </w:instrText>
      </w:r>
      <w:r>
        <w:fldChar w:fldCharType="separate"/>
      </w:r>
      <w:r>
        <w:rPr>
          <w:rStyle w:val="33"/>
          <w:rFonts w:hint="eastAsia"/>
        </w:rPr>
        <w:t>参考文献</w:t>
      </w:r>
      <w:r>
        <w:tab/>
      </w:r>
      <w:r>
        <w:fldChar w:fldCharType="begin"/>
      </w:r>
      <w:r>
        <w:instrText xml:space="preserve"> PAGEREF _Toc142919041 \h </w:instrText>
      </w:r>
      <w:r>
        <w:fldChar w:fldCharType="separate"/>
      </w:r>
      <w:r>
        <w:t>4</w:t>
      </w:r>
      <w:r>
        <w:fldChar w:fldCharType="end"/>
      </w:r>
      <w:r>
        <w:fldChar w:fldCharType="end"/>
      </w:r>
    </w:p>
    <w:p>
      <w:pPr>
        <w:pStyle w:val="92"/>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pPr>
        <w:pStyle w:val="90"/>
        <w:spacing w:before="900" w:after="360"/>
      </w:pPr>
      <w:bookmarkStart w:id="26" w:name="_Toc142919031"/>
      <w:bookmarkStart w:id="27" w:name="BookMark2"/>
      <w:r>
        <w:rPr>
          <w:spacing w:val="320"/>
        </w:rPr>
        <w:t>前</w:t>
      </w:r>
      <w:r>
        <w:t>言</w:t>
      </w:r>
      <w:bookmarkEnd w:id="22"/>
      <w:bookmarkEnd w:id="23"/>
      <w:bookmarkEnd w:id="24"/>
      <w:bookmarkEnd w:id="25"/>
      <w:bookmarkEnd w:id="26"/>
    </w:p>
    <w:p>
      <w:pPr>
        <w:pStyle w:val="57"/>
        <w:ind w:firstLine="420"/>
      </w:pPr>
      <w:r>
        <w:rPr>
          <w:rFonts w:hint="eastAsia"/>
        </w:rPr>
        <w:t>本文件按照GB/T 1.1—2020《标准化工作导则  第1部分：标准化文件的结构和起草规则》的规定起草。</w:t>
      </w:r>
    </w:p>
    <w:p>
      <w:pPr>
        <w:pStyle w:val="57"/>
        <w:ind w:firstLine="420"/>
      </w:pPr>
      <w:r>
        <w:rPr>
          <w:rFonts w:hint="eastAsia"/>
        </w:rPr>
        <w:t>请注意本文件的某些内容可能涉及专利。本文件的发布机构不承担识别专利的责任。</w:t>
      </w:r>
    </w:p>
    <w:p>
      <w:pPr>
        <w:pStyle w:val="57"/>
        <w:ind w:firstLine="420"/>
      </w:pPr>
      <w:r>
        <w:rPr>
          <w:rFonts w:hint="eastAsia"/>
        </w:rPr>
        <w:t>本文件由中华人民共和国民政部提出。</w:t>
      </w:r>
    </w:p>
    <w:p>
      <w:pPr>
        <w:pStyle w:val="57"/>
        <w:ind w:firstLine="420"/>
      </w:pPr>
      <w:r>
        <w:rPr>
          <w:rFonts w:hint="eastAsia"/>
        </w:rPr>
        <w:t>本文件由全国社会福利服务标准化技术委员会（SAC/TC 315）归口。</w:t>
      </w:r>
    </w:p>
    <w:p>
      <w:pPr>
        <w:pStyle w:val="57"/>
        <w:ind w:firstLine="420"/>
      </w:pPr>
      <w:r>
        <w:rPr>
          <w:rFonts w:hint="eastAsia"/>
        </w:rPr>
        <w:t>本文件主要起草单位：重庆市民政局、重庆市第一社会福利院、广州市老人院。</w:t>
      </w:r>
    </w:p>
    <w:p>
      <w:pPr>
        <w:pStyle w:val="57"/>
        <w:ind w:firstLine="420"/>
      </w:pPr>
      <w:r>
        <w:rPr>
          <w:rFonts w:hint="eastAsia"/>
        </w:rPr>
        <w:t>本文件主要起草人：杨胜普、彭友谊、田方利、倪伟、刘利、蒋冀、谭皖、赵培庄、范丽华、钟雪、曾静、彭藜、李凤月、赖佳、陈十、陈畅、江渝、周灿、邓世献、钟莲香。</w:t>
      </w:r>
    </w:p>
    <w:p>
      <w:pPr>
        <w:pStyle w:val="57"/>
        <w:ind w:firstLine="420"/>
        <w:sectPr>
          <w:pgSz w:w="11906" w:h="16838"/>
          <w:pgMar w:top="1928" w:right="1134" w:bottom="1134" w:left="1134" w:header="1418" w:footer="1134" w:gutter="284"/>
          <w:pgNumType w:fmt="upperRoman"/>
          <w:cols w:space="425" w:num="1"/>
          <w:formProt w:val="0"/>
          <w:docGrid w:linePitch="312" w:charSpace="0"/>
        </w:sectPr>
      </w:pPr>
    </w:p>
    <w:bookmarkEnd w:id="27"/>
    <w:p>
      <w:pPr>
        <w:spacing w:line="20" w:lineRule="exact"/>
        <w:jc w:val="center"/>
        <w:rPr>
          <w:rFonts w:ascii="黑体" w:hAnsi="黑体" w:eastAsia="黑体"/>
          <w:sz w:val="32"/>
          <w:szCs w:val="32"/>
        </w:rPr>
      </w:pPr>
      <w:bookmarkStart w:id="28" w:name="BookMark4"/>
    </w:p>
    <w:p>
      <w:pPr>
        <w:spacing w:line="20" w:lineRule="exact"/>
        <w:jc w:val="center"/>
        <w:rPr>
          <w:rFonts w:ascii="黑体" w:hAnsi="黑体" w:eastAsia="黑体"/>
          <w:sz w:val="32"/>
          <w:szCs w:val="32"/>
        </w:rPr>
      </w:pPr>
    </w:p>
    <w:sdt>
      <w:sdtPr>
        <w:tag w:val="NEW_STAND_NAME"/>
        <w:id w:val="595910757"/>
        <w:lock w:val="sdtLocked"/>
        <w:placeholder>
          <w:docPart w:val="46D0F04399BF42F5813B58A271445296"/>
        </w:placeholder>
      </w:sdtPr>
      <w:sdtContent>
        <w:p>
          <w:pPr>
            <w:pStyle w:val="178"/>
            <w:spacing w:before="240" w:beforeLines="100" w:after="528" w:afterLines="220"/>
          </w:pPr>
          <w:bookmarkStart w:id="29" w:name="NEW_STAND_NAME"/>
          <w:r>
            <w:rPr>
              <w:rFonts w:hint="eastAsia"/>
            </w:rPr>
            <w:t>养老机构文娱服务安全规范</w:t>
          </w:r>
        </w:p>
      </w:sdtContent>
    </w:sdt>
    <w:bookmarkEnd w:id="29"/>
    <w:p>
      <w:pPr>
        <w:pStyle w:val="105"/>
        <w:spacing w:before="240" w:after="240"/>
      </w:pPr>
      <w:bookmarkStart w:id="30" w:name="_Toc26648465"/>
      <w:bookmarkStart w:id="31" w:name="_Toc26718930"/>
      <w:bookmarkStart w:id="32" w:name="_Toc24884211"/>
      <w:bookmarkStart w:id="33" w:name="_Toc24884218"/>
      <w:bookmarkStart w:id="34" w:name="_Toc17233325"/>
      <w:bookmarkStart w:id="35" w:name="_Toc97195091"/>
      <w:bookmarkStart w:id="36" w:name="_Toc26986530"/>
      <w:bookmarkStart w:id="37" w:name="_Toc142905849"/>
      <w:bookmarkStart w:id="38" w:name="_Toc17233333"/>
      <w:bookmarkStart w:id="39" w:name="_Toc142919032"/>
      <w:bookmarkStart w:id="40" w:name="_Toc142903875"/>
      <w:bookmarkStart w:id="41" w:name="_Toc5474"/>
      <w:bookmarkStart w:id="42" w:name="_Toc142903896"/>
      <w:bookmarkStart w:id="43" w:name="_Toc26986771"/>
      <w:r>
        <w:rPr>
          <w:rFonts w:hint="eastAsia"/>
        </w:rPr>
        <w:t>范围</w:t>
      </w:r>
      <w:bookmarkEnd w:id="30"/>
      <w:bookmarkEnd w:id="31"/>
      <w:bookmarkEnd w:id="32"/>
      <w:bookmarkEnd w:id="33"/>
      <w:bookmarkEnd w:id="34"/>
      <w:bookmarkEnd w:id="35"/>
      <w:bookmarkEnd w:id="36"/>
      <w:bookmarkEnd w:id="37"/>
      <w:bookmarkEnd w:id="38"/>
      <w:bookmarkEnd w:id="39"/>
      <w:bookmarkEnd w:id="40"/>
      <w:bookmarkEnd w:id="41"/>
      <w:bookmarkEnd w:id="42"/>
      <w:bookmarkEnd w:id="43"/>
    </w:p>
    <w:p>
      <w:pPr>
        <w:pStyle w:val="57"/>
        <w:ind w:firstLine="420"/>
      </w:pPr>
      <w:bookmarkStart w:id="44" w:name="_Toc17233334"/>
      <w:bookmarkStart w:id="45" w:name="_Toc24884212"/>
      <w:bookmarkStart w:id="46" w:name="_Toc24884219"/>
      <w:bookmarkStart w:id="47" w:name="_Toc17233326"/>
      <w:bookmarkStart w:id="48" w:name="_Toc26648466"/>
      <w:r>
        <w:rPr>
          <w:rFonts w:hint="eastAsia"/>
        </w:rPr>
        <w:t>本文件规定了养老机构开展文娱服务的基本要求、服务提供要求、风险评估、服务防护、应急处置、评价与改进。</w:t>
      </w:r>
    </w:p>
    <w:p>
      <w:pPr>
        <w:pStyle w:val="57"/>
        <w:ind w:firstLine="420"/>
      </w:pPr>
      <w:r>
        <w:rPr>
          <w:rFonts w:hint="eastAsia"/>
        </w:rPr>
        <w:t>本文件适用于养老机构文娱服务安全管理。</w:t>
      </w:r>
    </w:p>
    <w:p>
      <w:pPr>
        <w:pStyle w:val="105"/>
        <w:spacing w:before="240" w:after="240"/>
      </w:pPr>
      <w:bookmarkStart w:id="49" w:name="_Toc97195092"/>
      <w:bookmarkStart w:id="50" w:name="_Toc26986772"/>
      <w:bookmarkStart w:id="51" w:name="_Toc15400"/>
      <w:bookmarkStart w:id="52" w:name="_Toc142919033"/>
      <w:bookmarkStart w:id="53" w:name="_Toc26986531"/>
      <w:bookmarkStart w:id="54" w:name="_Toc26718931"/>
      <w:bookmarkStart w:id="55" w:name="_Toc142903897"/>
      <w:bookmarkStart w:id="56" w:name="_Toc142905850"/>
      <w:bookmarkStart w:id="57" w:name="_Toc142903876"/>
      <w:r>
        <w:rPr>
          <w:rFonts w:hint="eastAsia"/>
        </w:rPr>
        <w:t>规范性引用文件</w:t>
      </w:r>
      <w:bookmarkEnd w:id="44"/>
      <w:bookmarkEnd w:id="45"/>
      <w:bookmarkEnd w:id="46"/>
      <w:bookmarkEnd w:id="47"/>
      <w:bookmarkEnd w:id="48"/>
      <w:bookmarkEnd w:id="49"/>
      <w:bookmarkEnd w:id="50"/>
      <w:bookmarkEnd w:id="51"/>
      <w:bookmarkEnd w:id="52"/>
      <w:bookmarkEnd w:id="53"/>
      <w:bookmarkEnd w:id="54"/>
      <w:bookmarkEnd w:id="55"/>
      <w:bookmarkEnd w:id="56"/>
      <w:bookmarkEnd w:id="57"/>
    </w:p>
    <w:sdt>
      <w:sdtPr>
        <w:rPr>
          <w:rFonts w:hint="eastAsia"/>
        </w:rPr>
        <w:id w:val="715848253"/>
        <w:placeholder>
          <w:docPart w:val="355C1442C3E24B32B9863881C6DBE26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31"/>
        <w:ind w:firstLine="420"/>
      </w:pPr>
      <w:r>
        <w:rPr>
          <w:rFonts w:hint="eastAsia"/>
        </w:rPr>
        <w:t>GB 38600  养老机构服务安全基本规范</w:t>
      </w:r>
    </w:p>
    <w:p>
      <w:pPr>
        <w:pStyle w:val="231"/>
        <w:ind w:firstLine="420"/>
      </w:pPr>
      <w:r>
        <w:rPr>
          <w:rFonts w:hint="eastAsia"/>
        </w:rPr>
        <w:t>JGJ 450   老年人照料设施建筑设计标准</w:t>
      </w:r>
    </w:p>
    <w:p>
      <w:pPr>
        <w:pStyle w:val="231"/>
        <w:ind w:firstLine="420"/>
      </w:pPr>
      <w:r>
        <w:rPr>
          <w:rFonts w:hint="eastAsia"/>
        </w:rPr>
        <w:t>MZ/T 032  养老机构安全管理</w:t>
      </w:r>
    </w:p>
    <w:p>
      <w:pPr>
        <w:pStyle w:val="231"/>
        <w:ind w:firstLine="420"/>
      </w:pPr>
      <w:r>
        <w:rPr>
          <w:rFonts w:hint="eastAsia"/>
        </w:rPr>
        <w:t>MZ/T 131  养老服务常用图形符号及标志</w:t>
      </w:r>
    </w:p>
    <w:p>
      <w:pPr>
        <w:pStyle w:val="105"/>
        <w:spacing w:before="240" w:after="240"/>
      </w:pPr>
      <w:bookmarkStart w:id="58" w:name="_Toc8902"/>
      <w:bookmarkStart w:id="59" w:name="_Toc142903877"/>
      <w:bookmarkStart w:id="60" w:name="_Toc142905851"/>
      <w:bookmarkStart w:id="61" w:name="_Toc142903898"/>
      <w:bookmarkStart w:id="62" w:name="_Toc142919034"/>
      <w:bookmarkStart w:id="63" w:name="_Toc97195093"/>
      <w:r>
        <w:rPr>
          <w:rFonts w:hint="eastAsia"/>
          <w:szCs w:val="21"/>
        </w:rPr>
        <w:t>术语和定义</w:t>
      </w:r>
      <w:bookmarkEnd w:id="58"/>
      <w:bookmarkEnd w:id="59"/>
      <w:bookmarkEnd w:id="60"/>
      <w:bookmarkEnd w:id="61"/>
      <w:bookmarkEnd w:id="62"/>
      <w:bookmarkEnd w:id="63"/>
    </w:p>
    <w:sdt>
      <w:sdtPr>
        <w:id w:val="-1909835108"/>
        <w:placeholder>
          <w:docPart w:val="D056D521EF1A4C3FB41D82A01A8A1FE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7"/>
            <w:ind w:firstLine="420"/>
          </w:pPr>
          <w:bookmarkStart w:id="64" w:name="_Toc26986532"/>
          <w:bookmarkEnd w:id="64"/>
          <w:r>
            <w:t>下列术语和定义适用于本文件。</w:t>
          </w:r>
        </w:p>
      </w:sdtContent>
    </w:sdt>
    <w:p>
      <w:pPr>
        <w:pStyle w:val="106"/>
        <w:spacing w:before="120" w:after="120"/>
      </w:pPr>
    </w:p>
    <w:p>
      <w:pPr>
        <w:pStyle w:val="224"/>
        <w:numPr>
          <w:ilvl w:val="0"/>
          <w:numId w:val="0"/>
        </w:numPr>
        <w:ind w:left="420"/>
        <w:rPr>
          <w:rFonts w:ascii="黑体" w:hAnsi="黑体" w:eastAsia="黑体"/>
        </w:rPr>
      </w:pPr>
      <w:r>
        <w:rPr>
          <w:rFonts w:hint="eastAsia" w:ascii="黑体" w:hAnsi="黑体" w:eastAsia="黑体"/>
        </w:rPr>
        <w:t xml:space="preserve">文娱服务  </w:t>
      </w:r>
      <w:r>
        <w:rPr>
          <w:rFonts w:ascii="黑体" w:hAnsi="黑体" w:eastAsia="黑体"/>
        </w:rPr>
        <w:t>cultural and entertainment services</w:t>
      </w:r>
    </w:p>
    <w:p>
      <w:pPr>
        <w:pStyle w:val="57"/>
        <w:ind w:firstLine="420"/>
      </w:pPr>
      <w:r>
        <w:rPr>
          <w:rFonts w:hint="eastAsia"/>
        </w:rPr>
        <w:t>遵循安全、健康、适老的原则，为老年人提供文化、体育、娱乐、节日及纪念日庆贺等活动的服务。</w:t>
      </w:r>
    </w:p>
    <w:p>
      <w:pPr>
        <w:pStyle w:val="105"/>
        <w:spacing w:before="240" w:after="240"/>
      </w:pPr>
      <w:bookmarkStart w:id="65" w:name="_Toc142903899"/>
      <w:bookmarkStart w:id="66" w:name="_Toc142919035"/>
      <w:bookmarkStart w:id="67" w:name="_Toc5065"/>
      <w:bookmarkStart w:id="68" w:name="_Toc142903878"/>
      <w:bookmarkStart w:id="69" w:name="_Toc142905852"/>
      <w:r>
        <w:rPr>
          <w:rFonts w:hint="eastAsia"/>
        </w:rPr>
        <w:t>基本要求</w:t>
      </w:r>
      <w:bookmarkEnd w:id="65"/>
      <w:bookmarkEnd w:id="66"/>
      <w:bookmarkEnd w:id="67"/>
      <w:bookmarkEnd w:id="68"/>
      <w:bookmarkEnd w:id="69"/>
    </w:p>
    <w:p>
      <w:pPr>
        <w:pStyle w:val="106"/>
        <w:spacing w:before="0" w:beforeLines="0" w:after="0" w:afterLines="0"/>
        <w:rPr>
          <w:rFonts w:ascii="宋体" w:eastAsia="宋体"/>
        </w:rPr>
      </w:pPr>
      <w:bookmarkStart w:id="70" w:name="_Toc48579386"/>
      <w:r>
        <w:rPr>
          <w:rFonts w:hint="eastAsia" w:ascii="宋体" w:eastAsia="宋体"/>
        </w:rPr>
        <w:t>开展文娱服务的安全管理应符合GB 38600 和MZ/T 032 的规定。</w:t>
      </w:r>
      <w:bookmarkEnd w:id="70"/>
    </w:p>
    <w:p>
      <w:pPr>
        <w:pStyle w:val="106"/>
        <w:spacing w:before="0" w:beforeLines="0" w:after="0" w:afterLines="0"/>
        <w:rPr>
          <w:rFonts w:ascii="宋体" w:eastAsia="宋体"/>
        </w:rPr>
      </w:pPr>
      <w:bookmarkStart w:id="71" w:name="_Toc48579387"/>
      <w:r>
        <w:rPr>
          <w:rFonts w:hint="eastAsia" w:ascii="宋体" w:eastAsia="宋体"/>
        </w:rPr>
        <w:t>应结合老年人身心特点、民族习惯、地域文化及机构人员配置、设施设备等实际情况，开展安全、健康、适老的文娱服务。</w:t>
      </w:r>
      <w:bookmarkEnd w:id="71"/>
    </w:p>
    <w:p>
      <w:pPr>
        <w:pStyle w:val="106"/>
        <w:spacing w:before="0" w:beforeLines="0" w:after="0" w:afterLines="0"/>
      </w:pPr>
      <w:r>
        <w:rPr>
          <w:rFonts w:hint="eastAsia" w:ascii="宋体" w:eastAsia="宋体"/>
        </w:rPr>
        <w:t>应建立科学、适用的文娱服务基本制度和应急预案，并有服务记录。</w:t>
      </w:r>
    </w:p>
    <w:p>
      <w:pPr>
        <w:pStyle w:val="105"/>
        <w:spacing w:before="240" w:after="240"/>
      </w:pPr>
      <w:bookmarkStart w:id="72" w:name="_Toc142903879"/>
      <w:bookmarkStart w:id="73" w:name="_Toc142919036"/>
      <w:bookmarkStart w:id="74" w:name="_Toc28958"/>
      <w:bookmarkStart w:id="75" w:name="_Toc142903900"/>
      <w:bookmarkStart w:id="76" w:name="_Toc142905853"/>
      <w:r>
        <w:rPr>
          <w:rFonts w:hint="eastAsia"/>
        </w:rPr>
        <w:t>服务提供要求</w:t>
      </w:r>
      <w:bookmarkEnd w:id="72"/>
      <w:bookmarkEnd w:id="73"/>
      <w:bookmarkEnd w:id="74"/>
      <w:bookmarkEnd w:id="75"/>
      <w:bookmarkEnd w:id="76"/>
    </w:p>
    <w:p>
      <w:pPr>
        <w:pStyle w:val="106"/>
        <w:spacing w:before="120" w:after="120"/>
      </w:pPr>
      <w:r>
        <w:rPr>
          <w:rFonts w:hint="eastAsia"/>
        </w:rPr>
        <w:t>人员</w:t>
      </w:r>
      <w:r>
        <w:t>要求</w:t>
      </w:r>
    </w:p>
    <w:p>
      <w:pPr>
        <w:pStyle w:val="166"/>
      </w:pPr>
      <w:r>
        <w:rPr>
          <w:rFonts w:hint="eastAsia"/>
        </w:rPr>
        <w:t>应根据文娱服务类型和活动人数配备工作人员，宜配备社会工作者、医生、护士、安保人员等。</w:t>
      </w:r>
    </w:p>
    <w:p>
      <w:pPr>
        <w:pStyle w:val="166"/>
      </w:pPr>
      <w:r>
        <w:rPr>
          <w:rFonts w:hint="eastAsia"/>
        </w:rPr>
        <w:t>工作人员应经过安全培训，掌握相应的安全知识和技能；培训内容包括应急处置、沟通技巧、必要的护理和急救操作技能等，宜对相关内容开展应急演练。</w:t>
      </w:r>
    </w:p>
    <w:p>
      <w:pPr>
        <w:pStyle w:val="106"/>
        <w:spacing w:before="120" w:after="120"/>
      </w:pPr>
      <w:bookmarkStart w:id="77" w:name="_Toc48548675"/>
      <w:bookmarkStart w:id="78" w:name="_Toc48579393"/>
      <w:r>
        <w:t>环境设施要求</w:t>
      </w:r>
      <w:bookmarkEnd w:id="77"/>
      <w:bookmarkEnd w:id="78"/>
    </w:p>
    <w:p>
      <w:pPr>
        <w:pStyle w:val="166"/>
      </w:pPr>
      <w:r>
        <w:rPr>
          <w:rFonts w:hint="eastAsia"/>
        </w:rPr>
        <w:t>文娱场所的面积、位置、无障碍设计等应符合JGJ 450的相关规定。</w:t>
      </w:r>
    </w:p>
    <w:p>
      <w:pPr>
        <w:pStyle w:val="166"/>
      </w:pPr>
      <w:r>
        <w:rPr>
          <w:rFonts w:hint="eastAsia"/>
        </w:rPr>
        <w:t>文娱场所的安全标志应符合MZ/T 131的相关规定。</w:t>
      </w:r>
    </w:p>
    <w:p>
      <w:pPr>
        <w:pStyle w:val="166"/>
      </w:pPr>
      <w:r>
        <w:rPr>
          <w:rFonts w:hint="eastAsia"/>
        </w:rPr>
        <w:t>文娱场所室内外环境应整洁、通风、光线充足。</w:t>
      </w:r>
    </w:p>
    <w:p>
      <w:pPr>
        <w:pStyle w:val="166"/>
      </w:pPr>
      <w:r>
        <w:rPr>
          <w:rFonts w:hint="eastAsia"/>
        </w:rPr>
        <w:t>应定期对文娱场所设施设备进行维护保养、清洁消毒。</w:t>
      </w:r>
    </w:p>
    <w:p>
      <w:pPr>
        <w:pStyle w:val="106"/>
        <w:spacing w:before="120" w:after="120"/>
      </w:pPr>
      <w:bookmarkStart w:id="79" w:name="_Toc48548676"/>
      <w:bookmarkStart w:id="80" w:name="_Toc48579394"/>
      <w:r>
        <w:rPr>
          <w:rFonts w:hint="eastAsia"/>
        </w:rPr>
        <w:t>物资要求</w:t>
      </w:r>
      <w:bookmarkEnd w:id="79"/>
      <w:bookmarkEnd w:id="80"/>
    </w:p>
    <w:p>
      <w:pPr>
        <w:pStyle w:val="166"/>
      </w:pPr>
      <w:r>
        <w:rPr>
          <w:rFonts w:hint="eastAsia"/>
        </w:rPr>
        <w:t>应根据文娱服务类型和活动人数，提供相应的活动物资和应急物资。</w:t>
      </w:r>
    </w:p>
    <w:p>
      <w:pPr>
        <w:pStyle w:val="166"/>
      </w:pPr>
      <w:r>
        <w:rPr>
          <w:rFonts w:hint="eastAsia"/>
        </w:rPr>
        <w:t>提供的食品、道具、工具、宣传资料等活动物资，应符合以下要求：</w:t>
      </w:r>
    </w:p>
    <w:p>
      <w:pPr>
        <w:pStyle w:val="133"/>
      </w:pPr>
      <w:r>
        <w:rPr>
          <w:rFonts w:hint="eastAsia"/>
        </w:rPr>
        <w:t>食品为合格产品，在有效期内且未变质；</w:t>
      </w:r>
    </w:p>
    <w:p>
      <w:pPr>
        <w:pStyle w:val="133"/>
      </w:pPr>
      <w:r>
        <w:rPr>
          <w:rFonts w:hint="eastAsia"/>
        </w:rPr>
        <w:t>道具、工具易于老年人操作使用；</w:t>
      </w:r>
    </w:p>
    <w:p>
      <w:pPr>
        <w:pStyle w:val="133"/>
      </w:pPr>
      <w:r>
        <w:rPr>
          <w:rFonts w:hint="eastAsia"/>
        </w:rPr>
        <w:t>宣传资料内容积极、健康、醒目，易于阅读。</w:t>
      </w:r>
    </w:p>
    <w:p>
      <w:pPr>
        <w:pStyle w:val="166"/>
        <w:rPr>
          <w:szCs w:val="22"/>
        </w:rPr>
      </w:pPr>
      <w:r>
        <w:rPr>
          <w:rFonts w:hint="eastAsia"/>
        </w:rPr>
        <w:t>应急物资包括急救药品、急救箱（包）、饮用水等。</w:t>
      </w:r>
    </w:p>
    <w:p>
      <w:pPr>
        <w:pStyle w:val="105"/>
        <w:spacing w:before="240" w:after="240"/>
      </w:pPr>
      <w:bookmarkStart w:id="81" w:name="_Toc48579396"/>
      <w:bookmarkStart w:id="82" w:name="_Toc142919037"/>
      <w:bookmarkStart w:id="83" w:name="_Toc48548678"/>
      <w:bookmarkStart w:id="84" w:name="_Toc142903880"/>
      <w:bookmarkStart w:id="85" w:name="_Toc11059"/>
      <w:bookmarkStart w:id="86" w:name="_Toc142903901"/>
      <w:bookmarkStart w:id="87" w:name="_Toc142905854"/>
      <w:r>
        <w:rPr>
          <w:rFonts w:hint="eastAsia"/>
        </w:rPr>
        <w:t>风险评估</w:t>
      </w:r>
      <w:bookmarkEnd w:id="81"/>
      <w:bookmarkEnd w:id="82"/>
      <w:bookmarkEnd w:id="83"/>
      <w:bookmarkEnd w:id="84"/>
      <w:bookmarkEnd w:id="85"/>
      <w:bookmarkEnd w:id="86"/>
      <w:bookmarkEnd w:id="87"/>
    </w:p>
    <w:p>
      <w:pPr>
        <w:pStyle w:val="106"/>
        <w:spacing w:before="120" w:after="120"/>
      </w:pPr>
      <w:r>
        <w:rPr>
          <w:rFonts w:hint="eastAsia"/>
        </w:rPr>
        <w:t>评估内容</w:t>
      </w:r>
    </w:p>
    <w:p>
      <w:pPr>
        <w:pStyle w:val="66"/>
        <w:spacing w:before="120" w:after="120"/>
      </w:pPr>
      <w:r>
        <w:rPr>
          <w:rFonts w:hint="eastAsia"/>
        </w:rPr>
        <w:t>老年人评估</w:t>
      </w:r>
    </w:p>
    <w:p>
      <w:pPr>
        <w:pStyle w:val="166"/>
        <w:numPr>
          <w:ilvl w:val="3"/>
          <w:numId w:val="0"/>
        </w:numPr>
        <w:ind w:firstLine="420" w:firstLineChars="200"/>
      </w:pPr>
      <w:r>
        <w:rPr>
          <w:rFonts w:hint="eastAsia"/>
        </w:rPr>
        <w:t>老年人参加文娱活动的风险评估内容包括但不限于：</w:t>
      </w:r>
    </w:p>
    <w:p>
      <w:pPr>
        <w:pStyle w:val="133"/>
      </w:pPr>
      <w:r>
        <w:rPr>
          <w:rFonts w:hint="eastAsia"/>
        </w:rPr>
        <w:t>身体状况，包括视力、听力、平衡力、自理能力、疾病情况等；</w:t>
      </w:r>
    </w:p>
    <w:p>
      <w:pPr>
        <w:pStyle w:val="133"/>
      </w:pPr>
      <w:r>
        <w:rPr>
          <w:rFonts w:hint="eastAsia"/>
        </w:rPr>
        <w:t>心理状况，包括情绪、精神状态等。</w:t>
      </w:r>
    </w:p>
    <w:p>
      <w:pPr>
        <w:pStyle w:val="66"/>
        <w:spacing w:before="120" w:after="120"/>
      </w:pPr>
      <w:r>
        <w:rPr>
          <w:rFonts w:hint="eastAsia"/>
        </w:rPr>
        <w:t>环境设施评估</w:t>
      </w:r>
    </w:p>
    <w:p>
      <w:pPr>
        <w:pStyle w:val="166"/>
        <w:numPr>
          <w:ilvl w:val="3"/>
          <w:numId w:val="0"/>
        </w:numPr>
        <w:ind w:firstLine="420" w:firstLineChars="200"/>
      </w:pPr>
      <w:r>
        <w:rPr>
          <w:rFonts w:hint="eastAsia"/>
        </w:rPr>
        <w:t>环境设施风险评估内容包括但不限于：</w:t>
      </w:r>
    </w:p>
    <w:p>
      <w:pPr>
        <w:pStyle w:val="133"/>
      </w:pPr>
      <w:r>
        <w:rPr>
          <w:rFonts w:hint="eastAsia"/>
        </w:rPr>
        <w:t>地面，如</w:t>
      </w:r>
      <w:r>
        <w:t>是否</w:t>
      </w:r>
      <w:r>
        <w:rPr>
          <w:rFonts w:hint="eastAsia"/>
        </w:rPr>
        <w:t>存在积水、障碍物、不平整；</w:t>
      </w:r>
    </w:p>
    <w:p>
      <w:pPr>
        <w:pStyle w:val="133"/>
      </w:pPr>
      <w:r>
        <w:rPr>
          <w:rFonts w:hint="eastAsia"/>
        </w:rPr>
        <w:t>通道，如</w:t>
      </w:r>
      <w:r>
        <w:t>是否</w:t>
      </w:r>
      <w:r>
        <w:rPr>
          <w:rFonts w:hint="eastAsia"/>
        </w:rPr>
        <w:t>狭窄、高差过大、阻塞；</w:t>
      </w:r>
    </w:p>
    <w:p>
      <w:pPr>
        <w:pStyle w:val="133"/>
      </w:pPr>
      <w:r>
        <w:rPr>
          <w:rFonts w:hint="eastAsia"/>
        </w:rPr>
        <w:t>场所，如</w:t>
      </w:r>
      <w:r>
        <w:t>是否</w:t>
      </w:r>
      <w:r>
        <w:rPr>
          <w:rFonts w:hint="eastAsia"/>
        </w:rPr>
        <w:t>缺少安全警示标识；</w:t>
      </w:r>
    </w:p>
    <w:p>
      <w:pPr>
        <w:pStyle w:val="133"/>
      </w:pPr>
      <w:r>
        <w:rPr>
          <w:rFonts w:hint="eastAsia"/>
        </w:rPr>
        <w:t>无障碍设施，如</w:t>
      </w:r>
      <w:r>
        <w:t>是否</w:t>
      </w:r>
      <w:r>
        <w:rPr>
          <w:rFonts w:hint="eastAsia"/>
        </w:rPr>
        <w:t>缺少安全扶手、无障碍坡道等；</w:t>
      </w:r>
    </w:p>
    <w:p>
      <w:pPr>
        <w:pStyle w:val="133"/>
      </w:pPr>
      <w:r>
        <w:rPr>
          <w:rFonts w:hint="eastAsia"/>
        </w:rPr>
        <w:t>设施设备，如</w:t>
      </w:r>
      <w:r>
        <w:t>是否</w:t>
      </w:r>
      <w:r>
        <w:rPr>
          <w:rFonts w:hint="eastAsia"/>
        </w:rPr>
        <w:t>尖锐且无防护处理，摇晃破损</w:t>
      </w:r>
      <w:r>
        <w:rPr>
          <w:rFonts w:hint="eastAsia"/>
          <w:lang w:eastAsia="zh-CN"/>
        </w:rPr>
        <w:t>；</w:t>
      </w:r>
      <w:bookmarkStart w:id="128" w:name="_GoBack"/>
      <w:bookmarkEnd w:id="128"/>
    </w:p>
    <w:p>
      <w:pPr>
        <w:pStyle w:val="133"/>
      </w:pPr>
      <w:r>
        <w:rPr>
          <w:rFonts w:hint="eastAsia"/>
        </w:rPr>
        <w:t>水、电、气安全防范不到位。</w:t>
      </w:r>
    </w:p>
    <w:p>
      <w:pPr>
        <w:pStyle w:val="66"/>
        <w:spacing w:before="120" w:after="120"/>
      </w:pPr>
      <w:r>
        <w:rPr>
          <w:rFonts w:hint="eastAsia"/>
        </w:rPr>
        <w:t>物资评估</w:t>
      </w:r>
    </w:p>
    <w:p>
      <w:pPr>
        <w:pStyle w:val="57"/>
        <w:ind w:firstLine="420"/>
      </w:pPr>
      <w:r>
        <w:rPr>
          <w:rFonts w:hint="eastAsia"/>
        </w:rPr>
        <w:t>物资风险评估内容包括但不限于：</w:t>
      </w:r>
    </w:p>
    <w:p>
      <w:pPr>
        <w:pStyle w:val="133"/>
      </w:pPr>
      <w:r>
        <w:rPr>
          <w:rFonts w:hint="eastAsia"/>
        </w:rPr>
        <w:t>食品/药品，如</w:t>
      </w:r>
      <w:r>
        <w:t>是否</w:t>
      </w:r>
      <w:r>
        <w:rPr>
          <w:rFonts w:hint="eastAsia"/>
        </w:rPr>
        <w:t>过期、变质、无检验合格证；</w:t>
      </w:r>
    </w:p>
    <w:p>
      <w:pPr>
        <w:pStyle w:val="133"/>
      </w:pPr>
      <w:r>
        <w:rPr>
          <w:rFonts w:hint="eastAsia"/>
        </w:rPr>
        <w:t>活动道具/工具，如</w:t>
      </w:r>
      <w:r>
        <w:t>是否</w:t>
      </w:r>
      <w:r>
        <w:rPr>
          <w:rFonts w:hint="eastAsia"/>
        </w:rPr>
        <w:t>尖锐、厚重、破损、有毒有害；</w:t>
      </w:r>
    </w:p>
    <w:p>
      <w:pPr>
        <w:pStyle w:val="133"/>
      </w:pPr>
      <w:r>
        <w:rPr>
          <w:rFonts w:hint="eastAsia"/>
        </w:rPr>
        <w:t>使用明火、易燃易爆物品。</w:t>
      </w:r>
    </w:p>
    <w:p>
      <w:pPr>
        <w:pStyle w:val="106"/>
        <w:spacing w:before="120" w:after="120"/>
      </w:pPr>
      <w:r>
        <w:rPr>
          <w:rFonts w:hint="eastAsia"/>
        </w:rPr>
        <w:t>评估要求</w:t>
      </w:r>
    </w:p>
    <w:p>
      <w:pPr>
        <w:pStyle w:val="166"/>
      </w:pPr>
      <w:r>
        <w:rPr>
          <w:rFonts w:hint="eastAsia"/>
        </w:rPr>
        <w:t>开展活动前，应进行综合性的风险评估。</w:t>
      </w:r>
    </w:p>
    <w:p>
      <w:pPr>
        <w:pStyle w:val="166"/>
      </w:pPr>
      <w:r>
        <w:rPr>
          <w:rFonts w:hint="eastAsia"/>
        </w:rPr>
        <w:t>通过风险评估，判断文娱服务与老年人的适宜性，不应让老年人参加与其不适宜的文娱活动。</w:t>
      </w:r>
    </w:p>
    <w:p>
      <w:pPr>
        <w:pStyle w:val="166"/>
      </w:pPr>
      <w:r>
        <w:rPr>
          <w:rFonts w:hint="eastAsia"/>
        </w:rPr>
        <w:t>活动过程中应注意观察老年人，并适时评估服务情况。</w:t>
      </w:r>
    </w:p>
    <w:p>
      <w:pPr>
        <w:pStyle w:val="105"/>
        <w:spacing w:before="240" w:after="240"/>
      </w:pPr>
      <w:bookmarkStart w:id="88" w:name="_Toc48548677"/>
      <w:bookmarkStart w:id="89" w:name="_Toc91256166"/>
      <w:bookmarkStart w:id="90" w:name="_Toc48579395"/>
      <w:bookmarkStart w:id="91" w:name="_Toc105579941"/>
      <w:bookmarkStart w:id="92" w:name="_Toc142905855"/>
      <w:bookmarkStart w:id="93" w:name="_Toc142919038"/>
      <w:bookmarkStart w:id="94" w:name="_Toc142903881"/>
      <w:bookmarkStart w:id="95" w:name="_Toc7465"/>
      <w:bookmarkStart w:id="96" w:name="_Toc142903902"/>
      <w:r>
        <w:rPr>
          <w:rFonts w:hint="eastAsia"/>
        </w:rPr>
        <w:t>服务</w:t>
      </w:r>
      <w:bookmarkEnd w:id="88"/>
      <w:bookmarkEnd w:id="89"/>
      <w:bookmarkEnd w:id="90"/>
      <w:bookmarkEnd w:id="91"/>
      <w:r>
        <w:rPr>
          <w:rFonts w:hint="eastAsia"/>
        </w:rPr>
        <w:t>防护</w:t>
      </w:r>
      <w:bookmarkEnd w:id="92"/>
      <w:bookmarkEnd w:id="93"/>
      <w:bookmarkEnd w:id="94"/>
      <w:bookmarkEnd w:id="95"/>
      <w:bookmarkEnd w:id="96"/>
    </w:p>
    <w:p>
      <w:pPr>
        <w:pStyle w:val="106"/>
        <w:spacing w:before="120" w:after="120"/>
      </w:pPr>
      <w:bookmarkStart w:id="97" w:name="_Toc48548679"/>
      <w:bookmarkStart w:id="98" w:name="_Toc48579397"/>
      <w:r>
        <w:rPr>
          <w:rFonts w:hint="eastAsia"/>
        </w:rPr>
        <w:t>服务准备</w:t>
      </w:r>
      <w:bookmarkEnd w:id="97"/>
      <w:bookmarkEnd w:id="98"/>
    </w:p>
    <w:p>
      <w:pPr>
        <w:pStyle w:val="166"/>
      </w:pPr>
      <w:r>
        <w:rPr>
          <w:rFonts w:hint="eastAsia"/>
        </w:rPr>
        <w:t>根据文娱服务基本类型和活动人数选择合适的场所。</w:t>
      </w:r>
    </w:p>
    <w:p>
      <w:pPr>
        <w:pStyle w:val="166"/>
      </w:pPr>
      <w:r>
        <w:rPr>
          <w:rFonts w:hint="eastAsia"/>
        </w:rPr>
        <w:t>应根据风险评估情况制定服务方案，服务方案内容包括活动流程、人员分工、设施设备及物资准备、应急处置措施等，宜采用书面形式。</w:t>
      </w:r>
    </w:p>
    <w:p>
      <w:pPr>
        <w:pStyle w:val="166"/>
      </w:pPr>
      <w:r>
        <w:rPr>
          <w:rFonts w:hint="eastAsia"/>
        </w:rPr>
        <w:t>服务前应告知老年人相关安全注意事项；在机构外提供文娱服务，宜与老年人或相关第三方签订知情同意书或服务协议，购买相关保险。</w:t>
      </w:r>
    </w:p>
    <w:p>
      <w:pPr>
        <w:pStyle w:val="166"/>
      </w:pPr>
      <w:r>
        <w:rPr>
          <w:rFonts w:hint="eastAsia"/>
        </w:rPr>
        <w:t>应做好人员准备工作，包括但不限于：</w:t>
      </w:r>
    </w:p>
    <w:p>
      <w:pPr>
        <w:pStyle w:val="133"/>
      </w:pPr>
      <w:r>
        <w:rPr>
          <w:rFonts w:hint="eastAsia"/>
        </w:rPr>
        <w:t>明确工作人员的职责分工，并告知注意事项；</w:t>
      </w:r>
    </w:p>
    <w:p>
      <w:pPr>
        <w:pStyle w:val="133"/>
      </w:pPr>
      <w:r>
        <w:rPr>
          <w:rFonts w:hint="eastAsia"/>
        </w:rPr>
        <w:t>确认志愿者的身份信息，告知相关事宜，宜与其签订安全告知书或服务协议；</w:t>
      </w:r>
    </w:p>
    <w:p>
      <w:pPr>
        <w:pStyle w:val="133"/>
      </w:pPr>
      <w:r>
        <w:rPr>
          <w:rFonts w:hint="eastAsia"/>
        </w:rPr>
        <w:t>工作人员或志愿者穿戴易于识别的工作标识，并做好必要的个人防护。</w:t>
      </w:r>
    </w:p>
    <w:p>
      <w:pPr>
        <w:pStyle w:val="166"/>
      </w:pPr>
      <w:r>
        <w:rPr>
          <w:rFonts w:hint="eastAsia"/>
        </w:rPr>
        <w:t>应对场地、设施设备进行检查并确认，包括但不限于：</w:t>
      </w:r>
    </w:p>
    <w:p>
      <w:pPr>
        <w:pStyle w:val="133"/>
      </w:pPr>
      <w:r>
        <w:rPr>
          <w:rFonts w:hint="eastAsia"/>
        </w:rPr>
        <w:t>消防通道、灭火器材、安全标志等无异常；</w:t>
      </w:r>
    </w:p>
    <w:p>
      <w:pPr>
        <w:pStyle w:val="133"/>
      </w:pPr>
      <w:r>
        <w:rPr>
          <w:rFonts w:hint="eastAsia"/>
        </w:rPr>
        <w:t>场所地面干燥、清洁、防滑，墙壁边角经过防护处理；</w:t>
      </w:r>
    </w:p>
    <w:p>
      <w:pPr>
        <w:pStyle w:val="133"/>
      </w:pPr>
      <w:r>
        <w:rPr>
          <w:rFonts w:hint="eastAsia"/>
        </w:rPr>
        <w:t>活动器材、物品完好无异常。</w:t>
      </w:r>
    </w:p>
    <w:p>
      <w:pPr>
        <w:pStyle w:val="166"/>
      </w:pPr>
      <w:r>
        <w:rPr>
          <w:rFonts w:hint="eastAsia"/>
        </w:rPr>
        <w:t>应对活动物资和应急物资进行检查，其类型、数量、质量应符合相关要求。</w:t>
      </w:r>
    </w:p>
    <w:p>
      <w:pPr>
        <w:pStyle w:val="166"/>
      </w:pPr>
      <w:r>
        <w:rPr>
          <w:rFonts w:hint="eastAsia"/>
        </w:rPr>
        <w:t>开展外出活动时，应优先选择交通便利、距离医院较近的活动地点，确认车辆安全。</w:t>
      </w:r>
    </w:p>
    <w:p>
      <w:pPr>
        <w:pStyle w:val="106"/>
        <w:spacing w:before="120" w:after="120"/>
      </w:pPr>
      <w:bookmarkStart w:id="99" w:name="_Toc48548680"/>
      <w:bookmarkStart w:id="100" w:name="_Toc48579398"/>
      <w:r>
        <w:rPr>
          <w:rFonts w:hint="eastAsia"/>
        </w:rPr>
        <w:t>服务实施</w:t>
      </w:r>
      <w:bookmarkEnd w:id="99"/>
      <w:bookmarkEnd w:id="100"/>
    </w:p>
    <w:p>
      <w:pPr>
        <w:pStyle w:val="166"/>
      </w:pPr>
      <w:r>
        <w:rPr>
          <w:rFonts w:hint="eastAsia"/>
        </w:rPr>
        <w:t>应引导并协助老年人参与活动，维护现场秩序。</w:t>
      </w:r>
    </w:p>
    <w:p>
      <w:pPr>
        <w:pStyle w:val="166"/>
      </w:pPr>
      <w:r>
        <w:rPr>
          <w:rFonts w:hint="eastAsia"/>
        </w:rPr>
        <w:t>服务中应关注老年人身心变化及需求，并提醒老年人：</w:t>
      </w:r>
    </w:p>
    <w:p>
      <w:pPr>
        <w:pStyle w:val="232"/>
        <w:numPr>
          <w:ilvl w:val="0"/>
          <w:numId w:val="32"/>
        </w:numPr>
        <w:ind w:left="829"/>
        <w:rPr>
          <w:szCs w:val="22"/>
        </w:rPr>
      </w:pPr>
      <w:r>
        <w:rPr>
          <w:rFonts w:hint="eastAsia"/>
        </w:rPr>
        <w:t>合理调整参与活动的时间；</w:t>
      </w:r>
    </w:p>
    <w:p>
      <w:pPr>
        <w:pStyle w:val="232"/>
        <w:numPr>
          <w:ilvl w:val="0"/>
          <w:numId w:val="32"/>
        </w:numPr>
        <w:ind w:left="829"/>
        <w:rPr>
          <w:szCs w:val="22"/>
        </w:rPr>
      </w:pPr>
      <w:r>
        <w:rPr>
          <w:rFonts w:hint="eastAsia"/>
          <w:szCs w:val="22"/>
        </w:rPr>
        <w:t>不剧烈运动；</w:t>
      </w:r>
    </w:p>
    <w:p>
      <w:pPr>
        <w:pStyle w:val="232"/>
        <w:numPr>
          <w:ilvl w:val="0"/>
          <w:numId w:val="32"/>
        </w:numPr>
        <w:ind w:left="829"/>
        <w:rPr>
          <w:szCs w:val="22"/>
        </w:rPr>
      </w:pPr>
      <w:r>
        <w:rPr>
          <w:rFonts w:hint="eastAsia"/>
          <w:szCs w:val="22"/>
        </w:rPr>
        <w:t>保管好随身物品；</w:t>
      </w:r>
    </w:p>
    <w:p>
      <w:pPr>
        <w:pStyle w:val="232"/>
        <w:numPr>
          <w:ilvl w:val="0"/>
          <w:numId w:val="32"/>
        </w:numPr>
        <w:ind w:left="829"/>
      </w:pPr>
      <w:r>
        <w:rPr>
          <w:rFonts w:hint="eastAsia"/>
          <w:szCs w:val="22"/>
        </w:rPr>
        <w:t>活动用品（食品）使用说明和注意事项。</w:t>
      </w:r>
    </w:p>
    <w:p>
      <w:pPr>
        <w:pStyle w:val="166"/>
      </w:pPr>
      <w:r>
        <w:rPr>
          <w:rFonts w:hint="eastAsia"/>
        </w:rPr>
        <w:t>乘坐交通工具时，应告知老年人注意事项。</w:t>
      </w:r>
    </w:p>
    <w:p>
      <w:pPr>
        <w:pStyle w:val="166"/>
      </w:pPr>
      <w:r>
        <w:rPr>
          <w:rFonts w:hint="eastAsia"/>
        </w:rPr>
        <w:t>开展室外活动时，应根据天气变化及时调整活动安排。</w:t>
      </w:r>
    </w:p>
    <w:p>
      <w:pPr>
        <w:pStyle w:val="106"/>
        <w:spacing w:before="120" w:after="120"/>
      </w:pPr>
      <w:r>
        <w:rPr>
          <w:rFonts w:hint="eastAsia"/>
        </w:rPr>
        <w:t>服务后观察</w:t>
      </w:r>
    </w:p>
    <w:p>
      <w:pPr>
        <w:pStyle w:val="166"/>
        <w:rPr>
          <w:b/>
        </w:rPr>
      </w:pPr>
      <w:r>
        <w:rPr>
          <w:rFonts w:hint="eastAsia"/>
        </w:rPr>
        <w:t>服务结束后应安排老年人有序离场，必要时安排工作人员陪同离场。</w:t>
      </w:r>
    </w:p>
    <w:p>
      <w:pPr>
        <w:pStyle w:val="166"/>
      </w:pPr>
      <w:r>
        <w:rPr>
          <w:rFonts w:hint="eastAsia"/>
        </w:rPr>
        <w:t>应跟踪观察老年人的情况，发现异常及时报告并处理。</w:t>
      </w:r>
    </w:p>
    <w:p>
      <w:pPr>
        <w:pStyle w:val="105"/>
        <w:spacing w:before="240" w:after="240"/>
      </w:pPr>
      <w:bookmarkStart w:id="101" w:name="_Toc105579942"/>
      <w:bookmarkStart w:id="102" w:name="_Toc48548681"/>
      <w:bookmarkStart w:id="103" w:name="_Toc91256167"/>
      <w:bookmarkStart w:id="104" w:name="_Toc142903882"/>
      <w:bookmarkStart w:id="105" w:name="_Toc48579399"/>
      <w:bookmarkStart w:id="106" w:name="_Toc25426"/>
      <w:bookmarkStart w:id="107" w:name="_Toc142903903"/>
      <w:bookmarkStart w:id="108" w:name="_Toc142905856"/>
      <w:bookmarkStart w:id="109" w:name="_Toc142919039"/>
      <w:r>
        <w:rPr>
          <w:rFonts w:hint="eastAsia"/>
        </w:rPr>
        <w:t>应急处置</w:t>
      </w:r>
      <w:bookmarkEnd w:id="101"/>
      <w:bookmarkEnd w:id="102"/>
      <w:bookmarkEnd w:id="103"/>
      <w:bookmarkEnd w:id="104"/>
      <w:bookmarkEnd w:id="105"/>
      <w:bookmarkEnd w:id="106"/>
      <w:bookmarkEnd w:id="107"/>
      <w:bookmarkEnd w:id="108"/>
      <w:bookmarkEnd w:id="109"/>
    </w:p>
    <w:p>
      <w:pPr>
        <w:pStyle w:val="106"/>
        <w:spacing w:before="120" w:after="120"/>
      </w:pPr>
      <w:bookmarkStart w:id="110" w:name="_Toc48548682"/>
      <w:bookmarkStart w:id="111" w:name="_Toc48579400"/>
      <w:r>
        <w:rPr>
          <w:rFonts w:hint="eastAsia"/>
        </w:rPr>
        <w:t>应急处置程序</w:t>
      </w:r>
      <w:bookmarkEnd w:id="110"/>
      <w:bookmarkEnd w:id="111"/>
    </w:p>
    <w:p>
      <w:pPr>
        <w:pStyle w:val="66"/>
        <w:spacing w:before="120" w:after="120"/>
      </w:pPr>
      <w:r>
        <w:rPr>
          <w:rFonts w:hint="eastAsia"/>
        </w:rPr>
        <w:t>初步判断</w:t>
      </w:r>
    </w:p>
    <w:p>
      <w:pPr>
        <w:pStyle w:val="231"/>
        <w:ind w:firstLine="420"/>
      </w:pPr>
      <w:r>
        <w:rPr>
          <w:rFonts w:hint="eastAsia"/>
        </w:rPr>
        <w:t>文娱服务过程中遇突发事件，应立即判断事件发生的紧急程度、发展势态和可能造成的危害程度，确定是否启动应急预案及报告程序。</w:t>
      </w:r>
    </w:p>
    <w:p>
      <w:pPr>
        <w:pStyle w:val="66"/>
        <w:spacing w:before="120" w:after="120"/>
      </w:pPr>
      <w:r>
        <w:rPr>
          <w:rFonts w:hint="eastAsia"/>
        </w:rPr>
        <w:t>处置与报告</w:t>
      </w:r>
    </w:p>
    <w:p>
      <w:pPr>
        <w:pStyle w:val="165"/>
      </w:pPr>
      <w:r>
        <w:rPr>
          <w:rFonts w:hint="eastAsia"/>
        </w:rPr>
        <w:t>应在保障人员安全的前提下组织现场力量，采取应急措施控制事态。</w:t>
      </w:r>
    </w:p>
    <w:p>
      <w:pPr>
        <w:pStyle w:val="165"/>
      </w:pPr>
      <w:r>
        <w:rPr>
          <w:rFonts w:hint="eastAsia"/>
        </w:rPr>
        <w:t>事态无法控制的情况，应立即暂停或终止服务，组织现场人员进行疏散，同时开展现场救援和保护。</w:t>
      </w:r>
    </w:p>
    <w:p>
      <w:pPr>
        <w:pStyle w:val="165"/>
      </w:pPr>
      <w:r>
        <w:rPr>
          <w:rFonts w:hint="eastAsia"/>
        </w:rPr>
        <w:t>应根据事件情况按应急预案要求执行报告程序。</w:t>
      </w:r>
    </w:p>
    <w:p>
      <w:pPr>
        <w:pStyle w:val="106"/>
        <w:spacing w:before="120" w:after="120"/>
      </w:pPr>
      <w:bookmarkStart w:id="112" w:name="_Toc48579401"/>
      <w:bookmarkStart w:id="113" w:name="_Toc48548683"/>
      <w:r>
        <w:rPr>
          <w:rFonts w:hint="eastAsia"/>
        </w:rPr>
        <w:t>应急处置要点</w:t>
      </w:r>
      <w:bookmarkEnd w:id="112"/>
      <w:bookmarkEnd w:id="113"/>
    </w:p>
    <w:p>
      <w:pPr>
        <w:pStyle w:val="166"/>
      </w:pPr>
      <w:r>
        <w:rPr>
          <w:rFonts w:hint="eastAsia"/>
        </w:rPr>
        <w:t>应急事件的处置应及时、快速。</w:t>
      </w:r>
    </w:p>
    <w:p>
      <w:pPr>
        <w:pStyle w:val="166"/>
      </w:pPr>
      <w:r>
        <w:rPr>
          <w:rFonts w:hint="eastAsia"/>
        </w:rPr>
        <w:t>应持续关注事件当事人，出现情绪异常等情况应进行必要的心理援助或疏导，视情况进行危机介入。</w:t>
      </w:r>
    </w:p>
    <w:p>
      <w:pPr>
        <w:pStyle w:val="166"/>
      </w:pPr>
      <w:r>
        <w:rPr>
          <w:rFonts w:hint="eastAsia"/>
        </w:rPr>
        <w:t>应急处理工作记录应准确完整，并及时整理保存。</w:t>
      </w:r>
    </w:p>
    <w:p>
      <w:pPr>
        <w:pStyle w:val="166"/>
      </w:pPr>
      <w:r>
        <w:rPr>
          <w:rFonts w:hint="eastAsia"/>
        </w:rPr>
        <w:t>应注意信息传播，防止事件产生不良影响。</w:t>
      </w:r>
    </w:p>
    <w:p>
      <w:pPr>
        <w:pStyle w:val="105"/>
        <w:spacing w:before="240" w:after="240"/>
      </w:pPr>
      <w:bookmarkStart w:id="114" w:name="_Toc48579402"/>
      <w:bookmarkStart w:id="115" w:name="_Toc48548684"/>
      <w:bookmarkStart w:id="116" w:name="_Toc105579943"/>
      <w:bookmarkStart w:id="117" w:name="_Toc91256168"/>
      <w:bookmarkStart w:id="118" w:name="_Toc1706"/>
      <w:bookmarkStart w:id="119" w:name="_Toc142903904"/>
      <w:bookmarkStart w:id="120" w:name="_Toc142903883"/>
      <w:bookmarkStart w:id="121" w:name="_Toc142905857"/>
      <w:bookmarkStart w:id="122" w:name="_Toc142919040"/>
      <w:r>
        <w:rPr>
          <w:rFonts w:hint="eastAsia"/>
        </w:rPr>
        <w:t>评价与改进</w:t>
      </w:r>
      <w:bookmarkEnd w:id="114"/>
      <w:bookmarkEnd w:id="115"/>
      <w:bookmarkEnd w:id="116"/>
      <w:bookmarkEnd w:id="117"/>
      <w:bookmarkEnd w:id="118"/>
      <w:bookmarkEnd w:id="119"/>
      <w:bookmarkEnd w:id="120"/>
      <w:bookmarkEnd w:id="121"/>
      <w:bookmarkEnd w:id="122"/>
    </w:p>
    <w:p>
      <w:pPr>
        <w:pStyle w:val="163"/>
      </w:pPr>
      <w:bookmarkStart w:id="123" w:name="_Toc48548685"/>
      <w:bookmarkStart w:id="124" w:name="_Toc48579403"/>
      <w:r>
        <w:rPr>
          <w:rFonts w:hint="eastAsia"/>
        </w:rPr>
        <w:t>应通过检查服务记录、现场查看、询问人员等方式对文娱服务前、服务中、服务后进行全面评价，总结文娱服务开展存在的不足或问题。服务记录包括但不限于：服务方案、预防措施记录、风险评估记录、活动记录、查房记录。</w:t>
      </w:r>
    </w:p>
    <w:p>
      <w:pPr>
        <w:pStyle w:val="163"/>
        <w:rPr>
          <w:rFonts w:hAnsi="宋体"/>
        </w:rPr>
      </w:pPr>
      <w:r>
        <w:rPr>
          <w:rFonts w:hint="eastAsia"/>
        </w:rPr>
        <w:t>应通过满意度测评、访谈、意见反馈等方式收集老年人对文娱服务的评价。</w:t>
      </w:r>
      <w:bookmarkEnd w:id="123"/>
      <w:bookmarkEnd w:id="124"/>
    </w:p>
    <w:p>
      <w:pPr>
        <w:pStyle w:val="163"/>
        <w:rPr>
          <w:rFonts w:hAnsi="宋体"/>
        </w:rPr>
      </w:pPr>
      <w:r>
        <w:rPr>
          <w:rFonts w:hint="eastAsia" w:asciiTheme="minorEastAsia" w:hAnsiTheme="minorEastAsia"/>
        </w:rPr>
        <w:t>应分析文娱服务开展存在的安全隐患，总结防范措施。</w:t>
      </w:r>
    </w:p>
    <w:p>
      <w:pPr>
        <w:pStyle w:val="163"/>
        <w:rPr>
          <w:rFonts w:hAnsi="宋体"/>
        </w:rPr>
      </w:pPr>
      <w:r>
        <w:rPr>
          <w:rFonts w:hint="eastAsia" w:asciiTheme="minorEastAsia" w:hAnsiTheme="minorEastAsia"/>
        </w:rPr>
        <w:t>针对服务和评价中发现的问题进行整改、排除。</w:t>
      </w:r>
    </w:p>
    <w:bookmarkEnd w:id="28"/>
    <w:p>
      <w:pPr>
        <w:pStyle w:val="163"/>
        <w:rPr>
          <w:rFonts w:hAnsi="宋体"/>
        </w:rPr>
        <w:sectPr>
          <w:pgSz w:w="11906" w:h="16838"/>
          <w:pgMar w:top="1928" w:right="1134" w:bottom="1134" w:left="1134" w:header="1418" w:footer="1134" w:gutter="284"/>
          <w:pgNumType w:start="1"/>
          <w:cols w:space="425" w:num="1"/>
          <w:formProt w:val="0"/>
          <w:docGrid w:linePitch="312" w:charSpace="0"/>
        </w:sectPr>
      </w:pPr>
      <w:bookmarkStart w:id="125" w:name="BookMark6"/>
    </w:p>
    <w:p>
      <w:pPr>
        <w:pStyle w:val="64"/>
        <w:spacing w:after="120"/>
      </w:pPr>
      <w:bookmarkStart w:id="126" w:name="_Toc142919041"/>
      <w:r>
        <w:rPr>
          <w:spacing w:val="105"/>
        </w:rPr>
        <w:t>参考文</w:t>
      </w:r>
      <w:r>
        <w:t>献</w:t>
      </w:r>
      <w:bookmarkEnd w:id="126"/>
    </w:p>
    <w:p>
      <w:pPr>
        <w:pStyle w:val="57"/>
        <w:ind w:firstLine="420"/>
        <w:rPr>
          <w:rFonts w:hAnsi="宋体"/>
          <w:szCs w:val="22"/>
        </w:rPr>
      </w:pPr>
      <w:r>
        <w:rPr>
          <w:rFonts w:hint="eastAsia" w:hAnsi="宋体"/>
          <w:szCs w:val="22"/>
        </w:rPr>
        <w:t>[1]   GB/T 35796  养老机构服务质量基本规范</w:t>
      </w:r>
    </w:p>
    <w:p>
      <w:pPr>
        <w:pStyle w:val="57"/>
        <w:ind w:firstLine="420"/>
        <w:rPr>
          <w:rFonts w:hAnsi="宋体"/>
          <w:szCs w:val="22"/>
        </w:rPr>
      </w:pPr>
      <w:r>
        <w:rPr>
          <w:rFonts w:hint="eastAsia" w:hAnsi="宋体"/>
          <w:szCs w:val="22"/>
        </w:rPr>
        <w:t>[2]   中华人民共和国老年人权益保障法.全国人民代表大会常务委员会.2018.</w:t>
      </w:r>
    </w:p>
    <w:p>
      <w:pPr>
        <w:pStyle w:val="57"/>
        <w:ind w:firstLine="420"/>
        <w:rPr>
          <w:rFonts w:hAnsi="宋体"/>
          <w:szCs w:val="22"/>
        </w:rPr>
      </w:pPr>
      <w:r>
        <w:rPr>
          <w:rFonts w:hint="eastAsia" w:hAnsi="宋体"/>
          <w:szCs w:val="22"/>
        </w:rPr>
        <w:t>[3]   老年人活动策划与组织[M].北京:海洋出版社,2017.</w:t>
      </w:r>
    </w:p>
    <w:p>
      <w:pPr>
        <w:pStyle w:val="57"/>
        <w:ind w:firstLine="420"/>
        <w:rPr>
          <w:rFonts w:hAnsi="宋体"/>
          <w:szCs w:val="22"/>
        </w:rPr>
      </w:pPr>
      <w:r>
        <w:rPr>
          <w:rFonts w:hint="eastAsia" w:hAnsi="宋体"/>
          <w:szCs w:val="22"/>
        </w:rPr>
        <w:t>[4]   老年人活动策划与组织[M].北京:北京师范大学出版社,2021.</w:t>
      </w:r>
    </w:p>
    <w:p>
      <w:pPr>
        <w:pStyle w:val="57"/>
        <w:ind w:firstLine="420"/>
        <w:rPr>
          <w:rFonts w:hAnsi="宋体"/>
          <w:szCs w:val="22"/>
        </w:rPr>
      </w:pPr>
      <w:r>
        <w:rPr>
          <w:rFonts w:hint="eastAsia" w:hAnsi="宋体"/>
          <w:szCs w:val="22"/>
        </w:rPr>
        <w:t>[5]   老年活动策划与组织（第三版）[M].南京:南京大学出版社,2022.</w:t>
      </w:r>
    </w:p>
    <w:bookmarkEnd w:id="125"/>
    <w:p>
      <w:pPr>
        <w:pStyle w:val="57"/>
        <w:ind w:firstLine="0" w:firstLineChars="0"/>
        <w:jc w:val="center"/>
      </w:pPr>
      <w:bookmarkStart w:id="127"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27"/>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left"/>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MZ/T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left"/>
      <w:rPr>
        <w:rFonts w:ascii="黑体" w:hAnsi="黑体" w:eastAsia="黑体"/>
        <w:sz w:val="21"/>
        <w:szCs w:val="21"/>
      </w:rPr>
    </w:pPr>
    <w:r>
      <w:rPr>
        <w:rFonts w:ascii="黑体" w:hAnsi="黑体" w:eastAsia="黑体"/>
        <w:sz w:val="21"/>
        <w:szCs w:val="21"/>
      </w:rPr>
      <w:fldChar w:fldCharType="begin"/>
    </w:r>
    <w:r>
      <w:rPr>
        <w:rFonts w:ascii="黑体" w:hAnsi="黑体" w:eastAsia="黑体"/>
        <w:sz w:val="21"/>
        <w:szCs w:val="21"/>
      </w:rPr>
      <w:instrText xml:space="preserve"> STYLEREF  标准文件_文件编号  \* MERGEFORMAT </w:instrText>
    </w:r>
    <w:r>
      <w:rPr>
        <w:rFonts w:ascii="黑体" w:hAnsi="黑体" w:eastAsia="黑体"/>
        <w:sz w:val="21"/>
        <w:szCs w:val="21"/>
      </w:rPr>
      <w:fldChar w:fldCharType="separate"/>
    </w:r>
    <w:r>
      <w:rPr>
        <w:rFonts w:ascii="黑体" w:hAnsi="黑体" w:eastAsia="黑体"/>
        <w:sz w:val="21"/>
        <w:szCs w:val="21"/>
      </w:rPr>
      <w:t>MZ/T XXXXX—XXXX</w:t>
    </w:r>
    <w:r>
      <w:rPr>
        <w:rFonts w:ascii="黑体" w:hAnsi="黑体" w:eastAsia="黑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9B3F4B3"/>
    <w:multiLevelType w:val="multilevel"/>
    <w:tmpl w:val="59B3F4B3"/>
    <w:lvl w:ilvl="0" w:tentative="0">
      <w:start w:val="1"/>
      <w:numFmt w:val="none"/>
      <w:suff w:val="nothing"/>
      <w:lvlText w:val="%1——"/>
      <w:lvlJc w:val="left"/>
      <w:pPr>
        <w:tabs>
          <w:tab w:val="left" w:pos="0"/>
        </w:tabs>
        <w:ind w:left="4094" w:hanging="408"/>
      </w:pPr>
      <w:rPr>
        <w:rFonts w:hint="eastAsia"/>
      </w:rPr>
    </w:lvl>
    <w:lvl w:ilvl="1" w:tentative="0">
      <w:start w:val="1"/>
      <w:numFmt w:val="bullet"/>
      <w:lvlText w:val=""/>
      <w:lvlJc w:val="left"/>
      <w:pPr>
        <w:tabs>
          <w:tab w:val="left" w:pos="760"/>
        </w:tabs>
        <w:ind w:left="1264" w:hanging="413"/>
      </w:pPr>
      <w:rPr>
        <w:rFonts w:hint="default" w:ascii="Symbol" w:hAnsi="Symbol"/>
        <w:color w:val="auto"/>
      </w:rPr>
    </w:lvl>
    <w:lvl w:ilvl="2" w:tentative="0">
      <w:start w:val="1"/>
      <w:numFmt w:val="bullet"/>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1">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8"/>
  </w:num>
  <w:num w:numId="6">
    <w:abstractNumId w:val="13"/>
  </w:num>
  <w:num w:numId="7">
    <w:abstractNumId w:val="8"/>
  </w:num>
  <w:num w:numId="8">
    <w:abstractNumId w:val="3"/>
  </w:num>
  <w:num w:numId="9">
    <w:abstractNumId w:val="9"/>
  </w:num>
  <w:num w:numId="10">
    <w:abstractNumId w:val="16"/>
  </w:num>
  <w:num w:numId="11">
    <w:abstractNumId w:val="26"/>
  </w:num>
  <w:num w:numId="12">
    <w:abstractNumId w:val="11"/>
  </w:num>
  <w:num w:numId="13">
    <w:abstractNumId w:val="12"/>
  </w:num>
  <w:num w:numId="14">
    <w:abstractNumId w:val="7"/>
  </w:num>
  <w:num w:numId="15">
    <w:abstractNumId w:val="19"/>
  </w:num>
  <w:num w:numId="16">
    <w:abstractNumId w:val="22"/>
  </w:num>
  <w:num w:numId="17">
    <w:abstractNumId w:val="17"/>
  </w:num>
  <w:num w:numId="18">
    <w:abstractNumId w:val="30"/>
  </w:num>
  <w:num w:numId="19">
    <w:abstractNumId w:val="15"/>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attachedTemplate r:id="rId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5NjkxMWExNjA5NTJkOGNhYTJkZTM2MzkwZjE2YTUifQ=="/>
  </w:docVars>
  <w:rsids>
    <w:rsidRoot w:val="00B81DB7"/>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10E8"/>
    <w:rsid w:val="0004249A"/>
    <w:rsid w:val="00043282"/>
    <w:rsid w:val="00044286"/>
    <w:rsid w:val="00047F28"/>
    <w:rsid w:val="00047F8C"/>
    <w:rsid w:val="000503AA"/>
    <w:rsid w:val="000506A1"/>
    <w:rsid w:val="000515DD"/>
    <w:rsid w:val="00051F5E"/>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7666"/>
    <w:rsid w:val="000D0A9C"/>
    <w:rsid w:val="000D1795"/>
    <w:rsid w:val="000D2F41"/>
    <w:rsid w:val="000D329A"/>
    <w:rsid w:val="000D4740"/>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512"/>
    <w:rsid w:val="00156B25"/>
    <w:rsid w:val="00156E1A"/>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775C9"/>
    <w:rsid w:val="00180828"/>
    <w:rsid w:val="001852C9"/>
    <w:rsid w:val="00190087"/>
    <w:rsid w:val="001913C4"/>
    <w:rsid w:val="0019348F"/>
    <w:rsid w:val="00193A07"/>
    <w:rsid w:val="00194C95"/>
    <w:rsid w:val="00195C34"/>
    <w:rsid w:val="001A1A53"/>
    <w:rsid w:val="001A234A"/>
    <w:rsid w:val="001B06E8"/>
    <w:rsid w:val="001B193E"/>
    <w:rsid w:val="001B71D0"/>
    <w:rsid w:val="001B71EE"/>
    <w:rsid w:val="001C04A8"/>
    <w:rsid w:val="001C2C03"/>
    <w:rsid w:val="001C42F7"/>
    <w:rsid w:val="001C49E5"/>
    <w:rsid w:val="001C680C"/>
    <w:rsid w:val="001C7FEA"/>
    <w:rsid w:val="001D0499"/>
    <w:rsid w:val="001D0BBE"/>
    <w:rsid w:val="001D0ED4"/>
    <w:rsid w:val="001D18DA"/>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107D"/>
    <w:rsid w:val="00202AA4"/>
    <w:rsid w:val="002031F7"/>
    <w:rsid w:val="002040E6"/>
    <w:rsid w:val="0020527B"/>
    <w:rsid w:val="00205F2C"/>
    <w:rsid w:val="00210B15"/>
    <w:rsid w:val="002142EA"/>
    <w:rsid w:val="002204BB"/>
    <w:rsid w:val="00221B79"/>
    <w:rsid w:val="00221C6B"/>
    <w:rsid w:val="00224596"/>
    <w:rsid w:val="002253A1"/>
    <w:rsid w:val="00225CF8"/>
    <w:rsid w:val="0022718D"/>
    <w:rsid w:val="0022794E"/>
    <w:rsid w:val="00233D64"/>
    <w:rsid w:val="0023478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4BC"/>
    <w:rsid w:val="002643C3"/>
    <w:rsid w:val="00264A0C"/>
    <w:rsid w:val="00265C4F"/>
    <w:rsid w:val="00267EF4"/>
    <w:rsid w:val="00270CB8"/>
    <w:rsid w:val="00272B08"/>
    <w:rsid w:val="00281BB8"/>
    <w:rsid w:val="00281E9E"/>
    <w:rsid w:val="00285170"/>
    <w:rsid w:val="00285361"/>
    <w:rsid w:val="00291B25"/>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3E3"/>
    <w:rsid w:val="002B4508"/>
    <w:rsid w:val="002B5779"/>
    <w:rsid w:val="002B7332"/>
    <w:rsid w:val="002B7F51"/>
    <w:rsid w:val="002C09E7"/>
    <w:rsid w:val="002C3F07"/>
    <w:rsid w:val="002C5278"/>
    <w:rsid w:val="002C7EBB"/>
    <w:rsid w:val="002D06C1"/>
    <w:rsid w:val="002D42B5"/>
    <w:rsid w:val="002D4F1A"/>
    <w:rsid w:val="002D6DA6"/>
    <w:rsid w:val="002D6EC6"/>
    <w:rsid w:val="002D79AC"/>
    <w:rsid w:val="002E039D"/>
    <w:rsid w:val="002E4D5A"/>
    <w:rsid w:val="002E6326"/>
    <w:rsid w:val="002F30E0"/>
    <w:rsid w:val="002F35E4"/>
    <w:rsid w:val="002F3730"/>
    <w:rsid w:val="002F38E1"/>
    <w:rsid w:val="002F7AF6"/>
    <w:rsid w:val="00300E63"/>
    <w:rsid w:val="00302F5F"/>
    <w:rsid w:val="0030441D"/>
    <w:rsid w:val="003045FC"/>
    <w:rsid w:val="00306063"/>
    <w:rsid w:val="00313B85"/>
    <w:rsid w:val="00317988"/>
    <w:rsid w:val="003221B4"/>
    <w:rsid w:val="00322E62"/>
    <w:rsid w:val="00324EDD"/>
    <w:rsid w:val="003331E4"/>
    <w:rsid w:val="00336C64"/>
    <w:rsid w:val="00337162"/>
    <w:rsid w:val="0034194F"/>
    <w:rsid w:val="00342DB8"/>
    <w:rsid w:val="00344605"/>
    <w:rsid w:val="003474AA"/>
    <w:rsid w:val="00350D1D"/>
    <w:rsid w:val="00351901"/>
    <w:rsid w:val="00352C83"/>
    <w:rsid w:val="003615D2"/>
    <w:rsid w:val="0036429C"/>
    <w:rsid w:val="00364A53"/>
    <w:rsid w:val="003654CB"/>
    <w:rsid w:val="00365F86"/>
    <w:rsid w:val="00365F87"/>
    <w:rsid w:val="0036640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0BD9"/>
    <w:rsid w:val="003B1F18"/>
    <w:rsid w:val="003B5BF0"/>
    <w:rsid w:val="003B60BF"/>
    <w:rsid w:val="003B6BE3"/>
    <w:rsid w:val="003C010C"/>
    <w:rsid w:val="003C0A6C"/>
    <w:rsid w:val="003C2859"/>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3F72A3"/>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63CD"/>
    <w:rsid w:val="0046264E"/>
    <w:rsid w:val="00463B77"/>
    <w:rsid w:val="00463C7B"/>
    <w:rsid w:val="00463F02"/>
    <w:rsid w:val="004644A6"/>
    <w:rsid w:val="004659BD"/>
    <w:rsid w:val="00470775"/>
    <w:rsid w:val="004715BD"/>
    <w:rsid w:val="004746B1"/>
    <w:rsid w:val="0047583F"/>
    <w:rsid w:val="00484936"/>
    <w:rsid w:val="00485C89"/>
    <w:rsid w:val="00486BE3"/>
    <w:rsid w:val="004905E4"/>
    <w:rsid w:val="00490A89"/>
    <w:rsid w:val="00490AB4"/>
    <w:rsid w:val="004920D8"/>
    <w:rsid w:val="00492F02"/>
    <w:rsid w:val="004939AE"/>
    <w:rsid w:val="004A12DF"/>
    <w:rsid w:val="004A1BA8"/>
    <w:rsid w:val="004A4B57"/>
    <w:rsid w:val="004A63FA"/>
    <w:rsid w:val="004B0272"/>
    <w:rsid w:val="004B2701"/>
    <w:rsid w:val="004B2E1B"/>
    <w:rsid w:val="004B3E93"/>
    <w:rsid w:val="004C1FBC"/>
    <w:rsid w:val="004C3F1D"/>
    <w:rsid w:val="004C458D"/>
    <w:rsid w:val="004C7556"/>
    <w:rsid w:val="004C7E9D"/>
    <w:rsid w:val="004C7F67"/>
    <w:rsid w:val="004D076D"/>
    <w:rsid w:val="004D0EF1"/>
    <w:rsid w:val="004D189E"/>
    <w:rsid w:val="004D2253"/>
    <w:rsid w:val="004D4406"/>
    <w:rsid w:val="004D7C42"/>
    <w:rsid w:val="004E0465"/>
    <w:rsid w:val="004E127B"/>
    <w:rsid w:val="004E1C0A"/>
    <w:rsid w:val="004E3014"/>
    <w:rsid w:val="004E30C5"/>
    <w:rsid w:val="004E4AA5"/>
    <w:rsid w:val="004E4AEE"/>
    <w:rsid w:val="004E59E3"/>
    <w:rsid w:val="004E67C0"/>
    <w:rsid w:val="004F391A"/>
    <w:rsid w:val="004F3CFB"/>
    <w:rsid w:val="004F6456"/>
    <w:rsid w:val="004F696E"/>
    <w:rsid w:val="004F6C71"/>
    <w:rsid w:val="004F7B87"/>
    <w:rsid w:val="00501139"/>
    <w:rsid w:val="00502991"/>
    <w:rsid w:val="0050363E"/>
    <w:rsid w:val="005039BC"/>
    <w:rsid w:val="005043BB"/>
    <w:rsid w:val="00504A3D"/>
    <w:rsid w:val="00505767"/>
    <w:rsid w:val="005073F0"/>
    <w:rsid w:val="00510A7B"/>
    <w:rsid w:val="00512F6E"/>
    <w:rsid w:val="00513038"/>
    <w:rsid w:val="00514174"/>
    <w:rsid w:val="00516088"/>
    <w:rsid w:val="00516B0B"/>
    <w:rsid w:val="005207F4"/>
    <w:rsid w:val="005220EC"/>
    <w:rsid w:val="00523F95"/>
    <w:rsid w:val="00524D65"/>
    <w:rsid w:val="00525B16"/>
    <w:rsid w:val="00533D04"/>
    <w:rsid w:val="00534804"/>
    <w:rsid w:val="00534BDF"/>
    <w:rsid w:val="005354EA"/>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3544"/>
    <w:rsid w:val="00596160"/>
    <w:rsid w:val="005966E2"/>
    <w:rsid w:val="00597007"/>
    <w:rsid w:val="005A0966"/>
    <w:rsid w:val="005A11B7"/>
    <w:rsid w:val="005A260B"/>
    <w:rsid w:val="005A4A1B"/>
    <w:rsid w:val="005A7830"/>
    <w:rsid w:val="005A7FCE"/>
    <w:rsid w:val="005B0F3F"/>
    <w:rsid w:val="005B3CDA"/>
    <w:rsid w:val="005B4903"/>
    <w:rsid w:val="005B51CE"/>
    <w:rsid w:val="005B5885"/>
    <w:rsid w:val="005B5CD7"/>
    <w:rsid w:val="005B6CF6"/>
    <w:rsid w:val="005B7422"/>
    <w:rsid w:val="005C29B8"/>
    <w:rsid w:val="005C5F21"/>
    <w:rsid w:val="005C7156"/>
    <w:rsid w:val="005D0C75"/>
    <w:rsid w:val="005D1492"/>
    <w:rsid w:val="005D1E63"/>
    <w:rsid w:val="005D4171"/>
    <w:rsid w:val="005D6A95"/>
    <w:rsid w:val="005D6B2C"/>
    <w:rsid w:val="005D6C5A"/>
    <w:rsid w:val="005D6D9C"/>
    <w:rsid w:val="005E2335"/>
    <w:rsid w:val="005E34CA"/>
    <w:rsid w:val="005E3C18"/>
    <w:rsid w:val="005E6318"/>
    <w:rsid w:val="005E6812"/>
    <w:rsid w:val="005E7829"/>
    <w:rsid w:val="005E7881"/>
    <w:rsid w:val="005E78E0"/>
    <w:rsid w:val="005F0D9C"/>
    <w:rsid w:val="005F284E"/>
    <w:rsid w:val="006015CE"/>
    <w:rsid w:val="00604784"/>
    <w:rsid w:val="00606419"/>
    <w:rsid w:val="00607D29"/>
    <w:rsid w:val="00612952"/>
    <w:rsid w:val="00614CC1"/>
    <w:rsid w:val="00615A9D"/>
    <w:rsid w:val="00617387"/>
    <w:rsid w:val="006252D8"/>
    <w:rsid w:val="006259BC"/>
    <w:rsid w:val="0062636B"/>
    <w:rsid w:val="00632182"/>
    <w:rsid w:val="00632AE0"/>
    <w:rsid w:val="00632C04"/>
    <w:rsid w:val="00633C17"/>
    <w:rsid w:val="00636E3E"/>
    <w:rsid w:val="006379F7"/>
    <w:rsid w:val="00637E4D"/>
    <w:rsid w:val="00640620"/>
    <w:rsid w:val="0064072E"/>
    <w:rsid w:val="00641A1F"/>
    <w:rsid w:val="0064528D"/>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4B94"/>
    <w:rsid w:val="006B54BF"/>
    <w:rsid w:val="006B5F44"/>
    <w:rsid w:val="006B5F90"/>
    <w:rsid w:val="006B62E4"/>
    <w:rsid w:val="006B7562"/>
    <w:rsid w:val="006C1BBA"/>
    <w:rsid w:val="006C2079"/>
    <w:rsid w:val="006C2241"/>
    <w:rsid w:val="006C317D"/>
    <w:rsid w:val="006C5A62"/>
    <w:rsid w:val="006C5D68"/>
    <w:rsid w:val="006C6976"/>
    <w:rsid w:val="006C6DD0"/>
    <w:rsid w:val="006D04EA"/>
    <w:rsid w:val="006D16C4"/>
    <w:rsid w:val="006D3E96"/>
    <w:rsid w:val="006D4515"/>
    <w:rsid w:val="006D4BB1"/>
    <w:rsid w:val="006D6593"/>
    <w:rsid w:val="006D686E"/>
    <w:rsid w:val="006F03A8"/>
    <w:rsid w:val="006F126C"/>
    <w:rsid w:val="006F2ACA"/>
    <w:rsid w:val="006F2ADC"/>
    <w:rsid w:val="006F2BFE"/>
    <w:rsid w:val="006F31E9"/>
    <w:rsid w:val="006F56E5"/>
    <w:rsid w:val="006F6284"/>
    <w:rsid w:val="007002C5"/>
    <w:rsid w:val="0070348B"/>
    <w:rsid w:val="00704387"/>
    <w:rsid w:val="00707669"/>
    <w:rsid w:val="00711CBA"/>
    <w:rsid w:val="00711FB5"/>
    <w:rsid w:val="00712A01"/>
    <w:rsid w:val="00714F58"/>
    <w:rsid w:val="00722FBF"/>
    <w:rsid w:val="00722FC2"/>
    <w:rsid w:val="00725949"/>
    <w:rsid w:val="00727FA2"/>
    <w:rsid w:val="007307B7"/>
    <w:rsid w:val="007322D9"/>
    <w:rsid w:val="00732BC0"/>
    <w:rsid w:val="00732F4E"/>
    <w:rsid w:val="0073720F"/>
    <w:rsid w:val="00737796"/>
    <w:rsid w:val="0074165C"/>
    <w:rsid w:val="00742C35"/>
    <w:rsid w:val="007432CA"/>
    <w:rsid w:val="007439EB"/>
    <w:rsid w:val="00743CB4"/>
    <w:rsid w:val="00743F0A"/>
    <w:rsid w:val="007444E8"/>
    <w:rsid w:val="0074548E"/>
    <w:rsid w:val="00745773"/>
    <w:rsid w:val="00746800"/>
    <w:rsid w:val="00747CF0"/>
    <w:rsid w:val="007501A8"/>
    <w:rsid w:val="00750EE1"/>
    <w:rsid w:val="00752B4D"/>
    <w:rsid w:val="00755402"/>
    <w:rsid w:val="00756B26"/>
    <w:rsid w:val="00756EDF"/>
    <w:rsid w:val="00765C43"/>
    <w:rsid w:val="00765EFB"/>
    <w:rsid w:val="007671CA"/>
    <w:rsid w:val="0076744F"/>
    <w:rsid w:val="00767C61"/>
    <w:rsid w:val="0077008A"/>
    <w:rsid w:val="00773C1F"/>
    <w:rsid w:val="00774DA4"/>
    <w:rsid w:val="00776599"/>
    <w:rsid w:val="0078114B"/>
    <w:rsid w:val="00781DD2"/>
    <w:rsid w:val="00783ECF"/>
    <w:rsid w:val="0078413A"/>
    <w:rsid w:val="0079523D"/>
    <w:rsid w:val="007959E8"/>
    <w:rsid w:val="00795E9C"/>
    <w:rsid w:val="007A0521"/>
    <w:rsid w:val="007A2E12"/>
    <w:rsid w:val="007A3475"/>
    <w:rsid w:val="007A41C8"/>
    <w:rsid w:val="007A54CE"/>
    <w:rsid w:val="007A6FD9"/>
    <w:rsid w:val="007A7FFA"/>
    <w:rsid w:val="007B04EB"/>
    <w:rsid w:val="007B0D4F"/>
    <w:rsid w:val="007B2CD6"/>
    <w:rsid w:val="007B5A3D"/>
    <w:rsid w:val="007B5B95"/>
    <w:rsid w:val="007B68EA"/>
    <w:rsid w:val="007B7453"/>
    <w:rsid w:val="007C0500"/>
    <w:rsid w:val="007C2D89"/>
    <w:rsid w:val="007C4593"/>
    <w:rsid w:val="007C5309"/>
    <w:rsid w:val="007C6069"/>
    <w:rsid w:val="007D06C4"/>
    <w:rsid w:val="007D1352"/>
    <w:rsid w:val="007D2508"/>
    <w:rsid w:val="007D346A"/>
    <w:rsid w:val="007D6518"/>
    <w:rsid w:val="007D76BD"/>
    <w:rsid w:val="007E0BF1"/>
    <w:rsid w:val="007E0D02"/>
    <w:rsid w:val="007E258B"/>
    <w:rsid w:val="007F0ED8"/>
    <w:rsid w:val="007F0F63"/>
    <w:rsid w:val="007F1209"/>
    <w:rsid w:val="007F3748"/>
    <w:rsid w:val="007F75CE"/>
    <w:rsid w:val="008013A4"/>
    <w:rsid w:val="008027CE"/>
    <w:rsid w:val="00802F42"/>
    <w:rsid w:val="00804383"/>
    <w:rsid w:val="00804BB7"/>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73A"/>
    <w:rsid w:val="00854343"/>
    <w:rsid w:val="00860297"/>
    <w:rsid w:val="008603CE"/>
    <w:rsid w:val="008620FC"/>
    <w:rsid w:val="008627A5"/>
    <w:rsid w:val="00863E05"/>
    <w:rsid w:val="0086431E"/>
    <w:rsid w:val="00865ACA"/>
    <w:rsid w:val="00865D28"/>
    <w:rsid w:val="00865F85"/>
    <w:rsid w:val="00867C10"/>
    <w:rsid w:val="00870439"/>
    <w:rsid w:val="00870DA1"/>
    <w:rsid w:val="00874982"/>
    <w:rsid w:val="008807AB"/>
    <w:rsid w:val="00883F93"/>
    <w:rsid w:val="00884DB3"/>
    <w:rsid w:val="00885A9D"/>
    <w:rsid w:val="008864F6"/>
    <w:rsid w:val="0089049D"/>
    <w:rsid w:val="008928C9"/>
    <w:rsid w:val="008938DC"/>
    <w:rsid w:val="00893FD1"/>
    <w:rsid w:val="00894836"/>
    <w:rsid w:val="00895172"/>
    <w:rsid w:val="00895317"/>
    <w:rsid w:val="00895680"/>
    <w:rsid w:val="00896DFF"/>
    <w:rsid w:val="0089703D"/>
    <w:rsid w:val="0089762C"/>
    <w:rsid w:val="008A1893"/>
    <w:rsid w:val="008A769A"/>
    <w:rsid w:val="008B0C9C"/>
    <w:rsid w:val="008B166D"/>
    <w:rsid w:val="008B17F4"/>
    <w:rsid w:val="008B3615"/>
    <w:rsid w:val="008B4AC4"/>
    <w:rsid w:val="008B50C8"/>
    <w:rsid w:val="008B5281"/>
    <w:rsid w:val="008B7E05"/>
    <w:rsid w:val="008C1797"/>
    <w:rsid w:val="008C219C"/>
    <w:rsid w:val="008C475E"/>
    <w:rsid w:val="008C4767"/>
    <w:rsid w:val="008C619A"/>
    <w:rsid w:val="008D0CE8"/>
    <w:rsid w:val="008D0DE0"/>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8DC"/>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1FA3"/>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4782"/>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464"/>
    <w:rsid w:val="009B6971"/>
    <w:rsid w:val="009C27F1"/>
    <w:rsid w:val="009C3152"/>
    <w:rsid w:val="009C4CFA"/>
    <w:rsid w:val="009C5070"/>
    <w:rsid w:val="009D112C"/>
    <w:rsid w:val="009D47FA"/>
    <w:rsid w:val="009D50D2"/>
    <w:rsid w:val="009D6BCA"/>
    <w:rsid w:val="009D72B9"/>
    <w:rsid w:val="009E0F62"/>
    <w:rsid w:val="009E1848"/>
    <w:rsid w:val="009E4A58"/>
    <w:rsid w:val="009E5A2D"/>
    <w:rsid w:val="009E5AB2"/>
    <w:rsid w:val="009E6219"/>
    <w:rsid w:val="009F03B3"/>
    <w:rsid w:val="00A01757"/>
    <w:rsid w:val="00A028C0"/>
    <w:rsid w:val="00A02BAE"/>
    <w:rsid w:val="00A05AA6"/>
    <w:rsid w:val="00A06A6B"/>
    <w:rsid w:val="00A07E47"/>
    <w:rsid w:val="00A129D0"/>
    <w:rsid w:val="00A12C33"/>
    <w:rsid w:val="00A138BA"/>
    <w:rsid w:val="00A14C8E"/>
    <w:rsid w:val="00A153D9"/>
    <w:rsid w:val="00A15F09"/>
    <w:rsid w:val="00A169B6"/>
    <w:rsid w:val="00A2271D"/>
    <w:rsid w:val="00A237D5"/>
    <w:rsid w:val="00A30EFC"/>
    <w:rsid w:val="00A31598"/>
    <w:rsid w:val="00A31984"/>
    <w:rsid w:val="00A32D73"/>
    <w:rsid w:val="00A3367B"/>
    <w:rsid w:val="00A3597D"/>
    <w:rsid w:val="00A4006C"/>
    <w:rsid w:val="00A40091"/>
    <w:rsid w:val="00A4030F"/>
    <w:rsid w:val="00A41C79"/>
    <w:rsid w:val="00A41CB5"/>
    <w:rsid w:val="00A42CDF"/>
    <w:rsid w:val="00A4307B"/>
    <w:rsid w:val="00A43A28"/>
    <w:rsid w:val="00A4452E"/>
    <w:rsid w:val="00A4472C"/>
    <w:rsid w:val="00A44E69"/>
    <w:rsid w:val="00A4661E"/>
    <w:rsid w:val="00A55BD6"/>
    <w:rsid w:val="00A55D50"/>
    <w:rsid w:val="00A57142"/>
    <w:rsid w:val="00A61D48"/>
    <w:rsid w:val="00A648CD"/>
    <w:rsid w:val="00A6537A"/>
    <w:rsid w:val="00A66AF4"/>
    <w:rsid w:val="00A67866"/>
    <w:rsid w:val="00A70B07"/>
    <w:rsid w:val="00A723F8"/>
    <w:rsid w:val="00A77CCB"/>
    <w:rsid w:val="00A83D8D"/>
    <w:rsid w:val="00A83E19"/>
    <w:rsid w:val="00A8446B"/>
    <w:rsid w:val="00A8473F"/>
    <w:rsid w:val="00A862D6"/>
    <w:rsid w:val="00A8715E"/>
    <w:rsid w:val="00A87647"/>
    <w:rsid w:val="00A9295B"/>
    <w:rsid w:val="00A93B09"/>
    <w:rsid w:val="00A952D7"/>
    <w:rsid w:val="00A963F7"/>
    <w:rsid w:val="00A96AD8"/>
    <w:rsid w:val="00AA052C"/>
    <w:rsid w:val="00AA1E45"/>
    <w:rsid w:val="00AA30E6"/>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D89"/>
    <w:rsid w:val="00AE070A"/>
    <w:rsid w:val="00AE101C"/>
    <w:rsid w:val="00AE232F"/>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432"/>
    <w:rsid w:val="00B447A5"/>
    <w:rsid w:val="00B4654C"/>
    <w:rsid w:val="00B47293"/>
    <w:rsid w:val="00B50E50"/>
    <w:rsid w:val="00B52120"/>
    <w:rsid w:val="00B54ABC"/>
    <w:rsid w:val="00B56FBE"/>
    <w:rsid w:val="00B62B58"/>
    <w:rsid w:val="00B65149"/>
    <w:rsid w:val="00B66567"/>
    <w:rsid w:val="00B66F52"/>
    <w:rsid w:val="00B66FE5"/>
    <w:rsid w:val="00B72880"/>
    <w:rsid w:val="00B758BF"/>
    <w:rsid w:val="00B75C7D"/>
    <w:rsid w:val="00B81DB7"/>
    <w:rsid w:val="00B82152"/>
    <w:rsid w:val="00B827A6"/>
    <w:rsid w:val="00B831CE"/>
    <w:rsid w:val="00B86677"/>
    <w:rsid w:val="00B87131"/>
    <w:rsid w:val="00B939B1"/>
    <w:rsid w:val="00B96D40"/>
    <w:rsid w:val="00B97386"/>
    <w:rsid w:val="00B978DB"/>
    <w:rsid w:val="00BA263B"/>
    <w:rsid w:val="00BA42B2"/>
    <w:rsid w:val="00BA58D4"/>
    <w:rsid w:val="00BA5B9E"/>
    <w:rsid w:val="00BA7C9A"/>
    <w:rsid w:val="00BB5F8F"/>
    <w:rsid w:val="00BB657A"/>
    <w:rsid w:val="00BC1A4E"/>
    <w:rsid w:val="00BC5DC7"/>
    <w:rsid w:val="00BC6B41"/>
    <w:rsid w:val="00BC6B8B"/>
    <w:rsid w:val="00BC73D8"/>
    <w:rsid w:val="00BD52D7"/>
    <w:rsid w:val="00BD5AD2"/>
    <w:rsid w:val="00BE22F3"/>
    <w:rsid w:val="00BE5B52"/>
    <w:rsid w:val="00BE7B8D"/>
    <w:rsid w:val="00BF0993"/>
    <w:rsid w:val="00BF10A9"/>
    <w:rsid w:val="00BF1703"/>
    <w:rsid w:val="00BF231C"/>
    <w:rsid w:val="00BF51E5"/>
    <w:rsid w:val="00BF74A6"/>
    <w:rsid w:val="00BF7718"/>
    <w:rsid w:val="00C013AD"/>
    <w:rsid w:val="00C020FB"/>
    <w:rsid w:val="00C04904"/>
    <w:rsid w:val="00C056B3"/>
    <w:rsid w:val="00C103E5"/>
    <w:rsid w:val="00C13319"/>
    <w:rsid w:val="00C13EE9"/>
    <w:rsid w:val="00C21540"/>
    <w:rsid w:val="00C21906"/>
    <w:rsid w:val="00C21BFA"/>
    <w:rsid w:val="00C24C8D"/>
    <w:rsid w:val="00C25FE2"/>
    <w:rsid w:val="00C260F4"/>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6741"/>
    <w:rsid w:val="00CA0417"/>
    <w:rsid w:val="00CA2D1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EEF"/>
    <w:rsid w:val="00CE0C4F"/>
    <w:rsid w:val="00CE30EA"/>
    <w:rsid w:val="00CF048A"/>
    <w:rsid w:val="00CF155A"/>
    <w:rsid w:val="00CF2947"/>
    <w:rsid w:val="00CF4E76"/>
    <w:rsid w:val="00CF686F"/>
    <w:rsid w:val="00CF6E60"/>
    <w:rsid w:val="00CF7BCA"/>
    <w:rsid w:val="00D008FD"/>
    <w:rsid w:val="00D01693"/>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32719"/>
    <w:rsid w:val="00D33333"/>
    <w:rsid w:val="00D34CB7"/>
    <w:rsid w:val="00D352A2"/>
    <w:rsid w:val="00D4162B"/>
    <w:rsid w:val="00D4514F"/>
    <w:rsid w:val="00D451E2"/>
    <w:rsid w:val="00D45E89"/>
    <w:rsid w:val="00D45E8D"/>
    <w:rsid w:val="00D466AE"/>
    <w:rsid w:val="00D4734F"/>
    <w:rsid w:val="00D51BF3"/>
    <w:rsid w:val="00D54B98"/>
    <w:rsid w:val="00D56D85"/>
    <w:rsid w:val="00D66846"/>
    <w:rsid w:val="00D675FB"/>
    <w:rsid w:val="00D71F25"/>
    <w:rsid w:val="00D77031"/>
    <w:rsid w:val="00D81136"/>
    <w:rsid w:val="00D82333"/>
    <w:rsid w:val="00D84941"/>
    <w:rsid w:val="00D84FA1"/>
    <w:rsid w:val="00D851F0"/>
    <w:rsid w:val="00D86DB7"/>
    <w:rsid w:val="00D9060C"/>
    <w:rsid w:val="00D926D0"/>
    <w:rsid w:val="00D93030"/>
    <w:rsid w:val="00D950E1"/>
    <w:rsid w:val="00D952A6"/>
    <w:rsid w:val="00D97F99"/>
    <w:rsid w:val="00DA1E08"/>
    <w:rsid w:val="00DA24F8"/>
    <w:rsid w:val="00DA28E8"/>
    <w:rsid w:val="00DA38D3"/>
    <w:rsid w:val="00DA3932"/>
    <w:rsid w:val="00DA3AFC"/>
    <w:rsid w:val="00DA64F8"/>
    <w:rsid w:val="00DA6C15"/>
    <w:rsid w:val="00DB38EE"/>
    <w:rsid w:val="00DB498B"/>
    <w:rsid w:val="00DB66CA"/>
    <w:rsid w:val="00DB6BCA"/>
    <w:rsid w:val="00DB7113"/>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A10"/>
    <w:rsid w:val="00E01138"/>
    <w:rsid w:val="00E02DFB"/>
    <w:rsid w:val="00E030F9"/>
    <w:rsid w:val="00E0311A"/>
    <w:rsid w:val="00E03138"/>
    <w:rsid w:val="00E06404"/>
    <w:rsid w:val="00E11A85"/>
    <w:rsid w:val="00E12495"/>
    <w:rsid w:val="00E15CCD"/>
    <w:rsid w:val="00E15D9E"/>
    <w:rsid w:val="00E202EF"/>
    <w:rsid w:val="00E210B5"/>
    <w:rsid w:val="00E2552F"/>
    <w:rsid w:val="00E3137A"/>
    <w:rsid w:val="00E32213"/>
    <w:rsid w:val="00E32CCF"/>
    <w:rsid w:val="00E33542"/>
    <w:rsid w:val="00E34A98"/>
    <w:rsid w:val="00E35D1E"/>
    <w:rsid w:val="00E364F9"/>
    <w:rsid w:val="00E365FA"/>
    <w:rsid w:val="00E36789"/>
    <w:rsid w:val="00E44A83"/>
    <w:rsid w:val="00E4693B"/>
    <w:rsid w:val="00E502C1"/>
    <w:rsid w:val="00E502DD"/>
    <w:rsid w:val="00E50D3A"/>
    <w:rsid w:val="00E51387"/>
    <w:rsid w:val="00E51E68"/>
    <w:rsid w:val="00E52EFD"/>
    <w:rsid w:val="00E5408A"/>
    <w:rsid w:val="00E56800"/>
    <w:rsid w:val="00E62FF9"/>
    <w:rsid w:val="00E635D6"/>
    <w:rsid w:val="00E639BC"/>
    <w:rsid w:val="00E664CC"/>
    <w:rsid w:val="00E70388"/>
    <w:rsid w:val="00E70B15"/>
    <w:rsid w:val="00E70F92"/>
    <w:rsid w:val="00E74C54"/>
    <w:rsid w:val="00E77A03"/>
    <w:rsid w:val="00E822E8"/>
    <w:rsid w:val="00E82554"/>
    <w:rsid w:val="00E82606"/>
    <w:rsid w:val="00E846C8"/>
    <w:rsid w:val="00E84957"/>
    <w:rsid w:val="00E84A55"/>
    <w:rsid w:val="00E85BFF"/>
    <w:rsid w:val="00E90391"/>
    <w:rsid w:val="00E906C2"/>
    <w:rsid w:val="00E9070B"/>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1542"/>
    <w:rsid w:val="00F0584D"/>
    <w:rsid w:val="00F06D37"/>
    <w:rsid w:val="00F07B9D"/>
    <w:rsid w:val="00F10926"/>
    <w:rsid w:val="00F11586"/>
    <w:rsid w:val="00F1183B"/>
    <w:rsid w:val="00F11C9F"/>
    <w:rsid w:val="00F12263"/>
    <w:rsid w:val="00F1409D"/>
    <w:rsid w:val="00F14214"/>
    <w:rsid w:val="00F157A9"/>
    <w:rsid w:val="00F25BB6"/>
    <w:rsid w:val="00F26B7E"/>
    <w:rsid w:val="00F27A3B"/>
    <w:rsid w:val="00F33817"/>
    <w:rsid w:val="00F3411B"/>
    <w:rsid w:val="00F3447F"/>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77D98"/>
    <w:rsid w:val="00F833BA"/>
    <w:rsid w:val="00F84FD0"/>
    <w:rsid w:val="00F859A8"/>
    <w:rsid w:val="00F9108B"/>
    <w:rsid w:val="00F91349"/>
    <w:rsid w:val="00F93A8A"/>
    <w:rsid w:val="00F95248"/>
    <w:rsid w:val="00F956A9"/>
    <w:rsid w:val="00F963ED"/>
    <w:rsid w:val="00F966CF"/>
    <w:rsid w:val="00F96CAE"/>
    <w:rsid w:val="00F97C99"/>
    <w:rsid w:val="00FA5AB7"/>
    <w:rsid w:val="00FA662D"/>
    <w:rsid w:val="00FA6730"/>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CF5"/>
    <w:rsid w:val="00FF3E7D"/>
    <w:rsid w:val="00FF5B99"/>
    <w:rsid w:val="00FF730C"/>
    <w:rsid w:val="00FF73F4"/>
    <w:rsid w:val="00FF7CE4"/>
    <w:rsid w:val="00FF7E39"/>
    <w:rsid w:val="04816C3F"/>
    <w:rsid w:val="0C637445"/>
    <w:rsid w:val="0D2D2E7F"/>
    <w:rsid w:val="11143C1C"/>
    <w:rsid w:val="1A1B18CA"/>
    <w:rsid w:val="1AA77BC7"/>
    <w:rsid w:val="22F506E6"/>
    <w:rsid w:val="246F263F"/>
    <w:rsid w:val="29231C8D"/>
    <w:rsid w:val="307F71A1"/>
    <w:rsid w:val="31676E9C"/>
    <w:rsid w:val="32A36BA3"/>
    <w:rsid w:val="340C5B48"/>
    <w:rsid w:val="40954700"/>
    <w:rsid w:val="42072F61"/>
    <w:rsid w:val="48580E98"/>
    <w:rsid w:val="49A00CB6"/>
    <w:rsid w:val="54E44ED6"/>
    <w:rsid w:val="5BDA79C2"/>
    <w:rsid w:val="5E224037"/>
    <w:rsid w:val="5ED602A4"/>
    <w:rsid w:val="6A7618FA"/>
    <w:rsid w:val="6C8C4185"/>
    <w:rsid w:val="70C57AAE"/>
    <w:rsid w:val="7D5E6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7"/>
    <w:qFormat/>
    <w:uiPriority w:val="0"/>
    <w:pPr>
      <w:keepNext/>
      <w:keepLines/>
      <w:spacing w:before="260" w:after="260" w:line="416" w:lineRule="auto"/>
      <w:outlineLvl w:val="2"/>
    </w:pPr>
    <w:rPr>
      <w:b/>
      <w:bCs/>
      <w:sz w:val="32"/>
      <w:szCs w:val="32"/>
    </w:rPr>
  </w:style>
  <w:style w:type="paragraph" w:styleId="6">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2">
    <w:name w:val="Body Text"/>
    <w:basedOn w:val="1"/>
    <w:link w:val="87"/>
    <w:qFormat/>
    <w:uiPriority w:val="0"/>
    <w:pPr>
      <w:spacing w:after="120"/>
    </w:pPr>
  </w:style>
  <w:style w:type="paragraph" w:styleId="12">
    <w:name w:val="toc 7"/>
    <w:basedOn w:val="1"/>
    <w:next w:val="1"/>
    <w:unhideWhenUsed/>
    <w:qFormat/>
    <w:uiPriority w:val="39"/>
    <w:pPr>
      <w:tabs>
        <w:tab w:val="right" w:leader="dot" w:pos="9344"/>
      </w:tabs>
      <w:spacing w:line="300" w:lineRule="exact"/>
      <w:ind w:left="1259"/>
    </w:pPr>
    <w:rPr>
      <w:rFonts w:ascii="宋体"/>
    </w:rPr>
  </w:style>
  <w:style w:type="paragraph" w:styleId="13">
    <w:name w:val="Normal Indent"/>
    <w:basedOn w:val="1"/>
    <w:qFormat/>
    <w:uiPriority w:val="0"/>
    <w:pPr>
      <w:ind w:firstLine="4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pPr>
      <w:spacing w:beforeAutospacing="1" w:afterAutospacing="1"/>
      <w:jc w:val="left"/>
    </w:pPr>
    <w:rPr>
      <w:kern w:val="0"/>
      <w:sz w:val="24"/>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3"/>
    <w:qFormat/>
    <w:uiPriority w:val="0"/>
    <w:rPr>
      <w:b/>
      <w:bCs/>
      <w:kern w:val="44"/>
      <w:sz w:val="44"/>
      <w:szCs w:val="44"/>
    </w:rPr>
  </w:style>
  <w:style w:type="character" w:customStyle="1" w:styleId="36">
    <w:name w:val="标题 2 Char"/>
    <w:link w:val="4"/>
    <w:qFormat/>
    <w:uiPriority w:val="0"/>
    <w:rPr>
      <w:rFonts w:ascii="Arial" w:hAnsi="Arial" w:eastAsia="黑体"/>
      <w:b/>
      <w:bCs/>
      <w:kern w:val="2"/>
      <w:sz w:val="32"/>
      <w:szCs w:val="32"/>
    </w:rPr>
  </w:style>
  <w:style w:type="character" w:customStyle="1" w:styleId="37">
    <w:name w:val="标题 3 Char"/>
    <w:link w:val="5"/>
    <w:qFormat/>
    <w:uiPriority w:val="0"/>
    <w:rPr>
      <w:b/>
      <w:bCs/>
      <w:kern w:val="2"/>
      <w:sz w:val="32"/>
      <w:szCs w:val="32"/>
    </w:rPr>
  </w:style>
  <w:style w:type="character" w:customStyle="1" w:styleId="38">
    <w:name w:val="标题 4 Char"/>
    <w:link w:val="6"/>
    <w:qFormat/>
    <w:uiPriority w:val="0"/>
    <w:rPr>
      <w:rFonts w:ascii="Arial" w:hAnsi="Arial" w:eastAsia="黑体"/>
      <w:b/>
      <w:bCs/>
      <w:kern w:val="2"/>
      <w:sz w:val="28"/>
      <w:szCs w:val="28"/>
    </w:rPr>
  </w:style>
  <w:style w:type="character" w:customStyle="1" w:styleId="39">
    <w:name w:val="标题 5 Char"/>
    <w:link w:val="7"/>
    <w:qFormat/>
    <w:uiPriority w:val="0"/>
    <w:rPr>
      <w:b/>
      <w:bCs/>
      <w:kern w:val="2"/>
      <w:sz w:val="28"/>
      <w:szCs w:val="28"/>
    </w:rPr>
  </w:style>
  <w:style w:type="character" w:customStyle="1" w:styleId="40">
    <w:name w:val="标题 6 Char"/>
    <w:link w:val="8"/>
    <w:qFormat/>
    <w:uiPriority w:val="0"/>
    <w:rPr>
      <w:rFonts w:ascii="Arial" w:hAnsi="Arial" w:eastAsia="黑体"/>
      <w:b/>
      <w:bCs/>
      <w:kern w:val="2"/>
      <w:sz w:val="24"/>
      <w:szCs w:val="24"/>
    </w:rPr>
  </w:style>
  <w:style w:type="character" w:customStyle="1" w:styleId="41">
    <w:name w:val="标题 7 Char"/>
    <w:link w:val="9"/>
    <w:qFormat/>
    <w:uiPriority w:val="0"/>
    <w:rPr>
      <w:b/>
      <w:bCs/>
      <w:kern w:val="2"/>
      <w:sz w:val="24"/>
      <w:szCs w:val="24"/>
    </w:rPr>
  </w:style>
  <w:style w:type="character" w:customStyle="1" w:styleId="42">
    <w:name w:val="标题 8 Char"/>
    <w:link w:val="10"/>
    <w:qFormat/>
    <w:uiPriority w:val="0"/>
    <w:rPr>
      <w:rFonts w:ascii="Arial" w:hAnsi="Arial" w:eastAsia="黑体"/>
      <w:kern w:val="2"/>
      <w:sz w:val="24"/>
      <w:szCs w:val="24"/>
    </w:rPr>
  </w:style>
  <w:style w:type="character" w:customStyle="1" w:styleId="43">
    <w:name w:val="标题 9 Char"/>
    <w:link w:val="11"/>
    <w:qFormat/>
    <w:uiPriority w:val="0"/>
    <w:rPr>
      <w:rFonts w:ascii="Arial" w:hAnsi="Arial" w:eastAsia="黑体"/>
      <w:kern w:val="2"/>
      <w:sz w:val="21"/>
      <w:szCs w:val="21"/>
    </w:rPr>
  </w:style>
  <w:style w:type="character" w:customStyle="1" w:styleId="44">
    <w:name w:val="页眉 Char"/>
    <w:link w:val="18"/>
    <w:qFormat/>
    <w:uiPriority w:val="99"/>
    <w:rPr>
      <w:kern w:val="2"/>
      <w:sz w:val="18"/>
      <w:szCs w:val="18"/>
    </w:rPr>
  </w:style>
  <w:style w:type="character" w:customStyle="1" w:styleId="45">
    <w:name w:val="页脚 Char"/>
    <w:link w:val="17"/>
    <w:qFormat/>
    <w:uiPriority w:val="99"/>
    <w:rPr>
      <w:rFonts w:ascii="宋体"/>
      <w:kern w:val="2"/>
      <w:sz w:val="18"/>
      <w:szCs w:val="18"/>
    </w:rPr>
  </w:style>
  <w:style w:type="character" w:customStyle="1" w:styleId="46">
    <w:name w:val="批注框文本 Char"/>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kern w:val="2"/>
      <w:sz w:val="21"/>
      <w:szCs w:val="21"/>
    </w:rPr>
  </w:style>
  <w:style w:type="character" w:customStyle="1" w:styleId="49">
    <w:name w:val="标题 Char"/>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2"/>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2"/>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frame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段"/>
    <w:link w:val="235"/>
    <w:qFormat/>
    <w:uiPriority w:val="0"/>
    <w:pPr>
      <w:tabs>
        <w:tab w:val="center" w:pos="4201"/>
        <w:tab w:val="right" w:leader="dot" w:pos="9298"/>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2">
    <w:name w:val="列项——（一级）"/>
    <w:qFormat/>
    <w:uiPriority w:val="0"/>
    <w:pPr>
      <w:widowControl w:val="0"/>
      <w:tabs>
        <w:tab w:val="left" w:pos="0"/>
      </w:tabs>
      <w:ind w:left="829" w:hanging="425"/>
      <w:jc w:val="both"/>
    </w:pPr>
    <w:rPr>
      <w:rFonts w:ascii="宋体" w:hAnsi="Times New Roman" w:eastAsia="宋体" w:cs="Times New Roman"/>
      <w:sz w:val="21"/>
      <w:lang w:val="en-US" w:eastAsia="zh-CN" w:bidi="ar-SA"/>
    </w:rPr>
  </w:style>
  <w:style w:type="paragraph" w:customStyle="1" w:styleId="233">
    <w:name w:val="二级条标题"/>
    <w:basedOn w:val="1"/>
    <w:next w:val="231"/>
    <w:qFormat/>
    <w:uiPriority w:val="0"/>
    <w:pPr>
      <w:widowControl/>
      <w:tabs>
        <w:tab w:val="left" w:pos="0"/>
        <w:tab w:val="left" w:pos="851"/>
        <w:tab w:val="left" w:pos="1310"/>
      </w:tabs>
      <w:adjustRightInd/>
      <w:spacing w:before="50" w:after="50" w:line="240" w:lineRule="auto"/>
      <w:jc w:val="left"/>
      <w:outlineLvl w:val="3"/>
    </w:pPr>
    <w:rPr>
      <w:rFonts w:ascii="黑体" w:hAnsi="Times New Roman" w:eastAsia="黑体"/>
      <w:kern w:val="0"/>
    </w:rPr>
  </w:style>
  <w:style w:type="paragraph" w:customStyle="1" w:styleId="234">
    <w:name w:val="附录章标题"/>
    <w:next w:val="231"/>
    <w:qFormat/>
    <w:uiPriority w:val="0"/>
    <w:pPr>
      <w:tabs>
        <w:tab w:val="left" w:pos="0"/>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235">
    <w:name w:val="段 Char"/>
    <w:link w:val="231"/>
    <w:qFormat/>
    <w:locked/>
    <w:uiPriority w:val="0"/>
    <w:rPr>
      <w:rFonts w:ascii="宋体"/>
      <w:sz w:val="21"/>
    </w:rPr>
  </w:style>
  <w:style w:type="paragraph" w:customStyle="1" w:styleId="236">
    <w:name w:val="参考文献"/>
    <w:next w:val="231"/>
    <w:qFormat/>
    <w:uiPriority w:val="0"/>
    <w:pPr>
      <w:keepNext/>
      <w:pageBreakBefore/>
      <w:shd w:val="clear" w:color="auto" w:fill="FFFFFF"/>
      <w:spacing w:before="640" w:after="200"/>
      <w:jc w:val="center"/>
      <w:outlineLvl w:val="0"/>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6D0F04399BF42F5813B58A271445296"/>
        <w:style w:val=""/>
        <w:category>
          <w:name w:val="常规"/>
          <w:gallery w:val="placeholder"/>
        </w:category>
        <w:types>
          <w:type w:val="bbPlcHdr"/>
        </w:types>
        <w:behaviors>
          <w:behavior w:val="content"/>
        </w:behaviors>
        <w:description w:val=""/>
        <w:guid w:val="{21BA5649-FA3F-4A41-9100-51D0C11CD7AC}"/>
      </w:docPartPr>
      <w:docPartBody>
        <w:p>
          <w:pPr>
            <w:pStyle w:val="5"/>
          </w:pPr>
          <w:r>
            <w:rPr>
              <w:rStyle w:val="4"/>
              <w:rFonts w:hint="eastAsia"/>
            </w:rPr>
            <w:t>单击或点击此处输入文字。</w:t>
          </w:r>
        </w:p>
      </w:docPartBody>
    </w:docPart>
    <w:docPart>
      <w:docPartPr>
        <w:name w:val="355C1442C3E24B32B9863881C6DBE266"/>
        <w:style w:val=""/>
        <w:category>
          <w:name w:val="常规"/>
          <w:gallery w:val="placeholder"/>
        </w:category>
        <w:types>
          <w:type w:val="bbPlcHdr"/>
        </w:types>
        <w:behaviors>
          <w:behavior w:val="content"/>
        </w:behaviors>
        <w:description w:val=""/>
        <w:guid w:val="{45F9EDE4-1C71-4A8C-942D-6E387749D712}"/>
      </w:docPartPr>
      <w:docPartBody>
        <w:p>
          <w:pPr>
            <w:pStyle w:val="6"/>
          </w:pPr>
          <w:r>
            <w:rPr>
              <w:rStyle w:val="4"/>
              <w:rFonts w:hint="eastAsia"/>
            </w:rPr>
            <w:t>选择一项。</w:t>
          </w:r>
        </w:p>
      </w:docPartBody>
    </w:docPart>
    <w:docPart>
      <w:docPartPr>
        <w:name w:val="D056D521EF1A4C3FB41D82A01A8A1FE5"/>
        <w:style w:val=""/>
        <w:category>
          <w:name w:val="常规"/>
          <w:gallery w:val="placeholder"/>
        </w:category>
        <w:types>
          <w:type w:val="bbPlcHdr"/>
        </w:types>
        <w:behaviors>
          <w:behavior w:val="content"/>
        </w:behaviors>
        <w:description w:val=""/>
        <w:guid w:val="{AB5637CB-0A5D-4870-8480-C33141ABDB17}"/>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2000000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69B"/>
    <w:rsid w:val="00092161"/>
    <w:rsid w:val="0020269B"/>
    <w:rsid w:val="00241B05"/>
    <w:rsid w:val="00326D99"/>
    <w:rsid w:val="003D536E"/>
    <w:rsid w:val="003F7486"/>
    <w:rsid w:val="00631072"/>
    <w:rsid w:val="006B044B"/>
    <w:rsid w:val="007D3179"/>
    <w:rsid w:val="008B70E5"/>
    <w:rsid w:val="009867E5"/>
    <w:rsid w:val="00F76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6D0F04399BF42F5813B58A27144529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55C1442C3E24B32B9863881C6DBE26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056D521EF1A4C3FB41D82A01A8A1FE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4145B6-741A-471F-BE02-3468B29C2492}">
  <ds:schemaRefs/>
</ds:datastoreItem>
</file>

<file path=docProps/app.xml><?xml version="1.0" encoding="utf-8"?>
<Properties xmlns="http://schemas.openxmlformats.org/officeDocument/2006/extended-properties" xmlns:vt="http://schemas.openxmlformats.org/officeDocument/2006/docPropsVTypes">
  <Template>行业标准.dotx</Template>
  <Company>PCMI</Company>
  <Pages>8</Pages>
  <Words>2737</Words>
  <Characters>2971</Characters>
  <Lines>30</Lines>
  <Paragraphs>8</Paragraphs>
  <TotalTime>97</TotalTime>
  <ScaleCrop>false</ScaleCrop>
  <LinksUpToDate>false</LinksUpToDate>
  <CharactersWithSpaces>3071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2023-05-28T04:42:00Z</dcterms:created>
  <dc:creator>Administrator</dc:creator>
  <dc:description>&lt;config cover="true" show_menu="true" version="1.0.0" doctype="SDKXY"&gt;_x000d_
&lt;/config&gt;</dc:description>
  <cp:lastModifiedBy>gaojun</cp:lastModifiedBy>
  <cp:lastPrinted>2023-08-14T06:12:00Z</cp:lastPrinted>
  <dcterms:modified xsi:type="dcterms:W3CDTF">2023-08-18T06:59:36Z</dcterms:modified>
  <dc:title>行业标准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2052-11.1.0.14309</vt:lpwstr>
  </property>
  <property fmtid="{D5CDD505-2E9C-101B-9397-08002B2CF9AE}" pid="15" name="ICV">
    <vt:lpwstr>25577F3B310A4FCC88AFF3CB5EA384C0_13</vt:lpwstr>
  </property>
</Properties>
</file>