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p>
    <w:p>
      <w:pPr>
        <w:overflowPunct w:val="0"/>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基因测序仪临床评价</w:t>
      </w:r>
      <w:r>
        <w:rPr>
          <w:rFonts w:hint="eastAsia" w:ascii="Times New Roman" w:hAnsi="Times New Roman" w:eastAsia="方正小标宋简体" w:cs="Times New Roman"/>
          <w:bCs/>
          <w:color w:val="000000" w:themeColor="text1"/>
          <w:sz w:val="44"/>
          <w:szCs w:val="44"/>
          <w14:textFill>
            <w14:solidFill>
              <w14:schemeClr w14:val="tx1"/>
            </w14:solidFill>
          </w14:textFill>
        </w:rPr>
        <w:t>注册审查</w:t>
      </w:r>
      <w:r>
        <w:rPr>
          <w:rFonts w:ascii="Times New Roman" w:hAnsi="Times New Roman" w:eastAsia="方正小标宋简体" w:cs="Times New Roman"/>
          <w:bCs/>
          <w:color w:val="000000" w:themeColor="text1"/>
          <w:sz w:val="44"/>
          <w:szCs w:val="44"/>
          <w14:textFill>
            <w14:solidFill>
              <w14:schemeClr w14:val="tx1"/>
            </w14:solidFill>
          </w14:textFill>
        </w:rPr>
        <w:t>指导原则</w:t>
      </w:r>
    </w:p>
    <w:p>
      <w:pPr>
        <w:overflowPunct w:val="0"/>
        <w:spacing w:line="560" w:lineRule="exact"/>
        <w:jc w:val="center"/>
        <w:rPr>
          <w:rFonts w:ascii="Times New Roman" w:hAnsi="Times New Roman" w:eastAsia="方正小标宋简体" w:cs="Times New Roman"/>
          <w:bCs/>
          <w:color w:val="000000" w:themeColor="text1"/>
          <w:sz w:val="44"/>
          <w:szCs w:val="44"/>
          <w14:textFill>
            <w14:solidFill>
              <w14:schemeClr w14:val="tx1"/>
            </w14:solidFill>
          </w14:textFill>
        </w:rPr>
      </w:pPr>
      <w:r>
        <w:rPr>
          <w:rFonts w:ascii="Times New Roman" w:hAnsi="Times New Roman" w:eastAsia="方正小标宋简体" w:cs="Times New Roman"/>
          <w:bCs/>
          <w:color w:val="000000" w:themeColor="text1"/>
          <w:sz w:val="44"/>
          <w:szCs w:val="44"/>
          <w14:textFill>
            <w14:solidFill>
              <w14:schemeClr w14:val="tx1"/>
            </w14:solidFill>
          </w14:textFill>
        </w:rPr>
        <w:t>（</w:t>
      </w:r>
      <w:r>
        <w:rPr>
          <w:rFonts w:hint="eastAsia" w:ascii="Times New Roman" w:hAnsi="Times New Roman" w:eastAsia="方正小标宋简体" w:cs="Times New Roman"/>
          <w:bCs/>
          <w:color w:val="000000" w:themeColor="text1"/>
          <w:sz w:val="44"/>
          <w:szCs w:val="44"/>
          <w14:textFill>
            <w14:solidFill>
              <w14:schemeClr w14:val="tx1"/>
            </w14:solidFill>
          </w14:textFill>
        </w:rPr>
        <w:t>征求意见</w:t>
      </w:r>
      <w:r>
        <w:rPr>
          <w:rFonts w:ascii="Times New Roman" w:hAnsi="Times New Roman" w:eastAsia="方正小标宋简体" w:cs="Times New Roman"/>
          <w:bCs/>
          <w:color w:val="000000" w:themeColor="text1"/>
          <w:sz w:val="44"/>
          <w:szCs w:val="44"/>
          <w14:textFill>
            <w14:solidFill>
              <w14:schemeClr w14:val="tx1"/>
            </w14:solidFill>
          </w14:textFill>
        </w:rPr>
        <w:t>稿）</w:t>
      </w:r>
    </w:p>
    <w:p>
      <w:pPr>
        <w:spacing w:line="520" w:lineRule="exact"/>
        <w:ind w:firstLine="640" w:firstLineChars="200"/>
        <w:rPr>
          <w:rFonts w:ascii="Times New Roman" w:hAnsi="Times New Roman" w:eastAsia="仿宋_GB2312" w:cs="Times New Roman"/>
          <w:kern w:val="0"/>
          <w:sz w:val="32"/>
          <w:szCs w:val="32"/>
        </w:rPr>
      </w:pPr>
    </w:p>
    <w:p>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本指导原则旨在指导注册申请人对基因测序仪注册申报资料的准备及撰写，同时也为技术审评部门审评注册申报资料提供参考。应在遵循相关法规的前提下使用本指导原则。</w:t>
      </w:r>
    </w:p>
    <w:p>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本指导原则是对基因测序仪的一般要求，申请人应依据产品的具体特性确定其中内容是否适用</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若不适用，需具体阐述理由</w:t>
      </w:r>
      <w:r>
        <w:rPr>
          <w:rFonts w:hint="eastAsia" w:ascii="Times New Roman" w:hAnsi="Times New Roman" w:eastAsia="仿宋_GB2312" w:cs="Times New Roman"/>
          <w:kern w:val="0"/>
          <w:sz w:val="32"/>
          <w:szCs w:val="32"/>
        </w:rPr>
        <w:t>并提供</w:t>
      </w:r>
      <w:r>
        <w:rPr>
          <w:rFonts w:ascii="Times New Roman" w:hAnsi="Times New Roman" w:eastAsia="仿宋_GB2312" w:cs="Times New Roman"/>
          <w:kern w:val="0"/>
          <w:sz w:val="32"/>
          <w:szCs w:val="32"/>
        </w:rPr>
        <w:t>相应的科学依据，</w:t>
      </w:r>
      <w:r>
        <w:rPr>
          <w:rFonts w:hint="eastAsia" w:ascii="Times New Roman" w:hAnsi="Times New Roman" w:eastAsia="仿宋_GB2312" w:cs="Times New Roman"/>
          <w:kern w:val="0"/>
          <w:sz w:val="32"/>
          <w:szCs w:val="32"/>
        </w:rPr>
        <w:t>同时</w:t>
      </w:r>
      <w:r>
        <w:rPr>
          <w:rFonts w:ascii="Times New Roman" w:hAnsi="Times New Roman" w:eastAsia="仿宋_GB2312" w:cs="Times New Roman"/>
          <w:kern w:val="0"/>
          <w:sz w:val="32"/>
          <w:szCs w:val="32"/>
        </w:rPr>
        <w:t>依据产品的具体特性对注册申报资料的内容进行充实和细化。</w:t>
      </w:r>
    </w:p>
    <w:p>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本指导原则是在现行法规、标准体系</w:t>
      </w:r>
      <w:r>
        <w:rPr>
          <w:rFonts w:hint="eastAsia" w:ascii="Times New Roman" w:hAnsi="Times New Roman" w:eastAsia="仿宋_GB2312" w:cs="Times New Roman"/>
          <w:kern w:val="0"/>
          <w:sz w:val="32"/>
          <w:szCs w:val="32"/>
        </w:rPr>
        <w:t>和</w:t>
      </w:r>
      <w:r>
        <w:rPr>
          <w:rFonts w:ascii="Times New Roman" w:hAnsi="Times New Roman" w:eastAsia="仿宋_GB2312" w:cs="Times New Roman"/>
          <w:kern w:val="0"/>
          <w:sz w:val="32"/>
          <w:szCs w:val="32"/>
        </w:rPr>
        <w:t>当前</w:t>
      </w:r>
      <w:r>
        <w:rPr>
          <w:rFonts w:hint="eastAsia" w:ascii="Times New Roman" w:hAnsi="Times New Roman" w:eastAsia="仿宋_GB2312" w:cs="Times New Roman"/>
          <w:kern w:val="0"/>
          <w:sz w:val="32"/>
          <w:szCs w:val="32"/>
        </w:rPr>
        <w:t>科学</w:t>
      </w:r>
      <w:r>
        <w:rPr>
          <w:rFonts w:ascii="Times New Roman" w:hAnsi="Times New Roman" w:eastAsia="仿宋_GB2312" w:cs="Times New Roman"/>
          <w:kern w:val="0"/>
          <w:sz w:val="32"/>
          <w:szCs w:val="32"/>
        </w:rPr>
        <w:t>认知水平下制定的，随着法规、标准体系的不断完善和科学技术的不断发展，本指导原则相关内容也</w:t>
      </w:r>
      <w:r>
        <w:rPr>
          <w:rFonts w:hint="eastAsia" w:ascii="Times New Roman" w:hAnsi="Times New Roman" w:eastAsia="仿宋_GB2312" w:cs="Times New Roman"/>
          <w:kern w:val="0"/>
          <w:sz w:val="32"/>
          <w:szCs w:val="32"/>
        </w:rPr>
        <w:t>将</w:t>
      </w:r>
      <w:r>
        <w:rPr>
          <w:rFonts w:ascii="Times New Roman" w:hAnsi="Times New Roman" w:eastAsia="仿宋_GB2312" w:cs="Times New Roman"/>
          <w:kern w:val="0"/>
          <w:sz w:val="32"/>
          <w:szCs w:val="32"/>
        </w:rPr>
        <w:t>适时进行调整。</w:t>
      </w:r>
    </w:p>
    <w:p>
      <w:p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一</w:t>
      </w:r>
      <w:r>
        <w:rPr>
          <w:rFonts w:ascii="Times New Roman" w:hAnsi="Times New Roman" w:eastAsia="黑体" w:cs="Times New Roman"/>
          <w:bCs/>
          <w:color w:val="000000" w:themeColor="text1"/>
          <w:sz w:val="32"/>
          <w:szCs w:val="32"/>
          <w14:textFill>
            <w14:solidFill>
              <w14:schemeClr w14:val="tx1"/>
            </w14:solidFill>
          </w14:textFill>
        </w:rPr>
        <w:t>、适用范围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w:t>
      </w:r>
      <w:r>
        <w:rPr>
          <w:rFonts w:ascii="Times New Roman" w:hAnsi="Times New Roman" w:eastAsia="仿宋_GB2312" w:cs="Times New Roman"/>
          <w:color w:val="000000" w:themeColor="text1"/>
          <w:sz w:val="32"/>
          <w:szCs w:val="32"/>
          <w14:textFill>
            <w14:solidFill>
              <w14:schemeClr w14:val="tx1"/>
            </w14:solidFill>
          </w14:textFill>
        </w:rPr>
        <w:t>高通量测序的</w:t>
      </w:r>
      <w:r>
        <w:rPr>
          <w:rFonts w:ascii="Times New Roman" w:hAnsi="Times New Roman" w:eastAsia="仿宋_GB2312" w:cs="Times New Roman"/>
          <w:sz w:val="32"/>
          <w:szCs w:val="32"/>
        </w:rPr>
        <w:t>基因测序仪采用通过同品种医疗器械临床试验或临床使用获得的数据或通过自身临床试验数据进行临床评价。</w:t>
      </w:r>
    </w:p>
    <w:p>
      <w:pPr>
        <w:overflowPunct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目前高通量</w:t>
      </w:r>
      <w:r>
        <w:rPr>
          <w:rFonts w:hint="eastAsia" w:ascii="Times New Roman" w:hAnsi="Times New Roman" w:eastAsia="仿宋_GB2312" w:cs="Times New Roman"/>
          <w:sz w:val="32"/>
          <w:szCs w:val="32"/>
        </w:rPr>
        <w:t>基因</w:t>
      </w:r>
      <w:r>
        <w:rPr>
          <w:rFonts w:ascii="Times New Roman" w:hAnsi="Times New Roman" w:eastAsia="仿宋_GB2312" w:cs="Times New Roman"/>
          <w:sz w:val="32"/>
          <w:szCs w:val="32"/>
        </w:rPr>
        <w:t>测序技术即指第二代测序技术</w:t>
      </w:r>
      <w:r>
        <w:rPr>
          <w:rFonts w:hint="eastAsia" w:ascii="Times New Roman" w:hAnsi="Times New Roman" w:eastAsia="仿宋_GB2312" w:cs="Times New Roman"/>
          <w:sz w:val="32"/>
          <w:szCs w:val="32"/>
        </w:rPr>
        <w:t>或下一代测序（</w:t>
      </w:r>
      <w:r>
        <w:rPr>
          <w:rFonts w:ascii="Times New Roman" w:hAnsi="Times New Roman" w:eastAsia="仿宋_GB2312" w:cs="Times New Roman"/>
          <w:sz w:val="32"/>
          <w:szCs w:val="32"/>
        </w:rPr>
        <w:t xml:space="preserve">Next Generation Sequencing </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NGS</w:t>
      </w:r>
      <w:r>
        <w:rPr>
          <w:rFonts w:hint="eastAsia" w:ascii="Times New Roman" w:hAnsi="Times New Roman" w:eastAsia="仿宋_GB2312" w:cs="Times New Roman"/>
          <w:sz w:val="32"/>
          <w:szCs w:val="32"/>
        </w:rPr>
        <w:t>）技术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技术特征是：（1）通过测定单元的高度并行化来实现高通量（如每次运行获得数百Mb及Gb序列）；（2）由于化学、物理等原理的限制，序列读长较短，一般在150～200bp（个别原理可以实现600bp，比如焦磷酸测序法）；（3）核心技术成熟。使用的元件（比如Flow Cell、硅基阵列、微流控电导结构等）的加工技术（一般在微米尺度以上）技术成熟，器件结构和性能不具有挑战性。其主流平台包括：（1）DNA聚合酶循环测序法（单色或多色荧光底物标记）；（2）DNA连接酶循环测序法（单色或多色荧光底物标记）；（3）焦磷酸循环测序法（原理一：单色或多色底物荧光；原理二：电学传感器）。</w:t>
      </w:r>
      <w:r>
        <w:rPr>
          <w:rFonts w:ascii="Times New Roman" w:hAnsi="Times New Roman" w:eastAsia="仿宋_GB2312" w:cs="Times New Roman"/>
          <w:kern w:val="0"/>
          <w:sz w:val="32"/>
          <w:szCs w:val="32"/>
        </w:rPr>
        <w:t>基于其他技术的</w:t>
      </w:r>
      <w:r>
        <w:rPr>
          <w:rFonts w:hint="eastAsia" w:ascii="Times New Roman" w:hAnsi="Times New Roman" w:eastAsia="仿宋_GB2312" w:cs="Times New Roman"/>
          <w:sz w:val="32"/>
          <w:szCs w:val="32"/>
        </w:rPr>
        <w:t>基因测序仪</w:t>
      </w:r>
      <w:r>
        <w:rPr>
          <w:rFonts w:ascii="Times New Roman" w:hAnsi="Times New Roman" w:eastAsia="仿宋_GB2312" w:cs="Times New Roman"/>
          <w:kern w:val="0"/>
          <w:sz w:val="32"/>
          <w:szCs w:val="32"/>
        </w:rPr>
        <w:t>产品，可参照本指导原则相关适用条款并结合产品特点准备注册申报资料。</w:t>
      </w:r>
    </w:p>
    <w:p>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本指导原则适用于申请产品注册和相关许可事项变更的产品。</w:t>
      </w:r>
    </w:p>
    <w:p>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申请人应当按照《</w:t>
      </w:r>
      <w:r>
        <w:rPr>
          <w:rFonts w:hint="eastAsia" w:ascii="Times New Roman" w:hAnsi="Times New Roman" w:eastAsia="仿宋_GB2312" w:cs="Times New Roman"/>
          <w:kern w:val="0"/>
          <w:sz w:val="32"/>
          <w:szCs w:val="32"/>
        </w:rPr>
        <w:t>医疗器械临床评价技术指导原则</w:t>
      </w:r>
      <w:r>
        <w:rPr>
          <w:rFonts w:ascii="Times New Roman" w:hAnsi="Times New Roman" w:eastAsia="仿宋_GB2312" w:cs="Times New Roman"/>
          <w:kern w:val="0"/>
          <w:sz w:val="32"/>
          <w:szCs w:val="32"/>
        </w:rPr>
        <w:t>》的要求提交临床评价资料，选择通过同品种医疗器械临床试验或临床使用获得的数据进行分析评价，或者临床试验这两种评价路径中适用的任一方式，提交相应的临床评价资料。</w:t>
      </w:r>
    </w:p>
    <w:p>
      <w:p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二</w:t>
      </w:r>
      <w:r>
        <w:rPr>
          <w:rFonts w:ascii="Times New Roman" w:hAnsi="Times New Roman" w:eastAsia="黑体" w:cs="Times New Roman"/>
          <w:bCs/>
          <w:color w:val="000000" w:themeColor="text1"/>
          <w:sz w:val="32"/>
          <w:szCs w:val="32"/>
          <w14:textFill>
            <w14:solidFill>
              <w14:schemeClr w14:val="tx1"/>
            </w14:solidFill>
          </w14:textFill>
        </w:rPr>
        <w:t>、通过同品种医疗器械临床试验或临床使用获得的数据进行分析评价要求</w:t>
      </w:r>
    </w:p>
    <w:p>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（一）同品种基因测序仪判定</w:t>
      </w:r>
    </w:p>
    <w:p>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注册申请人可按照通则中“同品种医疗器械”的定义和判定，选择对比产品，并根据产品特征选择合适的对比项目，基于详实的研究结果，分析拟申报产品和同品种产品是否存在差异。</w:t>
      </w:r>
      <w:bookmarkStart w:id="0" w:name="OLE_LINK12"/>
    </w:p>
    <w:p>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申请人所选取的同品种基因测序仪，其与拟申报产品工作原理</w:t>
      </w:r>
      <w:r>
        <w:rPr>
          <w:rFonts w:hint="eastAsia" w:ascii="Times New Roman" w:hAnsi="Times New Roman" w:eastAsia="仿宋_GB2312" w:cs="Times New Roman"/>
          <w:color w:val="000000"/>
          <w:sz w:val="32"/>
          <w:szCs w:val="32"/>
        </w:rPr>
        <w:t>相同</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关键模块相同</w:t>
      </w:r>
      <w:r>
        <w:rPr>
          <w:rFonts w:ascii="Times New Roman" w:hAnsi="Times New Roman" w:eastAsia="仿宋_GB2312" w:cs="Times New Roman"/>
          <w:color w:val="000000"/>
          <w:sz w:val="32"/>
          <w:szCs w:val="32"/>
        </w:rPr>
        <w:t>，其</w:t>
      </w:r>
      <w:r>
        <w:rPr>
          <w:rFonts w:hint="eastAsia" w:ascii="Times New Roman" w:hAnsi="Times New Roman" w:eastAsia="仿宋_GB2312" w:cs="Times New Roman"/>
          <w:color w:val="000000"/>
          <w:sz w:val="32"/>
          <w:szCs w:val="32"/>
        </w:rPr>
        <w:t>数据质量（包含所测序列中每个碱基的准确度：一般为仪器或分析软件系统的碱基判定时特有的质量值（quality score））、一次运行（run）的数据产量（包括平均产量、最大产量、产量在质量Q值在不同质量阈值下的平均产量等）、测序在一定质量阈值下的平均读长（可包括高质量的最长读长和最短可用读长等）、仪器指定的不同</w:t>
      </w:r>
      <w:r>
        <w:rPr>
          <w:rFonts w:ascii="Times New Roman" w:hAnsi="Times New Roman" w:eastAsia="仿宋_GB2312" w:cs="Times New Roman"/>
          <w:color w:val="000000"/>
          <w:sz w:val="32"/>
          <w:szCs w:val="32"/>
        </w:rPr>
        <w:t>测序</w:t>
      </w:r>
      <w:r>
        <w:rPr>
          <w:rFonts w:hint="eastAsia" w:ascii="Times New Roman" w:hAnsi="Times New Roman" w:eastAsia="仿宋_GB2312" w:cs="Times New Roman"/>
          <w:color w:val="000000"/>
          <w:sz w:val="32"/>
          <w:szCs w:val="32"/>
        </w:rPr>
        <w:t>模式、不同测序模式产生的数据量和运行时间差异</w:t>
      </w:r>
      <w:r>
        <w:rPr>
          <w:rFonts w:ascii="Times New Roman" w:hAnsi="Times New Roman" w:eastAsia="仿宋_GB2312" w:cs="Times New Roman"/>
          <w:color w:val="000000"/>
          <w:sz w:val="32"/>
          <w:szCs w:val="32"/>
        </w:rPr>
        <w:t>等关键指标</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不应显著差异于拟申报产品。</w:t>
      </w:r>
      <w:bookmarkEnd w:id="0"/>
    </w:p>
    <w:p>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比项目包括但不限于附件1所列举的项目。对比内容包括定性和定量数据、验证和确认结果，应详述二者的相同性和差异性，对差异性是否对产品的安全有效性产生不利影响，应通过拟申报产品自身的数据进行验证和/或确认。对于相同性，也应提交充分的证据。</w:t>
      </w:r>
    </w:p>
    <w:p>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（二）拟申报产品与对比产品的评价关系</w:t>
      </w:r>
    </w:p>
    <w:p>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w:t>
      </w:r>
      <w:r>
        <w:rPr>
          <w:rFonts w:hint="eastAsia" w:ascii="Times New Roman" w:hAnsi="Times New Roman" w:eastAsia="仿宋_GB2312" w:cs="Times New Roman"/>
          <w:color w:val="000000"/>
          <w:sz w:val="32"/>
          <w:szCs w:val="32"/>
        </w:rPr>
        <w:t>医疗器械临床评价技术指导原则</w:t>
      </w:r>
      <w:r>
        <w:rPr>
          <w:rFonts w:ascii="Times New Roman" w:hAnsi="Times New Roman" w:eastAsia="仿宋_GB2312" w:cs="Times New Roman"/>
          <w:color w:val="000000"/>
          <w:sz w:val="32"/>
          <w:szCs w:val="32"/>
        </w:rPr>
        <w:t>》中规定的评价路径可知，拟申报产品与对比产品关系有两种，或为同品种产品，或为非同品种产品，如为同品种产品，还需对两者之间的差异是否对产品安全性、有效性产生不利影响进行进一步评价。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拟申报产品与对比产品的差异，注册申请人需分析差异性是否对产品的安全性和有效性产生不利影响，将拟申报产品自身的数据作为支持性资料，如申报产品的非临床研究数据、临床文献数据、临床经验数据、针对差异性</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临床试验数据等。注册申请人还需进一步评价差异是否影响性能参数，以及影响的程度和范围，必要时提供临床试验数据进行确认。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针对申报产品的</w:t>
      </w:r>
      <w:r>
        <w:rPr>
          <w:rFonts w:hint="eastAsia" w:ascii="Times New Roman" w:hAnsi="Times New Roman" w:eastAsia="仿宋_GB2312" w:cs="Times New Roman"/>
          <w:sz w:val="32"/>
          <w:szCs w:val="32"/>
        </w:rPr>
        <w:t>生化原理（包括但不限于酶学反应、信号发生、信号源强度等）、物理原理（包括但不限于信号采集部件、光源、滤光器件等）、碱基质量判断</w:t>
      </w:r>
      <w:r>
        <w:rPr>
          <w:rFonts w:ascii="Times New Roman" w:hAnsi="Times New Roman" w:eastAsia="仿宋_GB2312" w:cs="Times New Roman"/>
          <w:sz w:val="32"/>
          <w:szCs w:val="32"/>
        </w:rPr>
        <w:t>软件</w:t>
      </w:r>
      <w:r>
        <w:rPr>
          <w:rFonts w:hint="eastAsia" w:ascii="Times New Roman" w:hAnsi="Times New Roman" w:eastAsia="仿宋_GB2312" w:cs="Times New Roman"/>
          <w:sz w:val="32"/>
          <w:szCs w:val="32"/>
        </w:rPr>
        <w:t>（包括但不限于碱基判断</w:t>
      </w:r>
      <w:r>
        <w:rPr>
          <w:rFonts w:ascii="Times New Roman" w:hAnsi="Times New Roman" w:eastAsia="仿宋_GB2312" w:cs="Times New Roman"/>
          <w:sz w:val="32"/>
          <w:szCs w:val="32"/>
        </w:rPr>
        <w:t>算法、</w:t>
      </w:r>
      <w:r>
        <w:rPr>
          <w:rFonts w:hint="eastAsia" w:ascii="Times New Roman" w:hAnsi="Times New Roman" w:eastAsia="仿宋_GB2312" w:cs="Times New Roman"/>
          <w:sz w:val="32"/>
          <w:szCs w:val="32"/>
        </w:rPr>
        <w:t>核心数据集、错误率评估、系统弱点评估等）、</w:t>
      </w:r>
      <w:r>
        <w:rPr>
          <w:rFonts w:ascii="Times New Roman" w:hAnsi="Times New Roman" w:eastAsia="仿宋_GB2312" w:cs="Times New Roman"/>
          <w:sz w:val="32"/>
          <w:szCs w:val="32"/>
        </w:rPr>
        <w:t>系统</w:t>
      </w:r>
      <w:r>
        <w:rPr>
          <w:rFonts w:hint="eastAsia" w:ascii="Times New Roman" w:hAnsi="Times New Roman" w:eastAsia="仿宋_GB2312" w:cs="Times New Roman"/>
          <w:sz w:val="32"/>
          <w:szCs w:val="32"/>
        </w:rPr>
        <w:t>集成原理和性能（包括但不限于：系统结构、核心模块、系统操控软件、操控人需求、</w:t>
      </w:r>
      <w:r>
        <w:rPr>
          <w:rFonts w:ascii="Times New Roman" w:hAnsi="Times New Roman" w:eastAsia="仿宋_GB2312" w:cs="Times New Roman"/>
          <w:sz w:val="32"/>
          <w:szCs w:val="32"/>
        </w:rPr>
        <w:t>可靠性</w:t>
      </w:r>
      <w:r>
        <w:rPr>
          <w:rFonts w:hint="eastAsia" w:ascii="Times New Roman" w:hAnsi="Times New Roman" w:eastAsia="仿宋_GB2312" w:cs="Times New Roman"/>
          <w:sz w:val="32"/>
          <w:szCs w:val="32"/>
        </w:rPr>
        <w:t>等）等</w:t>
      </w:r>
      <w:r>
        <w:rPr>
          <w:rFonts w:ascii="Times New Roman" w:hAnsi="Times New Roman" w:eastAsia="仿宋_GB2312" w:cs="Times New Roman"/>
          <w:sz w:val="32"/>
          <w:szCs w:val="32"/>
        </w:rPr>
        <w:t>基本性能等通过功能测试过程与同品种产品进行对比。</w:t>
      </w:r>
    </w:p>
    <w:p>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与同品种产品相比，申报产品的性能指标、数据质量不低于对比产品时，可认为申报产品</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符合同品种产品预期的临床应用要求；若申报产品的关键</w:t>
      </w:r>
      <w:r>
        <w:rPr>
          <w:rFonts w:hint="eastAsia" w:ascii="Times New Roman" w:hAnsi="Times New Roman" w:eastAsia="仿宋_GB2312" w:cs="Times New Roman"/>
          <w:sz w:val="32"/>
          <w:szCs w:val="32"/>
        </w:rPr>
        <w:t>模块</w:t>
      </w:r>
      <w:r>
        <w:rPr>
          <w:rFonts w:ascii="Times New Roman" w:hAnsi="Times New Roman" w:eastAsia="仿宋_GB2312" w:cs="Times New Roman"/>
          <w:sz w:val="32"/>
          <w:szCs w:val="32"/>
        </w:rPr>
        <w:t>、产品结构、主要功能等与同品种产品具有显著差异，且该差异影响申报产品的性能指标，尤其是影响数据质量时，注册申请人还需开展对应差异的临床试验，对申报产品性能是否满足临床使用需要进行确认。</w:t>
      </w:r>
    </w:p>
    <w:p>
      <w:pPr>
        <w:autoSpaceDE w:val="0"/>
        <w:autoSpaceDN w:val="0"/>
        <w:adjustRightInd w:val="0"/>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不同情形评价关系所需提交的支持性资料不尽相同，具体内容见表1，表1给出的具体情况举例可能不能涵盖所有情况，申请人应根据拟申报产品的具体情况进行列举和判定，并给出判定的具体理由。</w:t>
      </w:r>
    </w:p>
    <w:p>
      <w:pPr>
        <w:pStyle w:val="2"/>
        <w:ind w:firstLine="640"/>
        <w:rPr>
          <w:rFonts w:ascii="Times New Roman" w:hAnsi="Times New Roman" w:eastAsia="仿宋_GB2312" w:cs="Times New Roman"/>
          <w:color w:val="000000"/>
          <w:sz w:val="32"/>
          <w:szCs w:val="32"/>
        </w:rPr>
      </w:pPr>
    </w:p>
    <w:p>
      <w:pPr>
        <w:autoSpaceDE w:val="0"/>
        <w:autoSpaceDN w:val="0"/>
        <w:adjustRightInd w:val="0"/>
        <w:spacing w:line="52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表1 拟申报产品与对比产品关系及需提交资料类型表</w:t>
      </w:r>
    </w:p>
    <w:tbl>
      <w:tblPr>
        <w:tblStyle w:val="10"/>
        <w:tblpPr w:leftFromText="180" w:rightFromText="180" w:vertAnchor="text" w:horzAnchor="margin" w:tblpXSpec="center" w:tblpY="22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440"/>
        <w:gridCol w:w="411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87" w:type="dxa"/>
            <w:vAlign w:val="center"/>
          </w:tcPr>
          <w:p>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拟申报产品与对比产品关系</w:t>
            </w:r>
          </w:p>
        </w:tc>
        <w:tc>
          <w:tcPr>
            <w:tcW w:w="1440" w:type="dxa"/>
            <w:vAlign w:val="center"/>
          </w:tcPr>
          <w:p>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拟申报产品与对比产品差异类型</w:t>
            </w:r>
          </w:p>
        </w:tc>
        <w:tc>
          <w:tcPr>
            <w:tcW w:w="4111" w:type="dxa"/>
            <w:vAlign w:val="center"/>
          </w:tcPr>
          <w:p>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具体情况举例</w:t>
            </w:r>
          </w:p>
        </w:tc>
        <w:tc>
          <w:tcPr>
            <w:tcW w:w="1701" w:type="dxa"/>
            <w:vAlign w:val="center"/>
          </w:tcPr>
          <w:p>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需提交</w:t>
            </w:r>
          </w:p>
          <w:p>
            <w:pPr>
              <w:spacing w:line="340" w:lineRule="exact"/>
              <w:jc w:val="center"/>
              <w:rPr>
                <w:rFonts w:ascii="Times New Roman" w:hAnsi="Times New Roman" w:eastAsia="黑体" w:cs="Times New Roman"/>
                <w:color w:val="000000"/>
                <w:spacing w:val="-4"/>
                <w:sz w:val="24"/>
              </w:rPr>
            </w:pPr>
            <w:r>
              <w:rPr>
                <w:rFonts w:ascii="Times New Roman" w:hAnsi="Times New Roman" w:eastAsia="黑体" w:cs="Times New Roman"/>
                <w:color w:val="000000"/>
                <w:spacing w:val="-4"/>
                <w:sz w:val="24"/>
              </w:rPr>
              <w:t>资料类型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787" w:type="dxa"/>
            <w:vMerge w:val="restart"/>
            <w:vAlign w:val="center"/>
          </w:tcPr>
          <w:p>
            <w:pPr>
              <w:spacing w:line="34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属于同品种（差异评价路径可参考附件3）</w:t>
            </w:r>
          </w:p>
        </w:tc>
        <w:tc>
          <w:tcPr>
            <w:tcW w:w="1440" w:type="dxa"/>
            <w:vAlign w:val="center"/>
          </w:tcPr>
          <w:p>
            <w:pPr>
              <w:spacing w:line="340" w:lineRule="exact"/>
              <w:jc w:val="center"/>
              <w:rPr>
                <w:rFonts w:ascii="Times New Roman" w:hAnsi="Times New Roman" w:eastAsia="仿宋_GB2312" w:cs="Times New Roman"/>
                <w:color w:val="000000"/>
                <w:spacing w:val="-4"/>
                <w:sz w:val="24"/>
              </w:rPr>
            </w:pPr>
            <w:r>
              <w:rPr>
                <w:rFonts w:hint="eastAsia" w:ascii="Times New Roman" w:hAnsi="Times New Roman" w:eastAsia="仿宋_GB2312" w:cs="Times New Roman"/>
                <w:color w:val="000000"/>
                <w:spacing w:val="-4"/>
                <w:sz w:val="24"/>
              </w:rPr>
              <w:t>通常提交</w:t>
            </w:r>
            <w:r>
              <w:rPr>
                <w:rFonts w:ascii="Times New Roman" w:hAnsi="Times New Roman" w:eastAsia="仿宋_GB2312" w:cs="Times New Roman"/>
                <w:color w:val="000000"/>
                <w:spacing w:val="-4"/>
                <w:sz w:val="24"/>
              </w:rPr>
              <w:t>非临床研究</w:t>
            </w:r>
            <w:r>
              <w:rPr>
                <w:rFonts w:hint="eastAsia" w:ascii="Times New Roman" w:hAnsi="Times New Roman" w:eastAsia="仿宋_GB2312" w:cs="Times New Roman"/>
                <w:color w:val="000000"/>
                <w:spacing w:val="-4"/>
                <w:sz w:val="24"/>
              </w:rPr>
              <w:t>可能充分证明的差异</w:t>
            </w:r>
          </w:p>
        </w:tc>
        <w:tc>
          <w:tcPr>
            <w:tcW w:w="4111" w:type="dxa"/>
            <w:vAlign w:val="center"/>
          </w:tcPr>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1.拟申报产品适用范围</w:t>
            </w:r>
            <w:r>
              <w:rPr>
                <w:rFonts w:hint="eastAsia" w:ascii="Times New Roman" w:hAnsi="Times New Roman" w:eastAsia="仿宋_GB2312" w:cs="Times New Roman"/>
                <w:color w:val="000000"/>
                <w:spacing w:val="-4"/>
                <w:sz w:val="24"/>
              </w:rPr>
              <w:t>不超出</w:t>
            </w:r>
            <w:r>
              <w:rPr>
                <w:rFonts w:ascii="Times New Roman" w:hAnsi="Times New Roman" w:eastAsia="仿宋_GB2312" w:cs="Times New Roman"/>
                <w:color w:val="000000"/>
                <w:spacing w:val="-4"/>
                <w:sz w:val="24"/>
              </w:rPr>
              <w:t>对比产品。</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2.拟申报产品芯片密度与对比产品</w:t>
            </w:r>
            <w:r>
              <w:rPr>
                <w:rFonts w:hint="eastAsia" w:ascii="Times New Roman" w:hAnsi="Times New Roman" w:eastAsia="仿宋_GB2312" w:cs="Times New Roman"/>
                <w:color w:val="000000"/>
                <w:spacing w:val="-4"/>
                <w:sz w:val="24"/>
              </w:rPr>
              <w:t>相当</w:t>
            </w:r>
            <w:r>
              <w:rPr>
                <w:rFonts w:ascii="Times New Roman" w:hAnsi="Times New Roman" w:eastAsia="仿宋_GB2312" w:cs="Times New Roman"/>
                <w:color w:val="000000"/>
                <w:spacing w:val="-4"/>
                <w:sz w:val="24"/>
              </w:rPr>
              <w:t>，仅数量不一致</w:t>
            </w:r>
            <w:r>
              <w:rPr>
                <w:rFonts w:hint="eastAsia" w:ascii="Times New Roman" w:hAnsi="Times New Roman" w:eastAsia="仿宋_GB2312" w:cs="Times New Roman"/>
                <w:color w:val="000000"/>
                <w:spacing w:val="-4"/>
                <w:sz w:val="24"/>
              </w:rPr>
              <w:t>，后期信号数据处理基本一致</w:t>
            </w:r>
            <w:r>
              <w:rPr>
                <w:rFonts w:ascii="Times New Roman" w:hAnsi="Times New Roman" w:eastAsia="仿宋_GB2312" w:cs="Times New Roman"/>
                <w:color w:val="000000"/>
                <w:spacing w:val="-4"/>
                <w:sz w:val="24"/>
              </w:rPr>
              <w:t>。</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3.拟申报产品流动槽支架的性能与对比产品不一致。</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4.拟申报产品流体自动化模块的性能与对比产品不一致。</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5.拟申报产品缓冲剂吸管装置的性能与对比产品不一致。</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以上差异未造成性能差异和数据质量下降。</w:t>
            </w:r>
          </w:p>
        </w:tc>
        <w:tc>
          <w:tcPr>
            <w:tcW w:w="1701" w:type="dxa"/>
            <w:vAlign w:val="center"/>
          </w:tcPr>
          <w:p>
            <w:pPr>
              <w:spacing w:line="340" w:lineRule="exact"/>
              <w:jc w:val="center"/>
              <w:rPr>
                <w:rFonts w:ascii="Times New Roman" w:hAnsi="Times New Roman" w:eastAsia="仿宋_GB2312" w:cs="Times New Roman"/>
                <w:color w:val="000000"/>
                <w:spacing w:val="-4"/>
                <w:sz w:val="24"/>
              </w:rPr>
            </w:pPr>
            <w:r>
              <w:rPr>
                <w:rFonts w:hint="eastAsia" w:ascii="Times New Roman" w:hAnsi="Times New Roman" w:eastAsia="仿宋_GB2312" w:cs="Times New Roman"/>
                <w:color w:val="000000"/>
                <w:spacing w:val="-4"/>
                <w:sz w:val="24"/>
              </w:rPr>
              <w:t>通常提交</w:t>
            </w:r>
            <w:r>
              <w:rPr>
                <w:rFonts w:ascii="Times New Roman" w:hAnsi="Times New Roman" w:eastAsia="仿宋_GB2312" w:cs="Times New Roman"/>
                <w:color w:val="000000"/>
                <w:spacing w:val="-4"/>
                <w:sz w:val="24"/>
              </w:rPr>
              <w:t>非临床研究</w:t>
            </w:r>
            <w:r>
              <w:rPr>
                <w:rFonts w:hint="eastAsia" w:ascii="Times New Roman" w:hAnsi="Times New Roman" w:eastAsia="仿宋_GB2312" w:cs="Times New Roman"/>
                <w:color w:val="000000"/>
                <w:spacing w:val="-4"/>
                <w:sz w:val="24"/>
              </w:rPr>
              <w:t>可能充分证明的差异：</w:t>
            </w:r>
            <w:r>
              <w:rPr>
                <w:rFonts w:ascii="Times New Roman" w:hAnsi="Times New Roman" w:eastAsia="仿宋_GB2312" w:cs="Times New Roman"/>
                <w:color w:val="000000"/>
                <w:spacing w:val="-4"/>
                <w:sz w:val="24"/>
              </w:rPr>
              <w:t>非临床研究、和/或临床文献数据、和/或临床经验数据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787" w:type="dxa"/>
            <w:vMerge w:val="continue"/>
            <w:vAlign w:val="center"/>
          </w:tcPr>
          <w:p>
            <w:pPr>
              <w:keepNext/>
              <w:keepLines/>
              <w:spacing w:before="260" w:after="260" w:line="340" w:lineRule="exact"/>
              <w:jc w:val="center"/>
              <w:rPr>
                <w:rFonts w:ascii="Times New Roman" w:hAnsi="Times New Roman" w:eastAsia="仿宋_GB2312" w:cs="Times New Roman"/>
                <w:color w:val="000000"/>
                <w:spacing w:val="-4"/>
                <w:sz w:val="24"/>
              </w:rPr>
            </w:pPr>
          </w:p>
        </w:tc>
        <w:tc>
          <w:tcPr>
            <w:tcW w:w="1440" w:type="dxa"/>
            <w:vAlign w:val="center"/>
          </w:tcPr>
          <w:p>
            <w:pPr>
              <w:spacing w:line="340" w:lineRule="exact"/>
              <w:jc w:val="center"/>
              <w:rPr>
                <w:rFonts w:ascii="Times New Roman" w:hAnsi="Times New Roman" w:eastAsia="仿宋_GB2312" w:cs="Times New Roman"/>
                <w:color w:val="000000"/>
                <w:spacing w:val="-4"/>
                <w:sz w:val="24"/>
              </w:rPr>
            </w:pPr>
            <w:r>
              <w:rPr>
                <w:rFonts w:hint="eastAsia" w:ascii="Times New Roman" w:hAnsi="Times New Roman" w:eastAsia="仿宋_GB2312" w:cs="Times New Roman"/>
                <w:color w:val="000000"/>
                <w:spacing w:val="-4"/>
                <w:sz w:val="24"/>
              </w:rPr>
              <w:t>需要提交</w:t>
            </w:r>
            <w:r>
              <w:rPr>
                <w:rFonts w:ascii="Times New Roman" w:hAnsi="Times New Roman" w:eastAsia="仿宋_GB2312" w:cs="Times New Roman"/>
                <w:color w:val="000000"/>
                <w:spacing w:val="-4"/>
                <w:sz w:val="24"/>
              </w:rPr>
              <w:t>临床试验资料</w:t>
            </w:r>
            <w:r>
              <w:rPr>
                <w:rFonts w:hint="eastAsia" w:ascii="Times New Roman" w:hAnsi="Times New Roman" w:eastAsia="仿宋_GB2312" w:cs="Times New Roman"/>
                <w:color w:val="000000"/>
                <w:spacing w:val="-4"/>
                <w:sz w:val="24"/>
              </w:rPr>
              <w:t>的差异</w:t>
            </w:r>
          </w:p>
        </w:tc>
        <w:tc>
          <w:tcPr>
            <w:tcW w:w="4111" w:type="dxa"/>
            <w:vAlign w:val="center"/>
          </w:tcPr>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1.拟申报产品适用范围多于对比产品。</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2.拟申报产品软件组件的主要功能、核心算法</w:t>
            </w:r>
            <w:r>
              <w:rPr>
                <w:rFonts w:hint="eastAsia" w:ascii="Times New Roman" w:hAnsi="Times New Roman" w:eastAsia="仿宋_GB2312" w:cs="Times New Roman"/>
                <w:color w:val="000000"/>
                <w:spacing w:val="-4"/>
                <w:sz w:val="24"/>
              </w:rPr>
              <w:t>（信号采集、信号建模、信号纠错等）</w:t>
            </w:r>
            <w:r>
              <w:rPr>
                <w:rFonts w:ascii="Times New Roman" w:hAnsi="Times New Roman" w:eastAsia="仿宋_GB2312" w:cs="Times New Roman"/>
                <w:color w:val="000000"/>
                <w:spacing w:val="-4"/>
                <w:sz w:val="24"/>
              </w:rPr>
              <w:t>与对比产品不一致。</w:t>
            </w:r>
          </w:p>
          <w:p>
            <w:pPr>
              <w:pStyle w:val="2"/>
              <w:ind w:left="0" w:leftChars="0" w:firstLine="0" w:firstLineChars="0"/>
              <w:rPr>
                <w:rFonts w:ascii="Times New Roman" w:hAnsi="Times New Roman" w:cs="Times New Roman"/>
              </w:rPr>
            </w:pPr>
            <w:r>
              <w:rPr>
                <w:rFonts w:ascii="Times New Roman" w:hAnsi="Times New Roman" w:eastAsia="仿宋_GB2312" w:cs="Times New Roman"/>
                <w:color w:val="000000"/>
                <w:spacing w:val="-4"/>
              </w:rPr>
              <w:t>3.拟申报产品芯片</w:t>
            </w:r>
            <w:r>
              <w:rPr>
                <w:rFonts w:hint="eastAsia" w:ascii="Times New Roman" w:hAnsi="Times New Roman" w:eastAsia="仿宋_GB2312" w:cs="Times New Roman"/>
                <w:color w:val="000000"/>
                <w:spacing w:val="-4"/>
              </w:rPr>
              <w:t>设计构架、密度及后期信号数据处理</w:t>
            </w:r>
            <w:r>
              <w:rPr>
                <w:rFonts w:ascii="Times New Roman" w:hAnsi="Times New Roman" w:eastAsia="仿宋_GB2312" w:cs="Times New Roman"/>
                <w:color w:val="000000"/>
                <w:spacing w:val="-4"/>
              </w:rPr>
              <w:t>等关键</w:t>
            </w:r>
            <w:r>
              <w:rPr>
                <w:rFonts w:hint="eastAsia" w:ascii="Times New Roman" w:hAnsi="Times New Roman" w:eastAsia="仿宋_GB2312" w:cs="Times New Roman"/>
                <w:color w:val="000000"/>
                <w:spacing w:val="-4"/>
              </w:rPr>
              <w:t>功能</w:t>
            </w:r>
            <w:r>
              <w:rPr>
                <w:rFonts w:ascii="Times New Roman" w:hAnsi="Times New Roman" w:eastAsia="仿宋_GB2312" w:cs="Times New Roman"/>
                <w:color w:val="000000"/>
                <w:spacing w:val="-4"/>
              </w:rPr>
              <w:t>有较大差异。</w:t>
            </w:r>
          </w:p>
        </w:tc>
        <w:tc>
          <w:tcPr>
            <w:tcW w:w="1701" w:type="dxa"/>
            <w:vAlign w:val="center"/>
          </w:tcPr>
          <w:p>
            <w:pPr>
              <w:spacing w:line="34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针对差异的临床试验资料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87" w:type="dxa"/>
            <w:vAlign w:val="center"/>
          </w:tcPr>
          <w:p>
            <w:pPr>
              <w:spacing w:line="34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不属于同品种</w:t>
            </w:r>
          </w:p>
        </w:tc>
        <w:tc>
          <w:tcPr>
            <w:tcW w:w="1440" w:type="dxa"/>
            <w:vAlign w:val="center"/>
          </w:tcPr>
          <w:p>
            <w:pPr>
              <w:keepNext/>
              <w:keepLines/>
              <w:spacing w:before="260" w:after="260" w:line="340" w:lineRule="exact"/>
              <w:jc w:val="center"/>
              <w:rPr>
                <w:rFonts w:ascii="Times New Roman" w:hAnsi="Times New Roman" w:eastAsia="仿宋_GB2312" w:cs="Times New Roman"/>
                <w:color w:val="000000"/>
                <w:spacing w:val="-4"/>
                <w:sz w:val="24"/>
              </w:rPr>
            </w:pPr>
          </w:p>
        </w:tc>
        <w:tc>
          <w:tcPr>
            <w:tcW w:w="4111" w:type="dxa"/>
            <w:vAlign w:val="center"/>
          </w:tcPr>
          <w:p>
            <w:pPr>
              <w:spacing w:line="340" w:lineRule="exact"/>
              <w:rPr>
                <w:rFonts w:ascii="Times New Roman" w:hAnsi="Times New Roman" w:eastAsia="仿宋_GB2312" w:cs="Times New Roman"/>
                <w:color w:val="000000"/>
                <w:spacing w:val="-4"/>
                <w:sz w:val="24"/>
              </w:rPr>
            </w:pPr>
            <w:bookmarkStart w:id="1" w:name="OLE_LINK9"/>
            <w:bookmarkStart w:id="2" w:name="OLE_LINK8"/>
            <w:r>
              <w:rPr>
                <w:rFonts w:ascii="Times New Roman" w:hAnsi="Times New Roman" w:eastAsia="仿宋_GB2312" w:cs="Times New Roman"/>
                <w:color w:val="000000"/>
                <w:spacing w:val="-4"/>
                <w:sz w:val="24"/>
              </w:rPr>
              <w:t>1.拟申报产品的</w:t>
            </w:r>
            <w:bookmarkEnd w:id="1"/>
            <w:bookmarkEnd w:id="2"/>
            <w:r>
              <w:rPr>
                <w:rFonts w:ascii="Times New Roman" w:hAnsi="Times New Roman" w:eastAsia="仿宋_GB2312" w:cs="Times New Roman"/>
                <w:color w:val="000000"/>
                <w:spacing w:val="-4"/>
                <w:sz w:val="24"/>
              </w:rPr>
              <w:t>工作原理与对比产品不相同。</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2.拟申报产品的检测原理和判读方法与对比产品不相同。</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3.拟申报产品的使用环境与对比产品不相同。如台式、便携式与落地式。</w:t>
            </w:r>
          </w:p>
          <w:p>
            <w:pPr>
              <w:spacing w:line="340" w:lineRule="exact"/>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4.拟申报产品关键模块的原理与对比产品不一致。如成像模块的原理不一致。</w:t>
            </w:r>
          </w:p>
          <w:p>
            <w:pPr>
              <w:spacing w:line="340" w:lineRule="exact"/>
              <w:rPr>
                <w:rFonts w:ascii="Times New Roman" w:hAnsi="Times New Roman" w:eastAsia="仿宋_GB2312" w:cs="Times New Roman"/>
                <w:color w:val="000000"/>
                <w:spacing w:val="-6"/>
                <w:sz w:val="24"/>
              </w:rPr>
            </w:pPr>
            <w:r>
              <w:rPr>
                <w:rFonts w:ascii="Times New Roman" w:hAnsi="Times New Roman" w:eastAsia="仿宋_GB2312" w:cs="Times New Roman"/>
                <w:color w:val="000000"/>
                <w:spacing w:val="-4"/>
                <w:sz w:val="24"/>
              </w:rPr>
              <w:t>5.拟申报产品的性能与对比产品差异较大</w:t>
            </w:r>
            <w:r>
              <w:rPr>
                <w:rFonts w:ascii="Times New Roman" w:hAnsi="Times New Roman" w:eastAsia="仿宋_GB2312" w:cs="Times New Roman"/>
                <w:spacing w:val="-4"/>
                <w:sz w:val="24"/>
              </w:rPr>
              <w:t>。</w:t>
            </w:r>
          </w:p>
        </w:tc>
        <w:tc>
          <w:tcPr>
            <w:tcW w:w="1701" w:type="dxa"/>
            <w:vAlign w:val="center"/>
          </w:tcPr>
          <w:p>
            <w:pPr>
              <w:spacing w:line="34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重新选择同品种产品进行比较或补充针对产品的临床试验资料</w:t>
            </w:r>
          </w:p>
        </w:tc>
      </w:tr>
    </w:tbl>
    <w:p>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（三）证明差异对产品的安全性、有效性未产生不利影响的支持性资料（</w:t>
      </w:r>
      <w:bookmarkStart w:id="3" w:name="OLE_LINK40"/>
      <w:bookmarkStart w:id="4" w:name="OLE_LINK53"/>
      <w:r>
        <w:rPr>
          <w:rFonts w:ascii="Times New Roman" w:hAnsi="Times New Roman" w:eastAsia="楷体_GB2312" w:cs="Times New Roman"/>
          <w:color w:val="000000"/>
          <w:sz w:val="32"/>
          <w:szCs w:val="32"/>
        </w:rPr>
        <w:t>临床经验数据、临床文献数据、</w:t>
      </w:r>
      <w:bookmarkEnd w:id="3"/>
      <w:r>
        <w:rPr>
          <w:rFonts w:ascii="Times New Roman" w:hAnsi="Times New Roman" w:eastAsia="楷体_GB2312" w:cs="Times New Roman"/>
          <w:color w:val="000000"/>
          <w:sz w:val="32"/>
          <w:szCs w:val="32"/>
        </w:rPr>
        <w:t>非临床研究等</w:t>
      </w:r>
      <w:bookmarkEnd w:id="4"/>
      <w:r>
        <w:rPr>
          <w:rFonts w:ascii="Times New Roman" w:hAnsi="Times New Roman" w:eastAsia="楷体_GB2312" w:cs="Times New Roman"/>
          <w:color w:val="000000"/>
          <w:sz w:val="32"/>
          <w:szCs w:val="32"/>
        </w:rPr>
        <w:t>）</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性资料中应明确说明拟申报产品与同品种基因测序仪的差异；详细说明针对拟申报产品与同品种基因测序仪的差异进行的研究方式及研究结果，提供的研究证据应证明拟申报产品与同品种基因测序仪的差异对产品临床使用的安全性和有效性带来的收益/影响。</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1.申请人应当完整地列出拟申报产品与</w:t>
      </w:r>
      <w:bookmarkStart w:id="5" w:name="OLE_LINK41"/>
      <w:r>
        <w:rPr>
          <w:rFonts w:ascii="Times New Roman" w:hAnsi="Times New Roman" w:eastAsia="仿宋_GB2312" w:cs="Times New Roman"/>
          <w:color w:val="000000"/>
          <w:sz w:val="32"/>
          <w:szCs w:val="32"/>
        </w:rPr>
        <w:t>同品种</w:t>
      </w:r>
      <w:bookmarkEnd w:id="5"/>
      <w:r>
        <w:rPr>
          <w:rFonts w:ascii="Times New Roman" w:hAnsi="Times New Roman" w:eastAsia="仿宋_GB2312" w:cs="Times New Roman"/>
          <w:color w:val="000000"/>
          <w:sz w:val="32"/>
          <w:szCs w:val="32"/>
        </w:rPr>
        <w:t>基因测序仪的所有差异点，并说明这些差异点的相互关系。若不同差异点之间存在相关性或相互影响，则应提供单个差异点影响的研究证据和关联性差异点共存时影响的研究证据。</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2.申请人应当根据拟申报产品与同品种基因测序仪的具体差异点提供相应的支持性资料，资料的类型和数量应根据拟申报产品和对比产品的差异点对产品安全性、有效性的影响进行确定。</w:t>
      </w:r>
    </w:p>
    <w:p>
      <w:pPr>
        <w:spacing w:line="530" w:lineRule="exact"/>
        <w:ind w:firstLine="640" w:firstLineChars="200"/>
        <w:rPr>
          <w:rFonts w:ascii="Times New Roman" w:hAnsi="Times New Roman" w:eastAsia="楷体_GB2312" w:cs="Times New Roman"/>
          <w:color w:val="000000"/>
          <w:sz w:val="32"/>
          <w:szCs w:val="32"/>
        </w:rPr>
      </w:pPr>
      <w:bookmarkStart w:id="6" w:name="OLE_LINK42"/>
      <w:r>
        <w:rPr>
          <w:rFonts w:ascii="Times New Roman" w:hAnsi="Times New Roman" w:eastAsia="楷体_GB2312" w:cs="Times New Roman"/>
          <w:color w:val="000000"/>
          <w:sz w:val="32"/>
          <w:szCs w:val="32"/>
        </w:rPr>
        <w:t>（四）针对差异性的</w:t>
      </w:r>
      <w:bookmarkEnd w:id="6"/>
      <w:r>
        <w:rPr>
          <w:rFonts w:ascii="Times New Roman" w:hAnsi="Times New Roman" w:eastAsia="楷体_GB2312" w:cs="Times New Roman"/>
          <w:color w:val="000000"/>
          <w:sz w:val="32"/>
          <w:szCs w:val="32"/>
        </w:rPr>
        <w:t>非临床研究资料</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拟申报产品与同品种产品的差异性分析，申请人应当对拟申报产品与对比产品的差异性及各差异点对产品安全性和有效性的影响进行全面评估，针对差异分别列出所进行的非临床研究的内容和结果，包括但不仅限内部研究资料或验证报告等。</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基于拟申报产品和同品种基因测序仪的对比结果，如果非临床研究、临床文献数据、临床经验数据等无法充分地证明该差异对产品安全性和有效性的影响，则申请人应提供相应的临床试验资料。</w:t>
      </w:r>
    </w:p>
    <w:p>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（五）针对适用范围项目的对比，应提供的临床数据</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针对适用范围项目的对比，相同点应提交同品种产品的临床数据以及申报产品的非临床数据作为支持性资料，对于较同品种产品增加的适用范围，应提交申报产品的临床试验数据，同时可提交其他支持性资料。</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支持性资料为临床文献数据时，申请人应根据拟申报产品与同品种产品的差异点，合理选择临床文献数据库，准确设置检索词，进行全面的科学文献检索，完成文献检索和筛选方案、文献检索和筛选报告。</w:t>
      </w:r>
      <w:bookmarkStart w:id="7" w:name="OLE_LINK46"/>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支持性资料为临床经验数据时，在综合考虑、科学分析拟申报产品与同品种产品差异的基础上，可提供临床经验数据收集内容，包括对已完成的临床试验、不良事件、与临床风险相关的纠正措施等数据的收集。</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临床文献和经验数据的支持性资料应重点分析适用范围项目的对比。其中可应用于临床项目应考虑选择不同变异类型、不同核酸类型的检测项目。并</w:t>
      </w:r>
      <w:r>
        <w:rPr>
          <w:rFonts w:hint="eastAsia" w:ascii="Times New Roman" w:hAnsi="Times New Roman" w:eastAsia="仿宋_GB2312" w:cs="Times New Roman"/>
          <w:color w:val="000000"/>
          <w:sz w:val="32"/>
          <w:szCs w:val="32"/>
        </w:rPr>
        <w:t>充分</w:t>
      </w:r>
      <w:r>
        <w:rPr>
          <w:rFonts w:ascii="Times New Roman" w:hAnsi="Times New Roman" w:eastAsia="仿宋_GB2312" w:cs="Times New Roman"/>
          <w:color w:val="000000"/>
          <w:sz w:val="32"/>
          <w:szCs w:val="32"/>
        </w:rPr>
        <w:t>分析项目中的数据质量。对于数据质量</w:t>
      </w:r>
      <w:r>
        <w:rPr>
          <w:rFonts w:hint="eastAsia" w:ascii="Times New Roman" w:hAnsi="Times New Roman" w:eastAsia="仿宋_GB2312" w:cs="Times New Roman"/>
          <w:color w:val="000000"/>
          <w:sz w:val="32"/>
          <w:szCs w:val="32"/>
        </w:rPr>
        <w:t>进行</w:t>
      </w:r>
      <w:r>
        <w:rPr>
          <w:rFonts w:ascii="Times New Roman" w:hAnsi="Times New Roman" w:eastAsia="仿宋_GB2312" w:cs="Times New Roman"/>
          <w:color w:val="000000"/>
          <w:sz w:val="32"/>
          <w:szCs w:val="32"/>
        </w:rPr>
        <w:t>比较</w:t>
      </w:r>
      <w:r>
        <w:rPr>
          <w:rFonts w:hint="eastAsia" w:ascii="Times New Roman" w:hAnsi="Times New Roman" w:eastAsia="仿宋_GB2312" w:cs="Times New Roman"/>
          <w:color w:val="000000"/>
          <w:sz w:val="32"/>
          <w:szCs w:val="32"/>
        </w:rPr>
        <w:t>和充分</w:t>
      </w:r>
      <w:r>
        <w:rPr>
          <w:rFonts w:ascii="Times New Roman" w:hAnsi="Times New Roman" w:eastAsia="仿宋_GB2312" w:cs="Times New Roman"/>
          <w:color w:val="000000"/>
          <w:sz w:val="32"/>
          <w:szCs w:val="32"/>
        </w:rPr>
        <w:t>评价。</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支持性资料、同品种医疗器械临床使用获得的数据的收集、同品种医疗器械临床数据分析评价方法、临床评价报告撰写等方面的具体内容可参照《医疗器械临床评价技术指导原则》的相关规定。</w:t>
      </w:r>
      <w:bookmarkEnd w:id="7"/>
    </w:p>
    <w:p>
      <w:pPr>
        <w:numPr>
          <w:ilvl w:val="255"/>
          <w:numId w:val="0"/>
        </w:num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三、临床试验路径</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临床试验的开展、方案的制定以及报告的撰写均应符合相关法规及《</w:t>
      </w:r>
      <w:r>
        <w:rPr>
          <w:rFonts w:hint="eastAsia" w:ascii="Times New Roman" w:hAnsi="Times New Roman" w:eastAsia="仿宋_GB2312" w:cs="Times New Roman"/>
          <w:color w:val="000000"/>
          <w:sz w:val="32"/>
          <w:szCs w:val="32"/>
        </w:rPr>
        <w:t>医疗器械临床评价技术指导原则</w:t>
      </w:r>
      <w:r>
        <w:rPr>
          <w:rFonts w:ascii="Times New Roman" w:hAnsi="Times New Roman" w:eastAsia="仿宋_GB2312" w:cs="Times New Roman"/>
          <w:color w:val="000000"/>
          <w:sz w:val="32"/>
          <w:szCs w:val="32"/>
        </w:rPr>
        <w:t>》的要求，如相关法规、文件有更新，临床试验应符合更新后的要求。下面仅说明该类产品临床试验中应关注的重点问题。</w:t>
      </w:r>
    </w:p>
    <w:p>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（一）临床试验机构</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应选择不少于两家（含两家）符合要求的临床试验机构开展临床试验。临床试验机构应具备相应的检测资质和人员。</w:t>
      </w:r>
    </w:p>
    <w:p>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（二）临床试验目的及设计</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 临床试验目的</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证明申报产品与已上市同类产品</w:t>
      </w:r>
      <w:r>
        <w:rPr>
          <w:rFonts w:hint="eastAsia" w:ascii="Times New Roman" w:hAnsi="Times New Roman" w:eastAsia="仿宋_GB2312" w:cs="Times New Roman"/>
          <w:color w:val="000000"/>
          <w:sz w:val="32"/>
          <w:szCs w:val="32"/>
        </w:rPr>
        <w:t>临床性能的</w:t>
      </w:r>
      <w:r>
        <w:rPr>
          <w:rFonts w:ascii="Times New Roman" w:hAnsi="Times New Roman" w:eastAsia="仿宋_GB2312" w:cs="Times New Roman"/>
          <w:color w:val="000000"/>
          <w:sz w:val="32"/>
          <w:szCs w:val="32"/>
        </w:rPr>
        <w:t>一致性。</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2.对比方法的选择</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已有同类产品上市的临床研究，可以选择临床参考方法或已在中国境内上市的同类产品作为对照。如选同类产品作为对照，建议选择目前在临床检测方面使用状况良好的机型，应注意申报产品的适用范围不应超过同类产品的适用范围，同时应提供对照产品的信息，如生产企业、型号、适用范围等。如申报产品的适用范围超过已批准上市同类产品，则可与同类产品作为对照对相同的适用范围进行评价，并应另外选择临床参考方法作为对比方法，对超出同类产品的适用范围进行临床评价。</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对于无同类已上市产品的临床研究，可选择临床参考方法作为对比方法进行比较研究，以评价申报产品的临床性能。</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临床试验中还应对申报产品和对照产品/方法检测结果不一致样本进行</w:t>
      </w:r>
      <w:r>
        <w:rPr>
          <w:rFonts w:hint="eastAsia" w:ascii="Times New Roman" w:hAnsi="Times New Roman" w:eastAsia="仿宋_GB2312" w:cs="Times New Roman"/>
          <w:color w:val="000000"/>
          <w:sz w:val="32"/>
          <w:szCs w:val="32"/>
        </w:rPr>
        <w:t>分析</w:t>
      </w:r>
      <w:r>
        <w:rPr>
          <w:rFonts w:ascii="Times New Roman" w:hAnsi="Times New Roman" w:eastAsia="仿宋_GB2312" w:cs="Times New Roman"/>
          <w:color w:val="000000"/>
          <w:sz w:val="32"/>
          <w:szCs w:val="32"/>
        </w:rPr>
        <w:t>，以明确结果不一致的原因。</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临床参考方法可委托第三方机构检测，但应在临床试验方案中予以明确。</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3.验证项目的选择</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应根据申报产品所声称的适用范围，选择代表性的检测项目进行临床评价，同时应考虑到不同样本类型。</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如申报产品的适用范围为对来源于人体样本的人脱氧核糖核酸（DNA）进行测序，以检测基因</w:t>
      </w:r>
      <w:r>
        <w:rPr>
          <w:rFonts w:hint="eastAsia" w:ascii="Times New Roman" w:hAnsi="Times New Roman" w:eastAsia="仿宋_GB2312" w:cs="Times New Roman"/>
          <w:color w:val="000000"/>
          <w:sz w:val="32"/>
          <w:szCs w:val="32"/>
        </w:rPr>
        <w:t>序列</w:t>
      </w:r>
      <w:r>
        <w:rPr>
          <w:rFonts w:ascii="Times New Roman" w:hAnsi="Times New Roman" w:eastAsia="仿宋_GB2312" w:cs="Times New Roman"/>
          <w:color w:val="000000"/>
          <w:sz w:val="32"/>
          <w:szCs w:val="32"/>
        </w:rPr>
        <w:t>变化。至少应选择人类基因靶向测序以及</w:t>
      </w:r>
      <w:r>
        <w:rPr>
          <w:rFonts w:hint="eastAsia" w:ascii="Times New Roman" w:hAnsi="Times New Roman" w:eastAsia="仿宋_GB2312" w:cs="Times New Roman"/>
          <w:color w:val="000000"/>
          <w:sz w:val="32"/>
          <w:szCs w:val="32"/>
        </w:rPr>
        <w:t>非靶向</w:t>
      </w:r>
      <w:r>
        <w:rPr>
          <w:rFonts w:ascii="Times New Roman" w:hAnsi="Times New Roman" w:eastAsia="仿宋_GB2312" w:cs="Times New Roman"/>
          <w:color w:val="000000"/>
          <w:sz w:val="32"/>
          <w:szCs w:val="32"/>
        </w:rPr>
        <w:t>测序项目进行评价。其中人类基因靶向测序，</w:t>
      </w:r>
      <w:r>
        <w:rPr>
          <w:rFonts w:hint="eastAsia" w:ascii="Times New Roman" w:hAnsi="Times New Roman" w:eastAsia="仿宋_GB2312" w:cs="Times New Roman"/>
          <w:color w:val="000000"/>
          <w:sz w:val="32"/>
          <w:szCs w:val="32"/>
        </w:rPr>
        <w:t>建议选择肿瘤组织的基因突变为对象，</w:t>
      </w:r>
      <w:r>
        <w:rPr>
          <w:rFonts w:ascii="Times New Roman" w:hAnsi="Times New Roman" w:eastAsia="仿宋_GB2312" w:cs="Times New Roman"/>
          <w:color w:val="000000"/>
          <w:sz w:val="32"/>
          <w:szCs w:val="32"/>
        </w:rPr>
        <w:t>应包括代表性的突变类型，如点突变、</w:t>
      </w:r>
      <w:r>
        <w:rPr>
          <w:rFonts w:hint="eastAsia" w:ascii="Times New Roman" w:hAnsi="Times New Roman" w:eastAsia="仿宋_GB2312" w:cs="Times New Roman"/>
          <w:color w:val="000000"/>
          <w:sz w:val="32"/>
          <w:szCs w:val="32"/>
        </w:rPr>
        <w:t>小片段的插入/缺失、拷贝数变化</w:t>
      </w:r>
      <w:r>
        <w:rPr>
          <w:rFonts w:ascii="Times New Roman" w:hAnsi="Times New Roman" w:eastAsia="仿宋_GB2312" w:cs="Times New Roman"/>
          <w:color w:val="000000"/>
          <w:sz w:val="32"/>
          <w:szCs w:val="32"/>
        </w:rPr>
        <w:t>。如适用范围还包括核糖核酸（RNA）的测序，</w:t>
      </w:r>
      <w:r>
        <w:rPr>
          <w:rFonts w:hint="eastAsia" w:ascii="Times New Roman" w:hAnsi="Times New Roman" w:eastAsia="仿宋_GB2312" w:cs="Times New Roman"/>
          <w:color w:val="000000"/>
          <w:sz w:val="32"/>
          <w:szCs w:val="32"/>
        </w:rPr>
        <w:t>即将RNA逆转录成DNA后进行测序，</w:t>
      </w:r>
      <w:r>
        <w:rPr>
          <w:rFonts w:ascii="Times New Roman" w:hAnsi="Times New Roman" w:eastAsia="仿宋_GB2312" w:cs="Times New Roman"/>
          <w:color w:val="000000"/>
          <w:sz w:val="32"/>
          <w:szCs w:val="32"/>
        </w:rPr>
        <w:t>则还应对基因融合（如ALK融合）进行验证。</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如申报产品的适用范围不限于人DNA，则应增加病原体检测项目，</w:t>
      </w:r>
      <w:r>
        <w:rPr>
          <w:rFonts w:hint="eastAsia" w:ascii="Times New Roman" w:hAnsi="Times New Roman" w:eastAsia="仿宋_GB2312" w:cs="Times New Roman"/>
          <w:color w:val="000000"/>
          <w:sz w:val="32"/>
          <w:szCs w:val="32"/>
        </w:rPr>
        <w:t>不建议采用宏基因组测序的方式进行临床试验。病原体应来自于人体样本，</w:t>
      </w:r>
      <w:r>
        <w:rPr>
          <w:rFonts w:ascii="Times New Roman" w:hAnsi="Times New Roman" w:eastAsia="仿宋_GB2312" w:cs="Times New Roman"/>
          <w:color w:val="000000"/>
          <w:sz w:val="32"/>
          <w:szCs w:val="32"/>
        </w:rPr>
        <w:t>包括病毒、细菌、真菌等，每种类别各选一种代表性项目进行评价。如同时包括RNA，则还应选择至少</w:t>
      </w:r>
      <w:r>
        <w:rPr>
          <w:rFonts w:hint="eastAsia"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rPr>
        <w:t>种RNA病原体进行评价。</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应根据临床试验中所选择的临床项目，制定受试者的选择标准，即入选和排除标准。同时受试者年龄、性别分布应均衡合理，充分考虑人种、地域差异对试验结果的影响。</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 临床评价指标</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主要评价指标一般为检测准确性（灵敏度、特异度）或检测一致性（阳性/阴性</w:t>
      </w:r>
      <w:r>
        <w:rPr>
          <w:rFonts w:hint="eastAsia" w:ascii="Times New Roman" w:hAnsi="Times New Roman" w:eastAsia="仿宋_GB2312" w:cs="Times New Roman"/>
          <w:color w:val="000000"/>
          <w:sz w:val="32"/>
          <w:szCs w:val="32"/>
        </w:rPr>
        <w:t>符合率</w:t>
      </w:r>
      <w:r>
        <w:rPr>
          <w:rFonts w:ascii="Times New Roman" w:hAnsi="Times New Roman" w:eastAsia="仿宋_GB2312" w:cs="Times New Roman"/>
          <w:color w:val="000000"/>
          <w:sz w:val="32"/>
          <w:szCs w:val="32"/>
        </w:rPr>
        <w:t>、总</w:t>
      </w:r>
      <w:r>
        <w:rPr>
          <w:rFonts w:hint="eastAsia" w:ascii="Times New Roman" w:hAnsi="Times New Roman" w:eastAsia="仿宋_GB2312" w:cs="Times New Roman"/>
          <w:color w:val="000000"/>
          <w:sz w:val="32"/>
          <w:szCs w:val="32"/>
        </w:rPr>
        <w:t>符合率</w:t>
      </w:r>
      <w:r>
        <w:rPr>
          <w:rFonts w:ascii="Times New Roman" w:hAnsi="Times New Roman" w:eastAsia="仿宋_GB2312" w:cs="Times New Roman"/>
          <w:color w:val="000000"/>
          <w:sz w:val="32"/>
          <w:szCs w:val="32"/>
        </w:rPr>
        <w:t>、Kappa值等），主要评价指标应能够满足评价产品临床性能的要求。</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次要评价指标一般包括仪器功能、稳定性、使用便捷性、使用安全性等。</w:t>
      </w:r>
    </w:p>
    <w:p>
      <w:pPr>
        <w:pStyle w:val="2"/>
        <w:ind w:left="0" w:leftChars="0" w:firstLine="640"/>
        <w:rPr>
          <w:rFonts w:eastAsia="仿宋_GB2312"/>
        </w:rPr>
      </w:pPr>
      <w:r>
        <w:rPr>
          <w:rFonts w:hint="eastAsia" w:ascii="Times New Roman" w:hAnsi="Times New Roman" w:eastAsia="仿宋_GB2312" w:cs="Times New Roman"/>
          <w:color w:val="000000"/>
          <w:sz w:val="32"/>
          <w:szCs w:val="32"/>
        </w:rPr>
        <w:t>同时申请人还应对临床试验检测项目进行数据质量的分析。</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5.样本量估算</w:t>
      </w:r>
    </w:p>
    <w:p>
      <w:pPr>
        <w:autoSpaceDE w:val="0"/>
        <w:autoSpaceDN w:val="0"/>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为实现样本代替总体的目的，临床试验需要一定的受试者数量（样本量）。样本量一般以临床试验的主要评价指标进行估算。需在临床试验方案中说明样本量估算的相关要素及其确定依据、样本量的具体计算方法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主要评价指标的相关参数根据已有临床数据和小样本可行性试验（如有）的结果来估算，需要在临床试验方案中明确这些估计值的确定依据。一般情况下，</w:t>
      </w:r>
      <w:r>
        <w:rPr>
          <w:rFonts w:hint="eastAsia" w:ascii="Times New Roman" w:hAnsi="Times New Roman" w:eastAsia="仿宋_GB2312" w:cs="Times New Roman"/>
          <w:color w:val="000000"/>
          <w:sz w:val="32"/>
          <w:szCs w:val="32"/>
        </w:rPr>
        <w:t>Ⅰ</w:t>
      </w:r>
      <w:r>
        <w:rPr>
          <w:rFonts w:ascii="Times New Roman" w:hAnsi="Times New Roman" w:eastAsia="仿宋_GB2312" w:cs="Times New Roman"/>
          <w:color w:val="000000"/>
          <w:sz w:val="32"/>
          <w:szCs w:val="32"/>
        </w:rPr>
        <w:t>类错误概率α设定为双侧0.05或单侧0.025，</w:t>
      </w:r>
      <w:r>
        <w:rPr>
          <w:rFonts w:hint="eastAsia" w:ascii="Times New Roman" w:hAnsi="Times New Roman" w:eastAsia="仿宋_GB2312" w:cs="Times New Roman"/>
          <w:color w:val="000000"/>
          <w:sz w:val="32"/>
          <w:szCs w:val="32"/>
        </w:rPr>
        <w:t>Ⅱ</w:t>
      </w:r>
      <w:r>
        <w:rPr>
          <w:rFonts w:ascii="Times New Roman" w:hAnsi="Times New Roman" w:eastAsia="仿宋_GB2312" w:cs="Times New Roman"/>
          <w:color w:val="000000"/>
          <w:sz w:val="32"/>
          <w:szCs w:val="32"/>
        </w:rPr>
        <w:t>类错误概率β设定为不大于0.2，预期受试者脱落和方案违背的比例不大于0.2，申请人可根据产品特征和试验设计的具体情形采用不同的取值，需充分论证其合理性。</w:t>
      </w:r>
    </w:p>
    <w:p>
      <w:pPr>
        <w:spacing w:line="540" w:lineRule="exact"/>
        <w:ind w:firstLine="627" w:firstLineChars="196"/>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如临床试验采用申报产品与已上市同类产品进行比较研究的试验设计，</w:t>
      </w:r>
      <w:r>
        <w:rPr>
          <w:rFonts w:hint="eastAsia" w:ascii="Times New Roman" w:hAnsi="Times New Roman" w:eastAsia="仿宋_GB2312" w:cs="Times New Roman"/>
          <w:color w:val="000000"/>
          <w:sz w:val="32"/>
          <w:szCs w:val="32"/>
        </w:rPr>
        <w:t>建议</w:t>
      </w:r>
      <w:r>
        <w:rPr>
          <w:rFonts w:ascii="Times New Roman" w:hAnsi="Times New Roman" w:eastAsia="仿宋_GB2312" w:cs="Times New Roman"/>
          <w:color w:val="000000"/>
          <w:sz w:val="32"/>
          <w:szCs w:val="32"/>
        </w:rPr>
        <w:t>采用单组目标值法样本量公式估算最低样本量。</w:t>
      </w:r>
    </w:p>
    <w:p>
      <w:pPr>
        <w:ind w:firstLine="561"/>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drawing>
          <wp:inline distT="0" distB="0" distL="0" distR="0">
            <wp:extent cx="3096895" cy="591820"/>
            <wp:effectExtent l="0" t="0" r="1905" b="508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096895" cy="591820"/>
                    </a:xfrm>
                    <a:prstGeom prst="rect">
                      <a:avLst/>
                    </a:prstGeom>
                    <a:noFill/>
                    <a:ln>
                      <a:noFill/>
                    </a:ln>
                  </pic:spPr>
                </pic:pic>
              </a:graphicData>
            </a:graphic>
          </wp:inline>
        </w:drawing>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公式中，n为样本量；Z</w:t>
      </w:r>
      <w:r>
        <w:rPr>
          <w:rFonts w:ascii="Times New Roman" w:hAnsi="Times New Roman" w:eastAsia="仿宋_GB2312" w:cs="Times New Roman"/>
          <w:color w:val="000000"/>
          <w:sz w:val="32"/>
          <w:szCs w:val="32"/>
          <w:vertAlign w:val="subscript"/>
        </w:rPr>
        <w:t>1-α</w:t>
      </w:r>
      <w:r>
        <w:rPr>
          <w:rFonts w:ascii="Times New Roman" w:hAnsi="Times New Roman" w:eastAsia="仿宋_GB2312" w:cs="Times New Roman"/>
          <w:color w:val="000000"/>
          <w:sz w:val="32"/>
          <w:szCs w:val="32"/>
        </w:rPr>
        <w:t>、Z</w:t>
      </w:r>
      <w:r>
        <w:rPr>
          <w:rFonts w:ascii="Times New Roman" w:hAnsi="Times New Roman" w:eastAsia="仿宋_GB2312" w:cs="Times New Roman"/>
          <w:color w:val="000000"/>
          <w:sz w:val="32"/>
          <w:szCs w:val="32"/>
          <w:vertAlign w:val="subscript"/>
        </w:rPr>
        <w:t>1-β</w:t>
      </w:r>
      <w:r>
        <w:rPr>
          <w:rFonts w:ascii="Times New Roman" w:hAnsi="Times New Roman" w:eastAsia="仿宋_GB2312" w:cs="Times New Roman"/>
          <w:color w:val="000000"/>
          <w:sz w:val="32"/>
          <w:szCs w:val="32"/>
        </w:rPr>
        <w:t>为显著性水平和把握度的标准正态分布的分数位，P0为评价指标的临床可接受标准，PT为试验用体外诊断试剂评价指标预期值。</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对于</w:t>
      </w:r>
      <w:r>
        <w:rPr>
          <w:rFonts w:ascii="Times New Roman" w:hAnsi="Times New Roman" w:eastAsia="仿宋_GB2312" w:cs="Times New Roman"/>
          <w:color w:val="000000"/>
          <w:sz w:val="32"/>
          <w:szCs w:val="32"/>
        </w:rPr>
        <w:t>所选择</w:t>
      </w:r>
      <w:r>
        <w:rPr>
          <w:rFonts w:hint="eastAsia" w:ascii="Times New Roman" w:hAnsi="Times New Roman" w:eastAsia="仿宋_GB2312" w:cs="Times New Roman"/>
          <w:color w:val="000000"/>
          <w:sz w:val="32"/>
          <w:szCs w:val="32"/>
        </w:rPr>
        <w:t>进行</w:t>
      </w:r>
      <w:r>
        <w:rPr>
          <w:rFonts w:ascii="Times New Roman" w:hAnsi="Times New Roman" w:eastAsia="仿宋_GB2312" w:cs="Times New Roman"/>
          <w:color w:val="000000"/>
          <w:sz w:val="32"/>
          <w:szCs w:val="32"/>
        </w:rPr>
        <w:t>临床</w:t>
      </w:r>
      <w:r>
        <w:rPr>
          <w:rFonts w:hint="eastAsia" w:ascii="Times New Roman" w:hAnsi="Times New Roman" w:eastAsia="仿宋_GB2312" w:cs="Times New Roman"/>
          <w:color w:val="000000"/>
          <w:sz w:val="32"/>
          <w:szCs w:val="32"/>
        </w:rPr>
        <w:t>验证</w:t>
      </w:r>
      <w:r>
        <w:rPr>
          <w:rFonts w:ascii="Times New Roman" w:hAnsi="Times New Roman" w:eastAsia="仿宋_GB2312" w:cs="Times New Roman"/>
          <w:color w:val="000000"/>
          <w:sz w:val="32"/>
          <w:szCs w:val="32"/>
        </w:rPr>
        <w:t>的代表性项目大类，如人类基因</w:t>
      </w:r>
      <w:r>
        <w:rPr>
          <w:rFonts w:hint="eastAsia" w:ascii="Times New Roman" w:hAnsi="Times New Roman" w:eastAsia="仿宋_GB2312" w:cs="Times New Roman"/>
          <w:color w:val="000000"/>
          <w:sz w:val="32"/>
          <w:szCs w:val="32"/>
        </w:rPr>
        <w:t>靶向测序</w:t>
      </w:r>
      <w:r>
        <w:rPr>
          <w:rFonts w:ascii="Times New Roman" w:hAnsi="Times New Roman" w:eastAsia="仿宋_GB2312" w:cs="Times New Roman"/>
          <w:color w:val="000000"/>
          <w:sz w:val="32"/>
          <w:szCs w:val="32"/>
        </w:rPr>
        <w:t>，总样本量应满足统计学要求，</w:t>
      </w:r>
      <w:r>
        <w:rPr>
          <w:rFonts w:hint="eastAsia" w:ascii="Times New Roman" w:hAnsi="Times New Roman" w:eastAsia="仿宋_GB2312" w:cs="Times New Roman"/>
          <w:color w:val="000000"/>
          <w:sz w:val="32"/>
          <w:szCs w:val="32"/>
        </w:rPr>
        <w:t>其中每种代表性</w:t>
      </w:r>
      <w:r>
        <w:rPr>
          <w:rFonts w:ascii="Times New Roman" w:hAnsi="Times New Roman" w:eastAsia="仿宋_GB2312" w:cs="Times New Roman"/>
          <w:color w:val="000000"/>
          <w:sz w:val="32"/>
          <w:szCs w:val="32"/>
        </w:rPr>
        <w:t>的突变类型</w:t>
      </w:r>
      <w:r>
        <w:rPr>
          <w:rFonts w:hint="eastAsia" w:ascii="Times New Roman" w:hAnsi="Times New Roman" w:eastAsia="仿宋_GB2312" w:cs="Times New Roman"/>
          <w:color w:val="000000"/>
          <w:sz w:val="32"/>
          <w:szCs w:val="32"/>
        </w:rPr>
        <w:t>均应有</w:t>
      </w:r>
      <w:r>
        <w:rPr>
          <w:rFonts w:ascii="Times New Roman" w:hAnsi="Times New Roman" w:eastAsia="仿宋_GB2312" w:cs="Times New Roman"/>
          <w:color w:val="000000"/>
          <w:sz w:val="32"/>
          <w:szCs w:val="32"/>
        </w:rPr>
        <w:t>一定例数。</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临床试验中如采用多中心临床，则所有中心临床样本总数应满足统计学要求，如采用非多中心临床，则每家临床机构样本量应均满足统计学要求。</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6.统计分析</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应选择合适的统计方法对临床试验结果进行统计分析，对于申报产品与</w:t>
      </w:r>
      <w:r>
        <w:rPr>
          <w:rFonts w:hint="eastAsia" w:ascii="Times New Roman" w:hAnsi="Times New Roman" w:eastAsia="仿宋_GB2312" w:cs="Times New Roman"/>
          <w:color w:val="000000"/>
          <w:sz w:val="32"/>
          <w:szCs w:val="32"/>
        </w:rPr>
        <w:t>参考方法/</w:t>
      </w:r>
      <w:r>
        <w:rPr>
          <w:rFonts w:ascii="Times New Roman" w:hAnsi="Times New Roman" w:eastAsia="仿宋_GB2312" w:cs="Times New Roman"/>
          <w:color w:val="000000"/>
          <w:sz w:val="32"/>
          <w:szCs w:val="32"/>
        </w:rPr>
        <w:t>已上市同类产品的一致性评价，一般选择2×2表的形式总结两种产品的检测结果，并据此计算</w:t>
      </w:r>
      <w:r>
        <w:rPr>
          <w:rFonts w:hint="eastAsia" w:ascii="Times New Roman" w:hAnsi="Times New Roman" w:eastAsia="仿宋_GB2312" w:cs="Times New Roman"/>
          <w:color w:val="000000"/>
          <w:sz w:val="32"/>
          <w:szCs w:val="32"/>
        </w:rPr>
        <w:t>灵敏度/特异度</w:t>
      </w:r>
      <w:r>
        <w:rPr>
          <w:rFonts w:ascii="Times New Roman" w:hAnsi="Times New Roman" w:eastAsia="仿宋_GB2312" w:cs="Times New Roman"/>
          <w:color w:val="000000"/>
          <w:sz w:val="32"/>
          <w:szCs w:val="32"/>
        </w:rPr>
        <w:t>、阳</w:t>
      </w:r>
      <w:r>
        <w:rPr>
          <w:rFonts w:hint="eastAsia" w:ascii="Times New Roman" w:hAnsi="Times New Roman" w:eastAsia="仿宋_GB2312" w:cs="Times New Roman"/>
          <w:color w:val="000000"/>
          <w:sz w:val="32"/>
          <w:szCs w:val="32"/>
        </w:rPr>
        <w:t>性/</w:t>
      </w:r>
      <w:r>
        <w:rPr>
          <w:rFonts w:ascii="Times New Roman" w:hAnsi="Times New Roman" w:eastAsia="仿宋_GB2312" w:cs="Times New Roman"/>
          <w:color w:val="000000"/>
          <w:sz w:val="32"/>
          <w:szCs w:val="32"/>
        </w:rPr>
        <w:t>阴性符合率、Kappa值等指标及其95%置信区间。</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对于不一致样本，应进行原因分析。如临床试验方案规定采用其他方法进行确认，则确认结果不应纳入统计分析。</w:t>
      </w:r>
    </w:p>
    <w:p>
      <w:pPr>
        <w:spacing w:line="53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（三）质量控制</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可重复性。</w:t>
      </w:r>
    </w:p>
    <w:p>
      <w:p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p>
    <w:p>
      <w:pPr>
        <w:overflowPunct w:val="0"/>
        <w:spacing w:line="56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五、决策是否开展医疗器械临床试验</w:t>
      </w:r>
    </w:p>
    <w:p>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对于具有下列情形之一的产品，通过同品种医疗器械临床试验或临床使用获得的数据进行分析评价无法充分证明产品安全性、有效性的，应当进行临床试验，包括：</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kern w:val="0"/>
          <w:sz w:val="32"/>
          <w:szCs w:val="32"/>
        </w:rPr>
        <w:t>1.</w:t>
      </w:r>
      <w:r>
        <w:rPr>
          <w:rFonts w:ascii="Times New Roman" w:hAnsi="Times New Roman" w:eastAsia="仿宋_GB2312" w:cs="Times New Roman"/>
          <w:color w:val="000000" w:themeColor="text1"/>
          <w:sz w:val="32"/>
          <w:szCs w:val="32"/>
          <w14:textFill>
            <w14:solidFill>
              <w14:schemeClr w14:val="tx1"/>
            </w14:solidFill>
          </w14:textFill>
        </w:rPr>
        <w:t>拟申报产品或拟申报产品的某关键</w:t>
      </w:r>
      <w:r>
        <w:rPr>
          <w:rFonts w:hint="eastAsia" w:ascii="Times New Roman" w:hAnsi="Times New Roman" w:eastAsia="仿宋_GB2312" w:cs="Times New Roman"/>
          <w:color w:val="000000" w:themeColor="text1"/>
          <w:sz w:val="32"/>
          <w:szCs w:val="32"/>
          <w14:textFill>
            <w14:solidFill>
              <w14:schemeClr w14:val="tx1"/>
            </w14:solidFill>
          </w14:textFill>
        </w:rPr>
        <w:t>模块</w:t>
      </w:r>
      <w:r>
        <w:rPr>
          <w:rFonts w:ascii="Times New Roman" w:hAnsi="Times New Roman" w:eastAsia="仿宋_GB2312" w:cs="Times New Roman"/>
          <w:color w:val="000000" w:themeColor="text1"/>
          <w:sz w:val="32"/>
          <w:szCs w:val="32"/>
          <w14:textFill>
            <w14:solidFill>
              <w14:schemeClr w14:val="tx1"/>
            </w14:solidFill>
          </w14:textFill>
        </w:rPr>
        <w:t>（含软件）具有全新的技术特性</w:t>
      </w:r>
      <w:r>
        <w:rPr>
          <w:rFonts w:ascii="Times New Roman" w:hAnsi="Times New Roman" w:eastAsia="仿宋_GB2312" w:cs="Times New Roman"/>
          <w:kern w:val="0"/>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或者数据质量</w:t>
      </w:r>
      <w:r>
        <w:rPr>
          <w:rFonts w:ascii="Times New Roman" w:hAnsi="Times New Roman" w:eastAsia="仿宋_GB2312" w:cs="Times New Roman"/>
          <w:color w:val="000000" w:themeColor="text1"/>
          <w:sz w:val="32"/>
          <w:szCs w:val="32"/>
          <w14:textFill>
            <w14:solidFill>
              <w14:schemeClr w14:val="tx1"/>
            </w14:solidFill>
          </w14:textFill>
        </w:rPr>
        <w:t>具有显著</w:t>
      </w:r>
      <w:r>
        <w:rPr>
          <w:rFonts w:hint="eastAsia" w:ascii="Times New Roman" w:hAnsi="Times New Roman" w:eastAsia="仿宋_GB2312" w:cs="Times New Roman"/>
          <w:color w:val="000000" w:themeColor="text1"/>
          <w:sz w:val="32"/>
          <w:szCs w:val="32"/>
          <w14:textFill>
            <w14:solidFill>
              <w14:schemeClr w14:val="tx1"/>
            </w14:solidFill>
          </w14:textFill>
        </w:rPr>
        <w:t>差异</w:t>
      </w:r>
      <w:r>
        <w:rPr>
          <w:rFonts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color w:val="000000" w:themeColor="text1"/>
          <w:sz w:val="32"/>
          <w:szCs w:val="32"/>
          <w14:textFill>
            <w14:solidFill>
              <w14:schemeClr w14:val="tx1"/>
            </w14:solidFill>
          </w14:textFill>
        </w:rPr>
        <w:t>拟申报产品</w:t>
      </w:r>
      <w:r>
        <w:rPr>
          <w:rFonts w:hint="eastAsia" w:ascii="Times New Roman" w:hAnsi="Times New Roman" w:eastAsia="仿宋_GB2312" w:cs="Times New Roman"/>
          <w:color w:val="000000" w:themeColor="text1"/>
          <w:sz w:val="32"/>
          <w:szCs w:val="32"/>
          <w14:textFill>
            <w14:solidFill>
              <w14:schemeClr w14:val="tx1"/>
            </w14:solidFill>
          </w14:textFill>
        </w:rPr>
        <w:t>具有新的</w:t>
      </w:r>
      <w:r>
        <w:rPr>
          <w:rFonts w:ascii="Times New Roman" w:hAnsi="Times New Roman" w:eastAsia="仿宋_GB2312" w:cs="Times New Roman"/>
          <w:color w:val="000000" w:themeColor="text1"/>
          <w:sz w:val="32"/>
          <w:szCs w:val="32"/>
          <w14:textFill>
            <w14:solidFill>
              <w14:schemeClr w14:val="tx1"/>
            </w14:solidFill>
          </w14:textFill>
        </w:rPr>
        <w:t>临床预期使用场景</w:t>
      </w:r>
      <w:r>
        <w:rPr>
          <w:rFonts w:hint="eastAsia" w:ascii="Times New Roman" w:hAnsi="Times New Roman" w:eastAsia="仿宋_GB2312" w:cs="Times New Roman"/>
          <w:color w:val="000000" w:themeColor="text1"/>
          <w:sz w:val="32"/>
          <w:szCs w:val="32"/>
          <w14:textFill>
            <w14:solidFill>
              <w14:schemeClr w14:val="tx1"/>
            </w14:solidFill>
          </w14:textFill>
        </w:rPr>
        <w:t>和功能，</w:t>
      </w:r>
      <w:r>
        <w:rPr>
          <w:rFonts w:ascii="Times New Roman" w:hAnsi="Times New Roman" w:eastAsia="仿宋_GB2312" w:cs="Times New Roman"/>
          <w:kern w:val="0"/>
          <w:sz w:val="32"/>
          <w:szCs w:val="32"/>
        </w:rPr>
        <w:t>且该功能从未在境内获得批准。</w:t>
      </w:r>
    </w:p>
    <w:p>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3.针对</w:t>
      </w:r>
      <w:r>
        <w:rPr>
          <w:rFonts w:hint="eastAsia" w:ascii="Times New Roman" w:hAnsi="Times New Roman" w:eastAsia="仿宋_GB2312" w:cs="Times New Roman"/>
          <w:kern w:val="0"/>
          <w:sz w:val="32"/>
          <w:szCs w:val="32"/>
        </w:rPr>
        <w:t>与</w:t>
      </w:r>
      <w:r>
        <w:rPr>
          <w:rFonts w:ascii="Times New Roman" w:hAnsi="Times New Roman" w:eastAsia="仿宋_GB2312" w:cs="Times New Roman"/>
          <w:kern w:val="0"/>
          <w:sz w:val="32"/>
          <w:szCs w:val="32"/>
        </w:rPr>
        <w:t>同品种医疗器械之间的差异，</w:t>
      </w:r>
      <w:r>
        <w:rPr>
          <w:rFonts w:ascii="Times New Roman" w:hAnsi="Times New Roman" w:eastAsia="仿宋_GB2312" w:cs="Times New Roman"/>
          <w:color w:val="000000" w:themeColor="text1"/>
          <w:sz w:val="32"/>
          <w:szCs w:val="32"/>
          <w14:textFill>
            <w14:solidFill>
              <w14:schemeClr w14:val="tx1"/>
            </w14:solidFill>
          </w14:textFill>
        </w:rPr>
        <w:t>若不能通过非临床研究数据</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临床应用数据等证据资料证明申报产品的安全性和有效性</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申请人需要考虑通过临床试验来获得临床数据。</w:t>
      </w:r>
    </w:p>
    <w:p>
      <w:pPr>
        <w:autoSpaceDE w:val="0"/>
        <w:autoSpaceDN w:val="0"/>
        <w:adjustRightIn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themeColor="text1"/>
          <w:sz w:val="32"/>
          <w:szCs w:val="32"/>
          <w14:textFill>
            <w14:solidFill>
              <w14:schemeClr w14:val="tx1"/>
            </w14:solidFill>
          </w14:textFill>
        </w:rPr>
        <w:t>具体决策是否开展医疗器械临床试验可参照附件2</w:t>
      </w:r>
      <w:r>
        <w:rPr>
          <w:rFonts w:ascii="Times New Roman" w:hAnsi="Times New Roman" w:eastAsia="仿宋_GB2312" w:cs="Times New Roman"/>
          <w:color w:val="000000"/>
          <w:sz w:val="32"/>
          <w:szCs w:val="32"/>
        </w:rPr>
        <w:t>和</w:t>
      </w:r>
      <w:r>
        <w:rPr>
          <w:rFonts w:ascii="Times New Roman" w:hAnsi="Times New Roman" w:eastAsia="仿宋_GB2312" w:cs="Times New Roman"/>
          <w:color w:val="000000" w:themeColor="text1"/>
          <w:sz w:val="32"/>
          <w:szCs w:val="32"/>
          <w14:textFill>
            <w14:solidFill>
              <w14:schemeClr w14:val="tx1"/>
            </w14:solidFill>
          </w14:textFill>
        </w:rPr>
        <w:t>附件3</w:t>
      </w:r>
      <w:r>
        <w:rPr>
          <w:rFonts w:ascii="Times New Roman" w:hAnsi="Times New Roman" w:eastAsia="仿宋_GB2312" w:cs="Times New Roman"/>
          <w:color w:val="000000"/>
          <w:sz w:val="32"/>
          <w:szCs w:val="32"/>
        </w:rPr>
        <w:t>，并提供充分的依据。</w:t>
      </w:r>
    </w:p>
    <w:p>
      <w:pPr>
        <w:overflowPunct w:val="0"/>
        <w:spacing w:line="560" w:lineRule="exact"/>
        <w:ind w:firstLine="640" w:firstLineChars="200"/>
        <w:rPr>
          <w:rFonts w:hint="eastAsia"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六</w:t>
      </w:r>
      <w:r>
        <w:rPr>
          <w:rFonts w:hint="eastAsia" w:ascii="Times New Roman" w:hAnsi="Times New Roman" w:eastAsia="黑体" w:cs="Times New Roman"/>
          <w:bCs/>
          <w:color w:val="000000" w:themeColor="text1"/>
          <w:sz w:val="32"/>
          <w:szCs w:val="32"/>
          <w14:textFill>
            <w14:solidFill>
              <w14:schemeClr w14:val="tx1"/>
            </w14:solidFill>
          </w14:textFill>
        </w:rPr>
        <w:t>、参考文献</w:t>
      </w:r>
    </w:p>
    <w:p>
      <w:pPr>
        <w:spacing w:line="5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[1]《医疗器械临床评价技术指导原则》（2015年第14号通告）</w:t>
      </w:r>
    </w:p>
    <w:p>
      <w:pPr>
        <w:spacing w:line="54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 YY/T 17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高通量基因测序仪</w:t>
      </w:r>
      <w:r>
        <w:rPr>
          <w:rFonts w:hint="eastAsia" w:ascii="Times New Roman" w:hAnsi="Times New Roman" w:eastAsia="仿宋_GB2312" w:cs="Times New Roman"/>
          <w:color w:val="000000" w:themeColor="text1"/>
          <w:sz w:val="32"/>
          <w:szCs w:val="32"/>
          <w14:textFill>
            <w14:solidFill>
              <w14:schemeClr w14:val="tx1"/>
            </w14:solidFill>
          </w14:textFill>
        </w:rPr>
        <w:t>》[S]</w:t>
      </w:r>
      <w:bookmarkStart w:id="8" w:name="_GoBack"/>
      <w:bookmarkEnd w:id="8"/>
    </w:p>
    <w:p>
      <w:pPr>
        <w:overflowPunct w:val="0"/>
        <w:spacing w:line="560" w:lineRule="exact"/>
        <w:ind w:firstLine="640" w:firstLineChars="200"/>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七、起草单位</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起草单位：国家药品监督管理局医疗器械技术审评中心</w:t>
      </w:r>
    </w:p>
    <w:p>
      <w:pPr>
        <w:pStyle w:val="2"/>
        <w:rPr>
          <w:rFonts w:ascii="Times New Roman" w:hAnsi="Times New Roman" w:eastAsia="仿宋_GB2312" w:cs="Times New Roman"/>
        </w:rPr>
      </w:pPr>
    </w:p>
    <w:p>
      <w:pPr>
        <w:autoSpaceDE w:val="0"/>
        <w:autoSpaceDN w:val="0"/>
        <w:adjustRightInd w:val="0"/>
        <w:spacing w:line="52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附件：1. 拟申报产品与同品种基因测序仪对比表</w:t>
      </w:r>
    </w:p>
    <w:p>
      <w:pPr>
        <w:tabs>
          <w:tab w:val="left" w:pos="312"/>
        </w:tabs>
        <w:autoSpaceDE w:val="0"/>
        <w:autoSpaceDN w:val="0"/>
        <w:adjustRightInd w:val="0"/>
        <w:spacing w:line="520" w:lineRule="exact"/>
        <w:ind w:left="161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2. </w:t>
      </w:r>
      <w:r>
        <w:rPr>
          <w:rFonts w:ascii="Times New Roman" w:hAnsi="Times New Roman" w:eastAsia="仿宋_GB2312" w:cs="Times New Roman"/>
          <w:color w:val="000000"/>
          <w:sz w:val="32"/>
          <w:szCs w:val="32"/>
        </w:rPr>
        <w:t>同品种比对路径</w:t>
      </w:r>
    </w:p>
    <w:p>
      <w:pPr>
        <w:tabs>
          <w:tab w:val="left" w:pos="312"/>
        </w:tabs>
        <w:autoSpaceDE w:val="0"/>
        <w:autoSpaceDN w:val="0"/>
        <w:adjustRightInd w:val="0"/>
        <w:spacing w:line="520" w:lineRule="exact"/>
        <w:ind w:left="161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sz w:val="32"/>
          <w:szCs w:val="32"/>
        </w:rPr>
        <w:t xml:space="preserve">3. </w:t>
      </w:r>
      <w:r>
        <w:rPr>
          <w:rFonts w:ascii="Times New Roman" w:hAnsi="Times New Roman" w:eastAsia="仿宋_GB2312" w:cs="Times New Roman"/>
          <w:color w:val="000000"/>
          <w:sz w:val="32"/>
          <w:szCs w:val="32"/>
        </w:rPr>
        <w:t>基因测序仪同品种比对差异评价路径</w:t>
      </w:r>
    </w:p>
    <w:p>
      <w:pPr>
        <w:overflowPunct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w:br w:type="page"/>
      </w:r>
    </w:p>
    <w:p>
      <w:pPr>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w:t>附件1</w:t>
      </w:r>
    </w:p>
    <w:p>
      <w:pPr>
        <w:pStyle w:val="4"/>
        <w:jc w:val="center"/>
        <w:rPr>
          <w:rFonts w:ascii="Times New Roman" w:hAnsi="Times New Roman" w:eastAsia="方正小标宋简体" w:cs="Times New Roman"/>
          <w:bCs/>
          <w:color w:val="000000" w:themeColor="text1"/>
          <w:kern w:val="44"/>
          <w:sz w:val="36"/>
          <w:szCs w:val="36"/>
          <w14:textFill>
            <w14:solidFill>
              <w14:schemeClr w14:val="tx1"/>
            </w14:solidFill>
          </w14:textFill>
        </w:rPr>
      </w:pPr>
      <w:r>
        <w:rPr>
          <w:rFonts w:hint="eastAsia" w:ascii="Times New Roman" w:hAnsi="Times New Roman" w:eastAsia="方正小标宋简体" w:cs="Times New Roman"/>
          <w:bCs/>
          <w:color w:val="000000" w:themeColor="text1"/>
          <w:kern w:val="44"/>
          <w:sz w:val="36"/>
          <w:szCs w:val="36"/>
          <w14:textFill>
            <w14:solidFill>
              <w14:schemeClr w14:val="tx1"/>
            </w14:solidFill>
          </w14:textFill>
        </w:rPr>
        <w:t>拟申报产品与同品种基因测序仪对比表</w:t>
      </w:r>
    </w:p>
    <w:p>
      <w:pPr>
        <w:pStyle w:val="4"/>
        <w:jc w:val="center"/>
        <w:rPr>
          <w:rFonts w:ascii="Times New Roman" w:hAnsi="Times New Roman" w:eastAsia="方正小标宋简体" w:cs="Times New Roman"/>
          <w:bCs/>
          <w:color w:val="000000" w:themeColor="text1"/>
          <w:kern w:val="44"/>
          <w:sz w:val="36"/>
          <w:szCs w:val="36"/>
          <w14:textFill>
            <w14:solidFill>
              <w14:schemeClr w14:val="tx1"/>
            </w14:solidFill>
          </w14:textFill>
        </w:rPr>
      </w:pPr>
    </w:p>
    <w:p>
      <w:pPr>
        <w:pStyle w:val="2"/>
        <w:ind w:left="0" w:leftChars="0" w:firstLine="0" w:firstLineChars="0"/>
        <w:rPr>
          <w:rStyle w:val="17"/>
          <w:rFonts w:hint="default"/>
          <w:lang w:bidi="ar"/>
        </w:rPr>
      </w:pPr>
      <w:r>
        <w:rPr>
          <w:rStyle w:val="17"/>
          <w:rFonts w:hint="default"/>
          <w:lang w:bidi="ar"/>
        </w:rPr>
        <w:t>1.基本原理</w:t>
      </w:r>
    </w:p>
    <w:p>
      <w:pPr>
        <w:pStyle w:val="8"/>
        <w:rPr>
          <w:rFonts w:ascii="宋体" w:hAnsi="宋体" w:cs="宋体"/>
          <w:sz w:val="24"/>
          <w:szCs w:val="24"/>
        </w:rPr>
      </w:pPr>
      <w:r>
        <w:rPr>
          <w:rFonts w:hint="eastAsia" w:ascii="宋体" w:hAnsi="宋体" w:cs="宋体"/>
          <w:sz w:val="24"/>
          <w:szCs w:val="24"/>
        </w:rPr>
        <w:t>1.1拟申报产品和同品种产品的工作原理应一致。应详述核心结构模块和原理，包括：样本来源和处理（包括片段化、定向扩增、定向捕获或纯化等）、生化原理（包括催化酶、底物标记、荧光化学、试剂保存、硅基表面处理等）、物理原理（光学或电学模块并行化、信号采集、信号处理、液路设计、废液收集处理等）、碱基判断和质量评估原理（包括信号采集处理、质量评估、序列组装等核心算法和软件来源）等。</w:t>
      </w:r>
    </w:p>
    <w:p>
      <w:pPr>
        <w:pStyle w:val="8"/>
        <w:rPr>
          <w:rFonts w:ascii="宋体" w:hAnsi="宋体" w:cs="宋体"/>
          <w:sz w:val="24"/>
          <w:szCs w:val="24"/>
        </w:rPr>
      </w:pPr>
      <w:r>
        <w:rPr>
          <w:rFonts w:hint="eastAsia" w:ascii="宋体" w:hAnsi="宋体" w:cs="宋体"/>
          <w:sz w:val="24"/>
          <w:szCs w:val="24"/>
        </w:rPr>
        <w:t>1.2产品类型应明确台式、便携式、大型仪器。</w:t>
      </w:r>
    </w:p>
    <w:p>
      <w:pPr>
        <w:pStyle w:val="2"/>
        <w:numPr>
          <w:ilvl w:val="255"/>
          <w:numId w:val="0"/>
        </w:numPr>
        <w:ind w:left="840" w:leftChars="400"/>
        <w:rPr>
          <w:rFonts w:eastAsia="宋体" w:cs="宋体"/>
          <w:szCs w:val="24"/>
        </w:rPr>
      </w:pP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4"/>
        <w:gridCol w:w="1245"/>
        <w:gridCol w:w="2245"/>
        <w:gridCol w:w="888"/>
        <w:gridCol w:w="940"/>
        <w:gridCol w:w="941"/>
        <w:gridCol w:w="1226"/>
        <w:gridCol w:w="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245"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888"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2245"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888"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3" w:hRule="atLeast"/>
          <w:jc w:val="center"/>
        </w:trPr>
        <w:tc>
          <w:tcPr>
            <w:tcW w:w="734" w:type="dxa"/>
            <w:vMerge w:val="restart"/>
            <w:tcBorders>
              <w:tl2br w:val="nil"/>
              <w:tr2bl w:val="nil"/>
            </w:tcBorders>
            <w:shd w:val="clear" w:color="auto" w:fill="auto"/>
            <w:vAlign w:val="center"/>
          </w:tcPr>
          <w:p>
            <w:pPr>
              <w:jc w:val="center"/>
              <w:rPr>
                <w:rFonts w:ascii="宋体" w:hAnsi="宋体" w:eastAsia="宋体" w:cs="宋体"/>
                <w:color w:val="000000"/>
                <w:sz w:val="24"/>
                <w:szCs w:val="24"/>
              </w:rPr>
            </w:pPr>
            <w:r>
              <w:rPr>
                <w:rStyle w:val="17"/>
                <w:rFonts w:hint="default"/>
                <w:lang w:bidi="ar"/>
              </w:rPr>
              <w:t>基本原理</w:t>
            </w: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2245" w:type="dxa"/>
            <w:tcBorders>
              <w:tl2br w:val="nil"/>
              <w:tr2bl w:val="nil"/>
            </w:tcBorders>
            <w:shd w:val="clear" w:color="auto" w:fill="auto"/>
            <w:vAlign w:val="center"/>
          </w:tcPr>
          <w:p>
            <w:pPr>
              <w:jc w:val="left"/>
              <w:rPr>
                <w:rStyle w:val="17"/>
                <w:rFonts w:hint="default"/>
                <w:lang w:bidi="ar"/>
              </w:rPr>
            </w:pPr>
            <w:r>
              <w:rPr>
                <w:rStyle w:val="17"/>
                <w:rFonts w:hint="default"/>
                <w:lang w:bidi="ar"/>
              </w:rPr>
              <w:t>工作原理</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1.1.1</w:t>
            </w:r>
          </w:p>
        </w:tc>
        <w:tc>
          <w:tcPr>
            <w:tcW w:w="2245" w:type="dxa"/>
            <w:tcBorders>
              <w:tl2br w:val="nil"/>
              <w:tr2bl w:val="nil"/>
            </w:tcBorders>
            <w:shd w:val="clear" w:color="auto" w:fill="auto"/>
            <w:vAlign w:val="center"/>
          </w:tcPr>
          <w:p>
            <w:pPr>
              <w:jc w:val="left"/>
              <w:rPr>
                <w:rStyle w:val="17"/>
                <w:rFonts w:hint="default"/>
                <w:lang w:bidi="ar"/>
              </w:rPr>
            </w:pPr>
            <w:r>
              <w:rPr>
                <w:rFonts w:hint="eastAsia" w:ascii="宋体" w:hAnsi="宋体" w:eastAsia="宋体" w:cs="宋体"/>
                <w:sz w:val="24"/>
                <w:szCs w:val="24"/>
              </w:rPr>
              <w:t>生化原理</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1.1.2</w:t>
            </w:r>
          </w:p>
        </w:tc>
        <w:tc>
          <w:tcPr>
            <w:tcW w:w="2245" w:type="dxa"/>
            <w:tcBorders>
              <w:tl2br w:val="nil"/>
              <w:tr2bl w:val="nil"/>
            </w:tcBorders>
            <w:shd w:val="clear" w:color="auto" w:fill="auto"/>
            <w:vAlign w:val="center"/>
          </w:tcPr>
          <w:p>
            <w:pPr>
              <w:jc w:val="left"/>
              <w:rPr>
                <w:rStyle w:val="17"/>
                <w:rFonts w:hint="default"/>
                <w:lang w:bidi="ar"/>
              </w:rPr>
            </w:pPr>
            <w:r>
              <w:rPr>
                <w:rFonts w:hint="eastAsia" w:ascii="宋体" w:hAnsi="宋体" w:eastAsia="宋体" w:cs="宋体"/>
                <w:sz w:val="24"/>
                <w:szCs w:val="24"/>
              </w:rPr>
              <w:t>物理原理</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1.1.3</w:t>
            </w:r>
          </w:p>
        </w:tc>
        <w:tc>
          <w:tcPr>
            <w:tcW w:w="2245" w:type="dxa"/>
            <w:tcBorders>
              <w:tl2br w:val="nil"/>
              <w:tr2bl w:val="nil"/>
            </w:tcBorders>
            <w:shd w:val="clear" w:color="auto" w:fill="auto"/>
            <w:vAlign w:val="center"/>
          </w:tcPr>
          <w:p>
            <w:pPr>
              <w:widowControl/>
              <w:jc w:val="left"/>
              <w:textAlignment w:val="center"/>
              <w:rPr>
                <w:rStyle w:val="17"/>
                <w:rFonts w:hint="default"/>
                <w:lang w:bidi="ar"/>
              </w:rPr>
            </w:pPr>
            <w:r>
              <w:rPr>
                <w:rFonts w:hint="eastAsia" w:ascii="宋体" w:hAnsi="宋体" w:eastAsia="宋体" w:cs="宋体"/>
                <w:color w:val="000000"/>
                <w:kern w:val="0"/>
                <w:sz w:val="22"/>
                <w:lang w:bidi="ar"/>
              </w:rPr>
              <w:t>信号放大和采集原理</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1.1.4</w:t>
            </w:r>
          </w:p>
        </w:tc>
        <w:tc>
          <w:tcPr>
            <w:tcW w:w="2245"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2"/>
                <w:lang w:bidi="ar"/>
              </w:rPr>
              <w:t>信号处理原理（信号建模、转换、纠错）</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1.1.5</w:t>
            </w:r>
          </w:p>
        </w:tc>
        <w:tc>
          <w:tcPr>
            <w:tcW w:w="2245"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碱基识别和质量评估原理</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1.1.6</w:t>
            </w:r>
          </w:p>
        </w:tc>
        <w:tc>
          <w:tcPr>
            <w:tcW w:w="2245"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2"/>
                <w:lang w:bidi="ar"/>
              </w:rPr>
              <w:t>高通量、并行化原理</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1.1.7</w:t>
            </w:r>
          </w:p>
        </w:tc>
        <w:tc>
          <w:tcPr>
            <w:tcW w:w="2245"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2"/>
                <w:lang w:bidi="ar"/>
              </w:rPr>
              <w:t>液路系统</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1.1.8</w:t>
            </w:r>
          </w:p>
        </w:tc>
        <w:tc>
          <w:tcPr>
            <w:tcW w:w="2245" w:type="dxa"/>
            <w:tcBorders>
              <w:tl2br w:val="nil"/>
              <w:tr2bl w:val="nil"/>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2"/>
                <w:lang w:bidi="ar"/>
              </w:rPr>
              <w:t>信号放大和采集原理</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3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sz w:val="24"/>
                <w:szCs w:val="24"/>
              </w:rPr>
            </w:pPr>
          </w:p>
        </w:tc>
        <w:tc>
          <w:tcPr>
            <w:tcW w:w="2245" w:type="dxa"/>
            <w:tcBorders>
              <w:tl2br w:val="nil"/>
              <w:tr2bl w:val="nil"/>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sz w:val="24"/>
                <w:szCs w:val="24"/>
              </w:rPr>
              <w:t>...</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45" w:type="dxa"/>
            <w:tcBorders>
              <w:tl2br w:val="nil"/>
              <w:tr2bl w:val="nil"/>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1.2</w:t>
            </w:r>
          </w:p>
        </w:tc>
        <w:tc>
          <w:tcPr>
            <w:tcW w:w="2245" w:type="dxa"/>
            <w:tcBorders>
              <w:tl2br w:val="nil"/>
              <w:tr2bl w:val="nil"/>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sz w:val="24"/>
                <w:szCs w:val="24"/>
              </w:rPr>
              <w:t>产品类型</w:t>
            </w:r>
          </w:p>
        </w:tc>
        <w:tc>
          <w:tcPr>
            <w:tcW w:w="888"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bl>
    <w:p>
      <w:pPr>
        <w:overflowPunct w:val="0"/>
        <w:spacing w:line="560" w:lineRule="exact"/>
        <w:ind w:firstLine="480" w:firstLineChars="200"/>
        <w:rPr>
          <w:rFonts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Style w:val="17"/>
          <w:rFonts w:hint="default"/>
          <w:lang w:bidi="ar"/>
        </w:rPr>
      </w:pPr>
      <w:r>
        <w:rPr>
          <w:rFonts w:hint="eastAsia" w:eastAsia="宋体" w:cs="宋体"/>
          <w:color w:val="000000"/>
          <w:kern w:val="0"/>
          <w:szCs w:val="24"/>
          <w:lang w:bidi="ar"/>
        </w:rPr>
        <w:t>2.</w:t>
      </w:r>
      <w:r>
        <w:rPr>
          <w:rStyle w:val="17"/>
          <w:rFonts w:hint="default"/>
          <w:lang w:bidi="ar"/>
        </w:rPr>
        <w:t>结构组成</w:t>
      </w:r>
    </w:p>
    <w:p>
      <w:pPr>
        <w:pStyle w:val="8"/>
        <w:rPr>
          <w:rFonts w:ascii="宋体" w:hAnsi="宋体" w:cs="宋体"/>
          <w:sz w:val="24"/>
          <w:szCs w:val="24"/>
        </w:rPr>
      </w:pPr>
      <w:r>
        <w:rPr>
          <w:rFonts w:hint="eastAsia" w:ascii="宋体" w:hAnsi="宋体" w:cs="宋体"/>
          <w:sz w:val="24"/>
          <w:szCs w:val="24"/>
        </w:rPr>
        <w:t>2.1产品组成应包括描述申报产品的所有结构组成。对成像模块、流动槽支架、流体自动化模块、缓冲剂吸管装置等功能模块、主体模块等核心结构模块进行逐项详细比对。</w:t>
      </w:r>
    </w:p>
    <w:p>
      <w:pPr>
        <w:pStyle w:val="8"/>
        <w:rPr>
          <w:rFonts w:ascii="宋体" w:hAnsi="宋体" w:cs="宋体"/>
          <w:sz w:val="24"/>
          <w:szCs w:val="24"/>
        </w:rPr>
      </w:pPr>
      <w:r>
        <w:rPr>
          <w:rFonts w:hint="eastAsia" w:ascii="宋体" w:hAnsi="宋体" w:cs="宋体"/>
          <w:sz w:val="24"/>
          <w:szCs w:val="24"/>
        </w:rPr>
        <w:t>2.2核心部件应至少对加样装置、恒温反应装置、芯片、信号采集、检测器及其原件技术要求进行对比。</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19"/>
        <w:gridCol w:w="1260"/>
        <w:gridCol w:w="2157"/>
        <w:gridCol w:w="976"/>
        <w:gridCol w:w="940"/>
        <w:gridCol w:w="941"/>
        <w:gridCol w:w="1226"/>
        <w:gridCol w:w="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jc w:val="center"/>
        </w:trPr>
        <w:tc>
          <w:tcPr>
            <w:tcW w:w="719"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Style w:val="17"/>
                <w:rFonts w:hint="default"/>
                <w:lang w:bidi="ar"/>
              </w:rPr>
              <w:t>结构组成</w:t>
            </w: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产品组成</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restart"/>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核心部件</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2.2.1</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流体液路系统</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2.2.2</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恒温反应装置</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2.2.3</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芯片设计构架</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2.2.4</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恒温反应装置</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2.2.5</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信号采集处理装置</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bl>
    <w:p>
      <w:pPr>
        <w:pStyle w:val="2"/>
        <w:ind w:leftChars="0" w:firstLine="0" w:firstLineChars="0"/>
        <w:rPr>
          <w:rFonts w:eastAsia="宋体" w:cs="宋体"/>
          <w:szCs w:val="24"/>
        </w:rPr>
      </w:pPr>
    </w:p>
    <w:p>
      <w:pPr>
        <w:pStyle w:val="2"/>
        <w:ind w:left="0" w:leftChars="0" w:firstLine="0" w:firstLineChars="0"/>
        <w:rPr>
          <w:rFonts w:eastAsia="宋体" w:cs="宋体"/>
          <w:color w:val="000000"/>
          <w:kern w:val="0"/>
          <w:szCs w:val="24"/>
          <w:lang w:bidi="ar"/>
        </w:rPr>
      </w:pPr>
      <w:r>
        <w:rPr>
          <w:rFonts w:hint="eastAsia" w:eastAsia="宋体" w:cs="宋体"/>
          <w:color w:val="000000"/>
          <w:kern w:val="0"/>
          <w:szCs w:val="24"/>
          <w:lang w:bidi="ar"/>
        </w:rPr>
        <w:t>3.性能要求</w:t>
      </w:r>
    </w:p>
    <w:p>
      <w:pPr>
        <w:pStyle w:val="8"/>
        <w:rPr>
          <w:rFonts w:ascii="宋体" w:hAnsi="宋体" w:cs="宋体"/>
          <w:sz w:val="24"/>
          <w:szCs w:val="24"/>
        </w:rPr>
      </w:pPr>
      <w:r>
        <w:rPr>
          <w:rFonts w:hint="eastAsia" w:ascii="宋体" w:hAnsi="宋体" w:cs="宋体"/>
          <w:sz w:val="24"/>
          <w:szCs w:val="24"/>
        </w:rPr>
        <w:t>3.1性能参数应包括 最大数据量/run*run，reads长度，突变类型以及人与病原体的检测性能，并对数据质量进行充分评价。</w:t>
      </w:r>
    </w:p>
    <w:p>
      <w:pPr>
        <w:pStyle w:val="8"/>
        <w:rPr>
          <w:rFonts w:ascii="宋体" w:hAnsi="宋体" w:cs="宋体"/>
          <w:sz w:val="24"/>
          <w:szCs w:val="24"/>
        </w:rPr>
      </w:pPr>
      <w:r>
        <w:rPr>
          <w:rFonts w:hint="eastAsia" w:ascii="宋体" w:hAnsi="宋体" w:cs="宋体"/>
          <w:sz w:val="24"/>
          <w:szCs w:val="24"/>
        </w:rPr>
        <w:t>3.2反应模式及时间应包括所有的反应模式如PE150，PE250，SE35等。</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602"/>
        <w:gridCol w:w="2157"/>
        <w:gridCol w:w="976"/>
        <w:gridCol w:w="940"/>
        <w:gridCol w:w="941"/>
        <w:gridCol w:w="1226"/>
        <w:gridCol w:w="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性能要求</w:t>
            </w: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性能参数</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3.2</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功能参数</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反应模式及用时</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bl>
    <w:p>
      <w:pPr>
        <w:pStyle w:val="2"/>
        <w:ind w:left="0" w:leftChars="0" w:firstLine="0" w:firstLineChars="0"/>
        <w:rPr>
          <w:rFonts w:eastAsia="宋体" w:cs="宋体"/>
          <w:szCs w:val="24"/>
        </w:rPr>
      </w:pPr>
    </w:p>
    <w:p>
      <w:pPr>
        <w:pStyle w:val="2"/>
        <w:numPr>
          <w:ilvl w:val="255"/>
          <w:numId w:val="0"/>
        </w:numPr>
        <w:rPr>
          <w:rFonts w:eastAsia="宋体" w:cs="宋体"/>
          <w:color w:val="000000"/>
          <w:kern w:val="0"/>
          <w:szCs w:val="24"/>
          <w:lang w:bidi="ar"/>
        </w:rPr>
      </w:pPr>
      <w:r>
        <w:rPr>
          <w:rFonts w:hint="eastAsia" w:eastAsia="宋体" w:cs="宋体"/>
          <w:color w:val="000000"/>
          <w:kern w:val="0"/>
          <w:szCs w:val="24"/>
          <w:lang w:bidi="ar"/>
        </w:rPr>
        <w:t>4.软件核心功能及算法</w:t>
      </w:r>
    </w:p>
    <w:p>
      <w:pPr>
        <w:pStyle w:val="8"/>
        <w:rPr>
          <w:rFonts w:ascii="宋体" w:hAnsi="宋体" w:cs="宋体"/>
          <w:sz w:val="24"/>
          <w:szCs w:val="24"/>
        </w:rPr>
      </w:pPr>
      <w:r>
        <w:rPr>
          <w:rFonts w:hint="eastAsia" w:ascii="宋体" w:hAnsi="宋体" w:cs="宋体"/>
          <w:sz w:val="24"/>
          <w:szCs w:val="24"/>
        </w:rPr>
        <w:t>4.1对比产品的软件核心功能及算法</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94"/>
        <w:gridCol w:w="585"/>
        <w:gridCol w:w="2157"/>
        <w:gridCol w:w="976"/>
        <w:gridCol w:w="940"/>
        <w:gridCol w:w="941"/>
        <w:gridCol w:w="1226"/>
        <w:gridCol w:w="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jc w:val="center"/>
        </w:trPr>
        <w:tc>
          <w:tcPr>
            <w:tcW w:w="1394" w:type="dxa"/>
            <w:vMerge w:val="restart"/>
            <w:tcBorders>
              <w:tl2br w:val="nil"/>
              <w:tr2bl w:val="nil"/>
            </w:tcBorders>
            <w:shd w:val="clear" w:color="auto" w:fill="auto"/>
            <w:vAlign w:val="center"/>
          </w:tcPr>
          <w:p>
            <w:pPr>
              <w:pStyle w:val="2"/>
              <w:ind w:left="0" w:leftChars="0" w:firstLine="0" w:firstLineChars="0"/>
              <w:rPr>
                <w:rFonts w:eastAsia="宋体" w:cs="宋体"/>
                <w:color w:val="000000"/>
                <w:szCs w:val="24"/>
              </w:rPr>
            </w:pPr>
            <w:r>
              <w:rPr>
                <w:rFonts w:hint="eastAsia" w:eastAsia="宋体" w:cs="宋体"/>
                <w:bCs w:val="0"/>
                <w:color w:val="000000"/>
                <w:kern w:val="0"/>
                <w:szCs w:val="24"/>
                <w:lang w:bidi="ar"/>
              </w:rPr>
              <w:t>软件核心功能</w:t>
            </w:r>
          </w:p>
        </w:tc>
        <w:tc>
          <w:tcPr>
            <w:tcW w:w="58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4.1</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运行控制</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 w:hRule="atLeast"/>
          <w:jc w:val="center"/>
        </w:trPr>
        <w:tc>
          <w:tcPr>
            <w:tcW w:w="1394"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4.2</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状态监控</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4.3</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碱基识别</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4.4</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数据质控</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4.5 </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结果判读</w:t>
            </w:r>
          </w:p>
        </w:tc>
        <w:tc>
          <w:tcPr>
            <w:tcW w:w="976" w:type="dxa"/>
            <w:tcBorders>
              <w:tl2br w:val="nil"/>
              <w:tr2bl w:val="nil"/>
            </w:tcBorders>
            <w:shd w:val="clear" w:color="auto" w:fill="auto"/>
            <w:vAlign w:val="center"/>
          </w:tcPr>
          <w:p>
            <w:pPr>
              <w:pStyle w:val="4"/>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pPr>
              <w:pStyle w:val="4"/>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pStyle w:val="4"/>
              <w:jc w:val="center"/>
              <w:rPr>
                <w:rFonts w:ascii="宋体" w:hAnsi="宋体" w:eastAsia="宋体" w:cs="宋体"/>
                <w:color w:val="000000"/>
                <w:sz w:val="24"/>
                <w:szCs w:val="24"/>
              </w:rPr>
            </w:pPr>
          </w:p>
        </w:tc>
        <w:tc>
          <w:tcPr>
            <w:tcW w:w="976" w:type="dxa"/>
            <w:tcBorders>
              <w:tl2br w:val="nil"/>
              <w:tr2bl w:val="nil"/>
            </w:tcBorders>
            <w:shd w:val="clear" w:color="auto" w:fill="auto"/>
            <w:vAlign w:val="center"/>
          </w:tcPr>
          <w:p>
            <w:pPr>
              <w:pStyle w:val="4"/>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394"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58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sz w:val="24"/>
                <w:szCs w:val="24"/>
              </w:rPr>
            </w:pPr>
          </w:p>
        </w:tc>
        <w:tc>
          <w:tcPr>
            <w:tcW w:w="976" w:type="dxa"/>
            <w:tcBorders>
              <w:tl2br w:val="nil"/>
              <w:tr2bl w:val="nil"/>
            </w:tcBorders>
            <w:shd w:val="clear" w:color="auto" w:fill="auto"/>
            <w:vAlign w:val="center"/>
          </w:tcPr>
          <w:p>
            <w:pPr>
              <w:pStyle w:val="4"/>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r>
    </w:tbl>
    <w:p>
      <w:pPr>
        <w:pStyle w:val="2"/>
        <w:ind w:leftChars="0" w:firstLine="0" w:firstLineChars="0"/>
        <w:rPr>
          <w:rStyle w:val="17"/>
          <w:rFonts w:hint="default"/>
          <w:lang w:bidi="ar"/>
        </w:rPr>
      </w:pPr>
    </w:p>
    <w:p>
      <w:pPr>
        <w:pStyle w:val="2"/>
        <w:numPr>
          <w:ilvl w:val="255"/>
          <w:numId w:val="0"/>
        </w:numPr>
        <w:rPr>
          <w:rStyle w:val="17"/>
          <w:rFonts w:hint="default"/>
          <w:lang w:bidi="ar"/>
        </w:rPr>
      </w:pPr>
      <w:r>
        <w:rPr>
          <w:rStyle w:val="17"/>
          <w:rFonts w:hint="default"/>
          <w:lang w:bidi="ar"/>
        </w:rPr>
        <w:t>5.适用范围及</w:t>
      </w:r>
      <w:r>
        <w:rPr>
          <w:rFonts w:hint="eastAsia" w:eastAsia="宋体" w:cs="宋体"/>
          <w:color w:val="000000"/>
          <w:szCs w:val="24"/>
        </w:rPr>
        <w:t>预期用途</w:t>
      </w:r>
    </w:p>
    <w:p>
      <w:pPr>
        <w:pStyle w:val="8"/>
        <w:jc w:val="both"/>
        <w:rPr>
          <w:rFonts w:ascii="宋体" w:hAnsi="宋体" w:cs="宋体"/>
          <w:sz w:val="24"/>
          <w:szCs w:val="24"/>
        </w:rPr>
      </w:pPr>
      <w:r>
        <w:rPr>
          <w:rFonts w:hint="eastAsia" w:ascii="宋体" w:hAnsi="宋体" w:cs="宋体"/>
          <w:sz w:val="24"/>
          <w:szCs w:val="24"/>
        </w:rPr>
        <w:t>5.1样本类型通常包括血清、全血、组织、FFPE及其他含有人类以及各种病原体的核酸的样本类型等，可采用代表性样本类型（根据样本中基因组特征）。</w:t>
      </w:r>
    </w:p>
    <w:p>
      <w:pPr>
        <w:pStyle w:val="8"/>
        <w:jc w:val="both"/>
        <w:rPr>
          <w:rFonts w:ascii="宋体" w:hAnsi="宋体" w:cs="宋体"/>
          <w:sz w:val="24"/>
          <w:szCs w:val="24"/>
        </w:rPr>
      </w:pPr>
      <w:r>
        <w:rPr>
          <w:rFonts w:hint="eastAsia" w:ascii="宋体" w:hAnsi="宋体" w:cs="宋体"/>
          <w:sz w:val="24"/>
          <w:szCs w:val="24"/>
        </w:rPr>
        <w:t>5.2变异类型通常包括点突变、插入缺少、结构变异等变异类型。</w:t>
      </w:r>
    </w:p>
    <w:p>
      <w:pPr>
        <w:pStyle w:val="8"/>
        <w:jc w:val="both"/>
        <w:rPr>
          <w:rFonts w:ascii="宋体" w:hAnsi="宋体" w:cs="宋体"/>
          <w:sz w:val="24"/>
          <w:szCs w:val="24"/>
        </w:rPr>
      </w:pPr>
      <w:r>
        <w:rPr>
          <w:rFonts w:hint="eastAsia" w:ascii="宋体" w:hAnsi="宋体" w:cs="宋体"/>
          <w:sz w:val="24"/>
          <w:szCs w:val="24"/>
        </w:rPr>
        <w:t>5.3检测的核酸样本类型通常包括人类基因组DNA、细胞内RNA、细胞外循环DNA或RNA，病原体DNA或RNA等。所有各类不同来源的RNA均须逆转录成互补DNA后才能用于测序。</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602"/>
        <w:gridCol w:w="2157"/>
        <w:gridCol w:w="976"/>
        <w:gridCol w:w="940"/>
        <w:gridCol w:w="941"/>
        <w:gridCol w:w="1226"/>
        <w:gridCol w:w="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1377"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Style w:val="17"/>
                <w:rFonts w:hint="default"/>
                <w:lang w:bidi="ar"/>
              </w:rPr>
              <w:t>适用范围</w:t>
            </w:r>
            <w:r>
              <w:rPr>
                <w:rFonts w:hint="eastAsia" w:ascii="宋体" w:hAnsi="宋体" w:eastAsia="宋体" w:cs="宋体"/>
                <w:color w:val="000000"/>
                <w:sz w:val="24"/>
                <w:szCs w:val="24"/>
              </w:rPr>
              <w:t>预期用途</w:t>
            </w: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5.1</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预期用途</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6" w:hRule="atLeast"/>
          <w:jc w:val="center"/>
        </w:trPr>
        <w:tc>
          <w:tcPr>
            <w:tcW w:w="137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5.2</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代表性样本类型</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9" w:hRule="atLeast"/>
          <w:jc w:val="center"/>
        </w:trPr>
        <w:tc>
          <w:tcPr>
            <w:tcW w:w="137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5.3</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可完成试验项目</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 w:hRule="atLeast"/>
          <w:jc w:val="center"/>
        </w:trPr>
        <w:tc>
          <w:tcPr>
            <w:tcW w:w="137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5.4</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变异类型</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5.5</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检测的核酸类型</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5.6</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使用环境</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37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bl>
    <w:p>
      <w:pPr>
        <w:pStyle w:val="8"/>
        <w:jc w:val="both"/>
        <w:rPr>
          <w:rFonts w:ascii="宋体" w:hAnsi="宋体" w:cs="宋体"/>
          <w:sz w:val="24"/>
          <w:szCs w:val="24"/>
        </w:rPr>
      </w:pPr>
    </w:p>
    <w:p>
      <w:pPr>
        <w:pStyle w:val="2"/>
        <w:numPr>
          <w:ilvl w:val="255"/>
          <w:numId w:val="0"/>
        </w:numPr>
        <w:rPr>
          <w:rStyle w:val="17"/>
          <w:rFonts w:hint="default"/>
          <w:lang w:bidi="ar"/>
        </w:rPr>
      </w:pPr>
      <w:r>
        <w:rPr>
          <w:rStyle w:val="17"/>
          <w:rFonts w:hint="default"/>
          <w:lang w:bidi="ar"/>
        </w:rPr>
        <w:t>6.配套要求</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602"/>
        <w:gridCol w:w="2157"/>
        <w:gridCol w:w="976"/>
        <w:gridCol w:w="940"/>
        <w:gridCol w:w="941"/>
        <w:gridCol w:w="1226"/>
        <w:gridCol w:w="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2157"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gridSpan w:val="2"/>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215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7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jc w:val="center"/>
        </w:trPr>
        <w:tc>
          <w:tcPr>
            <w:tcW w:w="1377"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配套要求</w:t>
            </w: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6.1</w:t>
            </w:r>
          </w:p>
        </w:tc>
        <w:tc>
          <w:tcPr>
            <w:tcW w:w="2157" w:type="dxa"/>
            <w:tcBorders>
              <w:tl2br w:val="nil"/>
              <w:tr2bl w:val="nil"/>
            </w:tcBorders>
            <w:shd w:val="clear" w:color="auto" w:fill="auto"/>
            <w:vAlign w:val="center"/>
          </w:tcPr>
          <w:p>
            <w:pPr>
              <w:pStyle w:val="9"/>
              <w:widowControl/>
              <w:jc w:val="center"/>
            </w:pPr>
            <w:r>
              <w:rPr>
                <w:rFonts w:hint="eastAsia"/>
              </w:rPr>
              <w:t>上机文库质量要求</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77" w:type="dxa"/>
            <w:vMerge w:val="continue"/>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6.2</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sz w:val="24"/>
                <w:szCs w:val="24"/>
              </w:rPr>
              <w:t>样本来源和处理（包括片段化、定向扩增、定向捕获或纯化等）</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77"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6.3</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配套使用的测序通用试剂要求</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77"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center"/>
              <w:rPr>
                <w:rFonts w:ascii="宋体" w:hAnsi="宋体" w:eastAsia="宋体" w:cs="宋体"/>
                <w:color w:val="000000"/>
                <w:sz w:val="24"/>
                <w:szCs w:val="24"/>
              </w:rPr>
            </w:pPr>
          </w:p>
        </w:tc>
      </w:tr>
    </w:tbl>
    <w:p>
      <w:pPr>
        <w:pStyle w:val="2"/>
        <w:ind w:leftChars="0" w:firstLine="0" w:firstLineChars="0"/>
        <w:rPr>
          <w:rStyle w:val="17"/>
          <w:rFonts w:hint="default"/>
          <w:lang w:bidi="ar"/>
        </w:rPr>
      </w:pPr>
    </w:p>
    <w:p>
      <w:pPr>
        <w:pStyle w:val="2"/>
        <w:ind w:left="0" w:leftChars="0" w:firstLine="0" w:firstLineChars="0"/>
        <w:rPr>
          <w:rStyle w:val="17"/>
          <w:rFonts w:hint="default"/>
          <w:lang w:bidi="ar"/>
        </w:rPr>
      </w:pPr>
      <w:r>
        <w:rPr>
          <w:rStyle w:val="17"/>
          <w:rFonts w:hint="default"/>
          <w:lang w:bidi="ar"/>
        </w:rPr>
        <w:t>7.安全性评价</w:t>
      </w:r>
    </w:p>
    <w:tbl>
      <w:tblPr>
        <w:tblStyle w:val="10"/>
        <w:tblpPr w:leftFromText="180" w:rightFromText="180" w:vertAnchor="text" w:horzAnchor="page" w:tblpX="1787" w:tblpY="83"/>
        <w:tblOverlap w:val="never"/>
        <w:tblW w:w="86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602"/>
        <w:gridCol w:w="2157"/>
        <w:gridCol w:w="976"/>
        <w:gridCol w:w="940"/>
        <w:gridCol w:w="941"/>
        <w:gridCol w:w="1226"/>
        <w:gridCol w:w="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1377" w:type="dxa"/>
            <w:vMerge w:val="restart"/>
            <w:tcBorders>
              <w:tl2br w:val="nil"/>
              <w:tr2bl w:val="nil"/>
            </w:tcBorders>
            <w:shd w:val="clear" w:color="auto" w:fill="auto"/>
            <w:noWrap/>
            <w:vAlign w:val="center"/>
          </w:tcPr>
          <w:p>
            <w:pPr>
              <w:widowControl/>
              <w:jc w:val="center"/>
              <w:textAlignment w:val="center"/>
              <w:rPr>
                <w:rStyle w:val="17"/>
                <w:rFonts w:hint="default"/>
                <w:lang w:bidi="ar"/>
              </w:rPr>
            </w:pPr>
            <w:r>
              <w:rPr>
                <w:rStyle w:val="17"/>
                <w:rFonts w:hint="default"/>
                <w:lang w:bidi="ar"/>
              </w:rPr>
              <w:t>安全性</w:t>
            </w:r>
          </w:p>
          <w:p>
            <w:pPr>
              <w:widowControl/>
              <w:jc w:val="center"/>
              <w:textAlignment w:val="center"/>
              <w:rPr>
                <w:rFonts w:ascii="宋体" w:hAnsi="宋体" w:eastAsia="宋体" w:cs="宋体"/>
                <w:color w:val="000000"/>
                <w:sz w:val="24"/>
                <w:szCs w:val="24"/>
              </w:rPr>
            </w:pPr>
            <w:r>
              <w:rPr>
                <w:rStyle w:val="17"/>
                <w:rFonts w:hint="default"/>
                <w:lang w:bidi="ar"/>
              </w:rPr>
              <w:t>评价</w:t>
            </w: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7.1</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通用电气安全</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left"/>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left"/>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1377" w:type="dxa"/>
            <w:vMerge w:val="continue"/>
            <w:tcBorders>
              <w:tl2br w:val="nil"/>
              <w:tr2bl w:val="nil"/>
            </w:tcBorders>
            <w:shd w:val="clear" w:color="auto" w:fill="auto"/>
            <w:noWrap/>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7.2</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专用安全</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left"/>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left"/>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1377" w:type="dxa"/>
            <w:tcBorders>
              <w:tl2br w:val="nil"/>
              <w:tr2bl w:val="nil"/>
            </w:tcBorders>
            <w:shd w:val="clear" w:color="auto" w:fill="auto"/>
            <w:noWrap/>
            <w:vAlign w:val="center"/>
          </w:tcPr>
          <w:p>
            <w:pPr>
              <w:jc w:val="center"/>
              <w:rPr>
                <w:rFonts w:ascii="宋体" w:hAnsi="宋体" w:eastAsia="宋体" w:cs="宋体"/>
                <w:color w:val="000000"/>
                <w:sz w:val="24"/>
                <w:szCs w:val="24"/>
              </w:rPr>
            </w:pPr>
          </w:p>
        </w:tc>
        <w:tc>
          <w:tcPr>
            <w:tcW w:w="602"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7.3</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网络安全</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left"/>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left"/>
              <w:rPr>
                <w:rFonts w:ascii="宋体" w:hAnsi="宋体" w:eastAsia="宋体" w:cs="宋体"/>
                <w:color w:val="000000"/>
                <w:sz w:val="24"/>
                <w:szCs w:val="24"/>
              </w:rPr>
            </w:pPr>
          </w:p>
        </w:tc>
      </w:tr>
    </w:tbl>
    <w:p>
      <w:pPr>
        <w:pStyle w:val="2"/>
        <w:ind w:leftChars="0" w:firstLine="0" w:firstLineChars="0"/>
        <w:rPr>
          <w:rStyle w:val="17"/>
          <w:rFonts w:hint="default"/>
          <w:lang w:bidi="ar"/>
        </w:rPr>
      </w:pPr>
    </w:p>
    <w:p>
      <w:pPr>
        <w:pStyle w:val="2"/>
        <w:ind w:left="0" w:leftChars="0" w:firstLine="0" w:firstLineChars="0"/>
        <w:rPr>
          <w:rStyle w:val="17"/>
          <w:rFonts w:hint="default"/>
          <w:lang w:bidi="ar"/>
        </w:rPr>
      </w:pPr>
      <w:r>
        <w:rPr>
          <w:rStyle w:val="17"/>
          <w:rFonts w:hint="default"/>
          <w:lang w:bidi="ar"/>
        </w:rPr>
        <w:t>8.其他</w:t>
      </w:r>
    </w:p>
    <w:tbl>
      <w:tblPr>
        <w:tblStyle w:val="10"/>
        <w:tblW w:w="86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79"/>
        <w:gridCol w:w="2157"/>
        <w:gridCol w:w="976"/>
        <w:gridCol w:w="940"/>
        <w:gridCol w:w="941"/>
        <w:gridCol w:w="1226"/>
        <w:gridCol w:w="4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5" w:hRule="atLeast"/>
          <w:jc w:val="center"/>
        </w:trPr>
        <w:tc>
          <w:tcPr>
            <w:tcW w:w="1979"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对比项目</w:t>
            </w:r>
          </w:p>
        </w:tc>
        <w:tc>
          <w:tcPr>
            <w:tcW w:w="97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同品种产品</w:t>
            </w:r>
          </w:p>
        </w:tc>
        <w:tc>
          <w:tcPr>
            <w:tcW w:w="940"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拟申报产品</w:t>
            </w:r>
          </w:p>
        </w:tc>
        <w:tc>
          <w:tcPr>
            <w:tcW w:w="941"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差异性</w:t>
            </w:r>
          </w:p>
        </w:tc>
        <w:tc>
          <w:tcPr>
            <w:tcW w:w="122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支持性资料概述</w:t>
            </w:r>
          </w:p>
        </w:tc>
        <w:tc>
          <w:tcPr>
            <w:tcW w:w="408"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 w:hRule="atLeast"/>
          <w:jc w:val="center"/>
        </w:trPr>
        <w:tc>
          <w:tcPr>
            <w:tcW w:w="1979"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标签</w:t>
            </w:r>
          </w:p>
        </w:tc>
        <w:tc>
          <w:tcPr>
            <w:tcW w:w="97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left"/>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left"/>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 w:hRule="atLeast"/>
          <w:jc w:val="center"/>
        </w:trPr>
        <w:tc>
          <w:tcPr>
            <w:tcW w:w="1979"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产品说明书</w:t>
            </w:r>
          </w:p>
        </w:tc>
        <w:tc>
          <w:tcPr>
            <w:tcW w:w="97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widowControl/>
              <w:jc w:val="left"/>
              <w:textAlignment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widowControl/>
              <w:jc w:val="left"/>
              <w:textAlignment w:val="center"/>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79"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禁忌症</w:t>
            </w:r>
          </w:p>
        </w:tc>
        <w:tc>
          <w:tcPr>
            <w:tcW w:w="97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left"/>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3" w:hRule="atLeast"/>
          <w:jc w:val="center"/>
        </w:trPr>
        <w:tc>
          <w:tcPr>
            <w:tcW w:w="1979"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防范措施和警告</w:t>
            </w:r>
          </w:p>
        </w:tc>
        <w:tc>
          <w:tcPr>
            <w:tcW w:w="97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left"/>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jc w:val="center"/>
        </w:trPr>
        <w:tc>
          <w:tcPr>
            <w:tcW w:w="1979"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产品符合的国家/行业标准</w:t>
            </w:r>
          </w:p>
        </w:tc>
        <w:tc>
          <w:tcPr>
            <w:tcW w:w="97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left"/>
              <w:rPr>
                <w:rFonts w:ascii="宋体" w:hAnsi="宋体" w:eastAsia="宋体" w:cs="宋体"/>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tc>
        <w:tc>
          <w:tcPr>
            <w:tcW w:w="2157"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76"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p>
        </w:tc>
        <w:tc>
          <w:tcPr>
            <w:tcW w:w="940"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941"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1226" w:type="dxa"/>
            <w:tcBorders>
              <w:tl2br w:val="nil"/>
              <w:tr2bl w:val="nil"/>
            </w:tcBorders>
            <w:shd w:val="clear" w:color="auto" w:fill="auto"/>
            <w:vAlign w:val="center"/>
          </w:tcPr>
          <w:p>
            <w:pPr>
              <w:jc w:val="center"/>
              <w:rPr>
                <w:rFonts w:ascii="宋体" w:hAnsi="宋体" w:eastAsia="宋体" w:cs="宋体"/>
                <w:color w:val="000000"/>
                <w:sz w:val="24"/>
                <w:szCs w:val="24"/>
              </w:rPr>
            </w:pPr>
          </w:p>
        </w:tc>
        <w:tc>
          <w:tcPr>
            <w:tcW w:w="408" w:type="dxa"/>
            <w:tcBorders>
              <w:tl2br w:val="nil"/>
              <w:tr2bl w:val="nil"/>
            </w:tcBorders>
            <w:shd w:val="clear" w:color="auto" w:fill="auto"/>
            <w:vAlign w:val="center"/>
          </w:tcPr>
          <w:p>
            <w:pPr>
              <w:jc w:val="left"/>
              <w:rPr>
                <w:rFonts w:ascii="宋体" w:hAnsi="宋体" w:eastAsia="宋体" w:cs="宋体"/>
                <w:color w:val="000000"/>
                <w:sz w:val="24"/>
                <w:szCs w:val="24"/>
              </w:rPr>
            </w:pPr>
          </w:p>
        </w:tc>
      </w:tr>
    </w:tbl>
    <w:p>
      <w:pPr>
        <w:rPr>
          <w:rStyle w:val="17"/>
          <w:rFonts w:hint="default"/>
          <w:lang w:bidi="ar"/>
        </w:rPr>
      </w:pPr>
      <w:r>
        <w:rPr>
          <w:rFonts w:hint="eastAsia" w:ascii="宋体" w:hAnsi="宋体" w:eastAsia="宋体" w:cs="宋体"/>
          <w:sz w:val="24"/>
          <w:szCs w:val="24"/>
        </w:rPr>
        <w:t>以上所列出的内容为拟申报产品与同品种基因测序仪对比需要具体考虑的事项，申请人可根据产品特点增加对比项目。</w:t>
      </w:r>
    </w:p>
    <w:p>
      <w:pPr>
        <w:topLinePunct/>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附件</w:t>
      </w:r>
      <w:r>
        <w:rPr>
          <w:rFonts w:ascii="Times New Roman" w:hAnsi="Times New Roman" w:eastAsia="黑体" w:cs="Times New Roman"/>
          <w:sz w:val="32"/>
          <w:szCs w:val="32"/>
        </w:rPr>
        <w:t>2</w:t>
      </w:r>
    </w:p>
    <w:p>
      <w:pPr>
        <w:spacing w:line="4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通过同品种医疗器械临床试验或临床使用获得的数据进行分析评价路径</w:t>
      </w:r>
    </w:p>
    <w:p>
      <w:pPr>
        <w:pStyle w:val="2"/>
        <w:rPr>
          <w:rFonts w:ascii="Times New Roman" w:hAnsi="Times New Roman" w:cs="Times New Roman"/>
        </w:rPr>
      </w:pPr>
      <w:r>
        <w:rPr>
          <w:rFonts w:ascii="Times New Roman" w:hAnsi="Times New Roman" w:cs="Times New Roman"/>
        </w:rPr>
        <mc:AlternateContent>
          <mc:Choice Requires="wpc">
            <w:drawing>
              <wp:anchor distT="0" distB="0" distL="0" distR="0" simplePos="0" relativeHeight="251659264" behindDoc="0" locked="0" layoutInCell="1" allowOverlap="1">
                <wp:simplePos x="0" y="0"/>
                <wp:positionH relativeFrom="column">
                  <wp:posOffset>27305</wp:posOffset>
                </wp:positionH>
                <wp:positionV relativeFrom="paragraph">
                  <wp:posOffset>122555</wp:posOffset>
                </wp:positionV>
                <wp:extent cx="5368925" cy="7350125"/>
                <wp:effectExtent l="0" t="0" r="41275" b="3175"/>
                <wp:wrapTopAndBottom/>
                <wp:docPr id="1" name="画布 1"/>
                <wp:cNvGraphicFramePr/>
                <a:graphic xmlns:a="http://schemas.openxmlformats.org/drawingml/2006/main">
                  <a:graphicData uri="http://schemas.microsoft.com/office/word/2010/wordprocessingCanvas">
                    <wpc:wpc>
                      <wpc:bg>
                        <a:noFill/>
                      </wpc:bg>
                      <wpc:whole>
                        <a:ln>
                          <a:noFill/>
                        </a:ln>
                      </wpc:whole>
                      <wps:wsp>
                        <wps:cNvPr id="61" name="Oval 35"/>
                        <wps:cNvSpPr>
                          <a:spLocks noChangeArrowheads="1"/>
                        </wps:cNvSpPr>
                        <wps:spPr bwMode="auto">
                          <a:xfrm>
                            <a:off x="2146300" y="248920"/>
                            <a:ext cx="1361440" cy="457200"/>
                          </a:xfrm>
                          <a:prstGeom prst="ellipse">
                            <a:avLst/>
                          </a:prstGeom>
                          <a:solidFill>
                            <a:srgbClr val="FFFFFF"/>
                          </a:solidFill>
                          <a:ln w="9525">
                            <a:solidFill>
                              <a:srgbClr val="000000"/>
                            </a:solidFill>
                            <a:round/>
                          </a:ln>
                        </wps:spPr>
                        <wps:txbx>
                          <w:txbxContent>
                            <w:p>
                              <w:pPr>
                                <w:jc w:val="center"/>
                              </w:pPr>
                              <w:r>
                                <w:rPr>
                                  <w:rFonts w:hint="eastAsia"/>
                                </w:rPr>
                                <w:t>医疗器械</w:t>
                              </w:r>
                            </w:p>
                          </w:txbxContent>
                        </wps:txbx>
                        <wps:bodyPr rot="0" vert="horz" wrap="square" lIns="91440" tIns="45720" rIns="91440" bIns="45720" anchor="t" anchorCtr="0" upright="1">
                          <a:noAutofit/>
                        </wps:bodyPr>
                      </wps:wsp>
                      <wps:wsp>
                        <wps:cNvPr id="62" name="AutoShape 36"/>
                        <wps:cNvSpPr>
                          <a:spLocks noChangeArrowheads="1"/>
                        </wps:cNvSpPr>
                        <wps:spPr bwMode="auto">
                          <a:xfrm>
                            <a:off x="1721485" y="1099820"/>
                            <a:ext cx="2144395" cy="1353185"/>
                          </a:xfrm>
                          <a:prstGeom prst="flowChartDecision">
                            <a:avLst/>
                          </a:prstGeom>
                          <a:solidFill>
                            <a:srgbClr val="FFFFFF"/>
                          </a:solidFill>
                          <a:ln w="9525">
                            <a:solidFill>
                              <a:srgbClr val="000000"/>
                            </a:solidFill>
                            <a:miter lim="800000"/>
                          </a:ln>
                        </wps:spPr>
                        <wps:txbx>
                          <w:txbxContent>
                            <w:p>
                              <w:r>
                                <w:rPr>
                                  <w:rFonts w:hint="eastAsia"/>
                                </w:rPr>
                                <w:t>与同品种医疗器械是否存在差异性？</w:t>
                              </w:r>
                            </w:p>
                          </w:txbxContent>
                        </wps:txbx>
                        <wps:bodyPr rot="0" vert="horz" wrap="square" lIns="91440" tIns="45720" rIns="91440" bIns="45720" anchor="t" anchorCtr="0" upright="1">
                          <a:noAutofit/>
                        </wps:bodyPr>
                      </wps:wsp>
                      <wps:wsp>
                        <wps:cNvPr id="64" name="AutoShape 39"/>
                        <wps:cNvSpPr>
                          <a:spLocks noChangeArrowheads="1"/>
                        </wps:cNvSpPr>
                        <wps:spPr bwMode="auto">
                          <a:xfrm>
                            <a:off x="177801" y="3714052"/>
                            <a:ext cx="1305203" cy="1062406"/>
                          </a:xfrm>
                          <a:prstGeom prst="flowChartAlternateProcess">
                            <a:avLst/>
                          </a:prstGeom>
                          <a:solidFill>
                            <a:srgbClr val="FFFFFF"/>
                          </a:solidFill>
                          <a:ln w="9525">
                            <a:solidFill>
                              <a:srgbClr val="000000"/>
                            </a:solidFill>
                            <a:miter lim="800000"/>
                          </a:ln>
                        </wps:spPr>
                        <wps:txbx>
                          <w:txbxContent>
                            <w:p>
                              <w:r>
                                <w:rPr>
                                  <w:rFonts w:hint="eastAsia"/>
                                </w:rPr>
                                <w:t>对同品种医疗器械临床文献和</w:t>
                              </w:r>
                              <w:r>
                                <w:t>/</w:t>
                              </w:r>
                              <w:r>
                                <w:rPr>
                                  <w:rFonts w:hint="eastAsia"/>
                                </w:rPr>
                                <w:t>或临床经验数据进行收集、分析</w:t>
                              </w:r>
                            </w:p>
                          </w:txbxContent>
                        </wps:txbx>
                        <wps:bodyPr rot="0" vert="horz" wrap="square" lIns="91440" tIns="45720" rIns="91440" bIns="45720" anchor="t" anchorCtr="0" upright="1">
                          <a:noAutofit/>
                        </wps:bodyPr>
                      </wps:wsp>
                      <wps:wsp>
                        <wps:cNvPr id="65" name="AutoShape 40"/>
                        <wps:cNvCnPr>
                          <a:cxnSpLocks noChangeShapeType="1"/>
                        </wps:cNvCnPr>
                        <wps:spPr bwMode="auto">
                          <a:xfrm>
                            <a:off x="2792730" y="748665"/>
                            <a:ext cx="1270" cy="334645"/>
                          </a:xfrm>
                          <a:prstGeom prst="straightConnector1">
                            <a:avLst/>
                          </a:prstGeom>
                          <a:noFill/>
                          <a:ln w="9525">
                            <a:solidFill>
                              <a:srgbClr val="000000"/>
                            </a:solidFill>
                            <a:round/>
                            <a:tailEnd type="triangle" w="med" len="med"/>
                          </a:ln>
                        </wps:spPr>
                        <wps:bodyPr/>
                      </wps:wsp>
                      <wps:wsp>
                        <wps:cNvPr id="66" name="AutoShape 44"/>
                        <wps:cNvSpPr>
                          <a:spLocks noChangeArrowheads="1"/>
                        </wps:cNvSpPr>
                        <wps:spPr bwMode="auto">
                          <a:xfrm>
                            <a:off x="2842895" y="6312535"/>
                            <a:ext cx="2379345" cy="977900"/>
                          </a:xfrm>
                          <a:prstGeom prst="flowChartAlternateProcess">
                            <a:avLst/>
                          </a:prstGeom>
                          <a:solidFill>
                            <a:srgbClr val="FFFFFF"/>
                          </a:solidFill>
                          <a:ln w="9525">
                            <a:solidFill>
                              <a:srgbClr val="000000"/>
                            </a:solidFill>
                            <a:miter lim="800000"/>
                          </a:ln>
                        </wps:spPr>
                        <wps:txbx>
                          <w:txbxContent>
                            <w:p>
                              <w:r>
                                <w:rPr>
                                  <w:rFonts w:hint="eastAsia"/>
                                </w:rPr>
                                <w:t>不能通过同品种医疗器械临床试验或临床使用获得的数据进行分析评价。注册申请人需按照规定提交相应临床试验资料。</w:t>
                              </w:r>
                            </w:p>
                          </w:txbxContent>
                        </wps:txbx>
                        <wps:bodyPr rot="0" vert="horz" wrap="square" lIns="91440" tIns="45720" rIns="91440" bIns="45720" anchor="t" anchorCtr="0" upright="1">
                          <a:noAutofit/>
                        </wps:bodyPr>
                      </wps:wsp>
                      <wps:wsp>
                        <wps:cNvPr id="67" name="Text Box 46"/>
                        <wps:cNvSpPr txBox="1">
                          <a:spLocks noChangeArrowheads="1"/>
                        </wps:cNvSpPr>
                        <wps:spPr bwMode="auto">
                          <a:xfrm>
                            <a:off x="3862705" y="1978025"/>
                            <a:ext cx="442595" cy="404495"/>
                          </a:xfrm>
                          <a:prstGeom prst="rect">
                            <a:avLst/>
                          </a:prstGeom>
                          <a:noFill/>
                          <a:ln>
                            <a:noFill/>
                          </a:ln>
                        </wps:spPr>
                        <wps:txbx>
                          <w:txbxContent>
                            <w:p>
                              <w:r>
                                <w:rPr>
                                  <w:rFonts w:hint="eastAsia"/>
                                </w:rPr>
                                <w:t>是</w:t>
                              </w:r>
                            </w:p>
                          </w:txbxContent>
                        </wps:txbx>
                        <wps:bodyPr rot="0" vert="horz" wrap="square" lIns="91440" tIns="45720" rIns="91440" bIns="45720" anchor="t" anchorCtr="0" upright="1">
                          <a:noAutofit/>
                        </wps:bodyPr>
                      </wps:wsp>
                      <wps:wsp>
                        <wps:cNvPr id="68" name="Text Box 47"/>
                        <wps:cNvSpPr txBox="1">
                          <a:spLocks noChangeArrowheads="1"/>
                        </wps:cNvSpPr>
                        <wps:spPr bwMode="auto">
                          <a:xfrm>
                            <a:off x="1108710" y="1480195"/>
                            <a:ext cx="442595" cy="404495"/>
                          </a:xfrm>
                          <a:prstGeom prst="rect">
                            <a:avLst/>
                          </a:prstGeom>
                          <a:noFill/>
                          <a:ln>
                            <a:noFill/>
                          </a:ln>
                        </wps:spPr>
                        <wps:txbx>
                          <w:txbxContent>
                            <w:p>
                              <w:r>
                                <w:rPr>
                                  <w:rFonts w:hint="eastAsia"/>
                                </w:rPr>
                                <w:t>否</w:t>
                              </w:r>
                            </w:p>
                          </w:txbxContent>
                        </wps:txbx>
                        <wps:bodyPr rot="0" vert="horz" wrap="square" lIns="91440" tIns="45720" rIns="91440" bIns="45720" anchor="t" anchorCtr="0" upright="1">
                          <a:noAutofit/>
                        </wps:bodyPr>
                      </wps:wsp>
                      <wps:wsp>
                        <wps:cNvPr id="69" name="Text Box 48"/>
                        <wps:cNvSpPr txBox="1">
                          <a:spLocks noChangeArrowheads="1"/>
                        </wps:cNvSpPr>
                        <wps:spPr bwMode="auto">
                          <a:xfrm>
                            <a:off x="3921120" y="5915114"/>
                            <a:ext cx="442601" cy="404502"/>
                          </a:xfrm>
                          <a:prstGeom prst="rect">
                            <a:avLst/>
                          </a:prstGeom>
                          <a:noFill/>
                          <a:ln>
                            <a:noFill/>
                          </a:ln>
                        </wps:spPr>
                        <wps:txbx>
                          <w:txbxContent>
                            <w:p>
                              <w:r>
                                <w:rPr>
                                  <w:rFonts w:hint="eastAsia"/>
                                </w:rPr>
                                <w:t>否</w:t>
                              </w:r>
                            </w:p>
                            <w:p/>
                          </w:txbxContent>
                        </wps:txbx>
                        <wps:bodyPr rot="0" vert="horz" wrap="square" lIns="91440" tIns="45720" rIns="91440" bIns="45720" anchor="t" anchorCtr="0" upright="1">
                          <a:noAutofit/>
                        </wps:bodyPr>
                      </wps:wsp>
                      <wps:wsp>
                        <wps:cNvPr id="70" name="Text Box 49"/>
                        <wps:cNvSpPr txBox="1">
                          <a:spLocks noChangeArrowheads="1"/>
                        </wps:cNvSpPr>
                        <wps:spPr bwMode="auto">
                          <a:xfrm>
                            <a:off x="1770931" y="4229104"/>
                            <a:ext cx="442601" cy="290202"/>
                          </a:xfrm>
                          <a:prstGeom prst="rect">
                            <a:avLst/>
                          </a:prstGeom>
                          <a:noFill/>
                          <a:ln>
                            <a:noFill/>
                          </a:ln>
                        </wps:spPr>
                        <wps:txbx>
                          <w:txbxContent>
                            <w:p>
                              <w:r>
                                <w:rPr>
                                  <w:rFonts w:hint="eastAsia"/>
                                </w:rPr>
                                <w:t>是</w:t>
                              </w:r>
                            </w:p>
                          </w:txbxContent>
                        </wps:txbx>
                        <wps:bodyPr rot="0" vert="horz" wrap="square" lIns="91440" tIns="45720" rIns="91440" bIns="45720" anchor="t" anchorCtr="0" upright="1">
                          <a:noAutofit/>
                        </wps:bodyPr>
                      </wps:wsp>
                      <wps:wsp>
                        <wps:cNvPr id="71" name="圆角矩形 48"/>
                        <wps:cNvSpPr>
                          <a:spLocks noChangeArrowheads="1"/>
                        </wps:cNvSpPr>
                        <wps:spPr bwMode="auto">
                          <a:xfrm>
                            <a:off x="225425" y="6581775"/>
                            <a:ext cx="1210310" cy="754380"/>
                          </a:xfrm>
                          <a:prstGeom prst="roundRect">
                            <a:avLst>
                              <a:gd name="adj" fmla="val 16667"/>
                            </a:avLst>
                          </a:prstGeom>
                          <a:noFill/>
                          <a:ln w="0">
                            <a:solidFill>
                              <a:srgbClr val="000000"/>
                            </a:solidFill>
                            <a:round/>
                          </a:ln>
                        </wps:spPr>
                        <wps:txbx>
                          <w:txbxContent>
                            <w:p>
                              <w:pPr>
                                <w:jc w:val="center"/>
                              </w:pPr>
                              <w:r>
                                <w:rPr>
                                  <w:rFonts w:hint="eastAsia"/>
                                </w:rPr>
                                <w:t>形成临床评价报告，完成临床评价</w:t>
                              </w:r>
                            </w:p>
                          </w:txbxContent>
                        </wps:txbx>
                        <wps:bodyPr rot="0" vert="horz" wrap="square" lIns="91440" tIns="45720" rIns="91440" bIns="45720" anchor="ctr" anchorCtr="0" upright="1">
                          <a:noAutofit/>
                        </wps:bodyPr>
                      </wps:wsp>
                      <wps:wsp>
                        <wps:cNvPr id="72" name="肘形连接符 7"/>
                        <wps:cNvCnPr>
                          <a:cxnSpLocks noChangeShapeType="1"/>
                        </wps:cNvCnPr>
                        <wps:spPr bwMode="auto">
                          <a:xfrm rot="5400000" flipV="1">
                            <a:off x="3382645" y="2256790"/>
                            <a:ext cx="930275" cy="3810"/>
                          </a:xfrm>
                          <a:prstGeom prst="bentConnector3">
                            <a:avLst>
                              <a:gd name="adj1" fmla="val 50000"/>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3" name="肘形连接符 8"/>
                        <wps:cNvCnPr>
                          <a:cxnSpLocks noChangeShapeType="1"/>
                          <a:stCxn id="62" idx="1"/>
                        </wps:cNvCnPr>
                        <wps:spPr bwMode="auto">
                          <a:xfrm rot="10800000" flipV="1">
                            <a:off x="813435" y="1776095"/>
                            <a:ext cx="908050" cy="1980565"/>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4" name="肘形连接符 9"/>
                        <wps:cNvCnPr>
                          <a:cxnSpLocks noChangeShapeType="1"/>
                        </wps:cNvCnPr>
                        <wps:spPr bwMode="auto">
                          <a:xfrm rot="10800000" flipV="1">
                            <a:off x="1482725" y="4243705"/>
                            <a:ext cx="850265" cy="1905"/>
                          </a:xfrm>
                          <a:prstGeom prst="bentConnector3">
                            <a:avLst>
                              <a:gd name="adj1" fmla="val 50037"/>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5" name="肘形连接符 11"/>
                        <wps:cNvCnPr>
                          <a:cxnSpLocks noChangeShapeType="1"/>
                        </wps:cNvCnPr>
                        <wps:spPr bwMode="auto">
                          <a:xfrm rot="5400000">
                            <a:off x="-72256" y="5679079"/>
                            <a:ext cx="1805280" cy="3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6" name="肘形连接符 12"/>
                        <wps:cNvCnPr>
                          <a:cxnSpLocks noChangeShapeType="1"/>
                        </wps:cNvCnPr>
                        <wps:spPr bwMode="auto">
                          <a:xfrm rot="5400000" flipV="1">
                            <a:off x="3585845" y="6025515"/>
                            <a:ext cx="539750" cy="13970"/>
                          </a:xfrm>
                          <a:prstGeom prst="bentConnector3">
                            <a:avLst>
                              <a:gd name="adj1" fmla="val -22769"/>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3" name="AutoShape 38"/>
                        <wps:cNvSpPr>
                          <a:spLocks noChangeArrowheads="1"/>
                        </wps:cNvSpPr>
                        <wps:spPr bwMode="auto">
                          <a:xfrm>
                            <a:off x="2332990" y="2724150"/>
                            <a:ext cx="3031490" cy="3038475"/>
                          </a:xfrm>
                          <a:prstGeom prst="flowChartDecision">
                            <a:avLst/>
                          </a:prstGeom>
                          <a:solidFill>
                            <a:srgbClr val="FFFFFF"/>
                          </a:solidFill>
                          <a:ln w="9525">
                            <a:solidFill>
                              <a:srgbClr val="000000"/>
                            </a:solidFill>
                            <a:miter lim="800000"/>
                          </a:ln>
                        </wps:spPr>
                        <wps:txbx>
                          <w:txbxContent>
                            <w:p>
                              <w:r>
                                <w:rPr>
                                  <w:rFonts w:hint="eastAsia"/>
                                </w:rPr>
                                <w:t>是否可通过申报产品的非临床研究资料、和／或临床文献数据、和／或临床经验数据、和／或针对差异性在中国境内开展的临床试验资料证明差异性对产品的安全有效性未产生不利影响</w:t>
                              </w:r>
                            </w:p>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2.15pt;margin-top:9.65pt;height:578.75pt;width:422.75pt;mso-wrap-distance-bottom:0pt;mso-wrap-distance-top:0pt;z-index:251659264;mso-width-relative:page;mso-height-relative:page;" coordsize="5368925,7350125" editas="canvas" o:gfxdata="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">
                <o:lock v:ext="edit" aspectratio="f"/>
                <v:shape id="_x0000_s1026" o:spid="_x0000_s1026" style="position:absolute;left:0;top:0;height:7350125;width:5368925;" filled="f" stroked="f" coordsize="21600,21600" o:gfxdata="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fRjlttgAAAAJAQAADwAAAAAAAAABACAAAAAiAAAAZHJzL2Rvd25yZXYueG1s&#10;UEsBAhQAFAAAAAgAh07iQCPLuWneBgAAtSoAAA4AAAAAAAAAAQAgAAAAJwEAAGRycy9lMm9Eb2Mu&#10;eG1sUEsFBgAAAAAGAAYAWQEAAHcKAAAAAA==&#10;">
                  <v:fill on="f" focussize="0,0"/>
                  <v:stroke on="f"/>
                  <v:imagedata o:title=""/>
                  <o:lock v:ext="edit" aspectratio="f"/>
                </v:shape>
                <v:shape id="Oval 35" o:spid="_x0000_s1026" o:spt="3" type="#_x0000_t3" style="position:absolute;left:2146300;top:248920;height:457200;width:1361440;" fillcolor="#FFFFFF" filled="t" stroked="t" coordsize="21600,21600" o:gfxdata="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sxVP1wAAAAkBAAAPAAAAAAAAAAEAIAAAACIAAABkcnMvZG93bnJldi54bWxQ&#10;SwECFAAUAAAACACHTuJA9HpEBTECAAB7BAAADgAAAAAAAAABACAAAAAmAQAAZHJzL2Uyb0RvYy54&#10;bWxQSwUGAAAAAAYABgBZAQAAyQUAAAAA&#10;">
                  <v:fill on="t" focussize="0,0"/>
                  <v:stroke color="#000000" joinstyle="round"/>
                  <v:imagedata o:title=""/>
                  <o:lock v:ext="edit" aspectratio="f"/>
                  <v:textbox>
                    <w:txbxContent>
                      <w:p>
                        <w:pPr>
                          <w:jc w:val="center"/>
                        </w:pPr>
                        <w:r>
                          <w:rPr>
                            <w:rFonts w:hint="eastAsia"/>
                          </w:rPr>
                          <w:t>医疗器械</w:t>
                        </w:r>
                      </w:p>
                    </w:txbxContent>
                  </v:textbox>
                </v:shape>
                <v:shape id="AutoShape 36" o:spid="_x0000_s1026" o:spt="110" type="#_x0000_t110" style="position:absolute;left:1721485;top:1099820;height:1353185;width:2144395;" fillcolor="#FFFFFF" filled="t" stroked="t" coordsize="21600,21600" o:gfxdata="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yxJS9cAAAAJAQAADwAAAAAAAAABACAAAAAiAAAAZHJz&#10;L2Rvd25yZXYueG1sUEsBAhQAFAAAAAgAh07iQCV6KGA+AgAAmQQAAA4AAAAAAAAAAQAgAAAAJgEA&#10;AGRycy9lMm9Eb2MueG1sUEsFBgAAAAAGAAYAWQEAANYFAAAAAA==&#10;">
                  <v:fill on="t" focussize="0,0"/>
                  <v:stroke color="#000000" miterlimit="8" joinstyle="miter"/>
                  <v:imagedata o:title=""/>
                  <o:lock v:ext="edit" aspectratio="f"/>
                  <v:textbox>
                    <w:txbxContent>
                      <w:p>
                        <w:r>
                          <w:rPr>
                            <w:rFonts w:hint="eastAsia"/>
                          </w:rPr>
                          <w:t>与同品种医疗器械是否存在差异性？</w:t>
                        </w:r>
                      </w:p>
                    </w:txbxContent>
                  </v:textbox>
                </v:shape>
                <v:shape id="AutoShape 39" o:spid="_x0000_s1026" o:spt="176" type="#_x0000_t176" style="position:absolute;left:177801;top:3714052;height:1062406;width:1305203;" fillcolor="#FFFFFF" filled="t" stroked="t" coordsize="21600,21600" o:gfxdata="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VYfpu1QAAAAkBAAAPAAAAAAAAAAEAIAAAACIA&#10;AABkcnMvZG93bnJldi54bWxQSwECFAAUAAAACACHTuJAijMupEUCAACgBAAADgAAAAAAAAABACAA&#10;AAAkAQAAZHJzL2Uyb0RvYy54bWxQSwUGAAAAAAYABgBZAQAA2wUAAAAA&#10;">
                  <v:fill on="t" focussize="0,0"/>
                  <v:stroke color="#000000" miterlimit="8" joinstyle="miter"/>
                  <v:imagedata o:title=""/>
                  <o:lock v:ext="edit" aspectratio="f"/>
                  <v:textbox>
                    <w:txbxContent>
                      <w:p>
                        <w:r>
                          <w:rPr>
                            <w:rFonts w:hint="eastAsia"/>
                          </w:rPr>
                          <w:t>对同品种医疗器械临床文献和</w:t>
                        </w:r>
                        <w:r>
                          <w:t>/</w:t>
                        </w:r>
                        <w:r>
                          <w:rPr>
                            <w:rFonts w:hint="eastAsia"/>
                          </w:rPr>
                          <w:t>或临床经验数据进行收集、分析</w:t>
                        </w:r>
                      </w:p>
                    </w:txbxContent>
                  </v:textbox>
                </v:shape>
                <v:shape id="AutoShape 40" o:spid="_x0000_s1026" o:spt="32" type="#_x0000_t32" style="position:absolute;left:2792730;top:748665;height:334645;width:1270;" filled="f" stroked="t" coordsize="21600,21600" o:gfxdata="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Aq1nnYAAAACQEAAA8AAAAAAAAAAQAgAAAAIgAAAGRycy9k&#10;b3ducmV2LnhtbFBLAQIUABQAAAAIAIdO4kDyJTi0AgIAAO8DAAAOAAAAAAAAAAEAIAAAACcBAABk&#10;cnMvZTJvRG9jLnhtbFBLBQYAAAAABgAGAFkBAACbBQAAAAA=&#10;">
                  <v:fill on="f" focussize="0,0"/>
                  <v:stroke color="#000000" joinstyle="round" endarrow="block"/>
                  <v:imagedata o:title=""/>
                  <o:lock v:ext="edit" aspectratio="f"/>
                </v:shape>
                <v:shape id="AutoShape 44" o:spid="_x0000_s1026" o:spt="176" type="#_x0000_t176" style="position:absolute;left:2842895;top:6312535;height:977900;width:2379345;" fillcolor="#FFFFFF" filled="t" stroked="t" coordsize="21600,21600" o:gfxdata="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Vh+m7VAAAACQEAAA8AAAAAAAAAAQAgAAAA&#10;IgAAAGRycy9kb3ducmV2LnhtbFBLAQIUABQAAAAIAIdO4kBy3URnRwIAAKAEAAAOAAAAAAAAAAEA&#10;IAAAACQBAABkcnMvZTJvRG9jLnhtbFBLBQYAAAAABgAGAFkBAADdBQAAAAA=&#10;">
                  <v:fill on="t" focussize="0,0"/>
                  <v:stroke color="#000000" miterlimit="8" joinstyle="miter"/>
                  <v:imagedata o:title=""/>
                  <o:lock v:ext="edit" aspectratio="f"/>
                  <v:textbox>
                    <w:txbxContent>
                      <w:p>
                        <w:r>
                          <w:rPr>
                            <w:rFonts w:hint="eastAsia"/>
                          </w:rPr>
                          <w:t>不能通过同品种医疗器械临床试验或临床使用获得的数据进行分析评价。注册申请人需按照规定提交相应临床试验资料。</w:t>
                        </w:r>
                      </w:p>
                    </w:txbxContent>
                  </v:textbox>
                </v:shape>
                <v:shape id="Text Box 46" o:spid="_x0000_s1026" o:spt="202" type="#_x0000_t202" style="position:absolute;left:3862705;top:1978025;height:404495;width:442595;" filled="f" stroked="f" coordsize="21600,21600" o:gfxdata="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9Q4n1QAAAAkBAAAPAAAAAAAAAAEA&#10;IAAAACIAAABkcnMvZG93bnJldi54bWxQSwECFAAUAAAACACHTuJAHn6qAhICAAAhBAAADgAAAAAA&#10;AAABACAAAAAkAQAAZHJzL2Uyb0RvYy54bWxQSwUGAAAAAAYABgBZAQAAqAUAAAAA&#10;">
                  <v:fill on="f" focussize="0,0"/>
                  <v:stroke on="f"/>
                  <v:imagedata o:title=""/>
                  <o:lock v:ext="edit" aspectratio="f"/>
                  <v:textbox>
                    <w:txbxContent>
                      <w:p>
                        <w:r>
                          <w:rPr>
                            <w:rFonts w:hint="eastAsia"/>
                          </w:rPr>
                          <w:t>是</w:t>
                        </w:r>
                      </w:p>
                    </w:txbxContent>
                  </v:textbox>
                </v:shape>
                <v:shape id="Text Box 47" o:spid="_x0000_s1026" o:spt="202" type="#_x0000_t202" style="position:absolute;left:1108710;top:1480195;height:404495;width:442595;" filled="f" stroked="f" coordsize="21600,21600" o:gfxdata="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UOJ9UAAAAJAQAADwAAAAAAAAABACAA&#10;AAAiAAAAZHJzL2Rvd25yZXYueG1sUEsBAhQAFAAAAAgAh07iQNl7hAcQAgAAIQQAAA4AAAAAAAAA&#10;AQAgAAAAJAEAAGRycy9lMm9Eb2MueG1sUEsFBgAAAAAGAAYAWQEAAKYFAAAAAA==&#10;">
                  <v:fill on="f" focussize="0,0"/>
                  <v:stroke on="f"/>
                  <v:imagedata o:title=""/>
                  <o:lock v:ext="edit" aspectratio="f"/>
                  <v:textbox>
                    <w:txbxContent>
                      <w:p>
                        <w:r>
                          <w:rPr>
                            <w:rFonts w:hint="eastAsia"/>
                          </w:rPr>
                          <w:t>否</w:t>
                        </w:r>
                      </w:p>
                    </w:txbxContent>
                  </v:textbox>
                </v:shape>
                <v:shape id="Text Box 48" o:spid="_x0000_s1026" o:spt="202" type="#_x0000_t202" style="position:absolute;left:3921120;top:5915114;height:404502;width:442601;" filled="f" stroked="f" coordsize="21600,21600" o:gfxdata="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P1DifVAAAACQEAAA8AAAAAAAAA&#10;AQAgAAAAIgAAAGRycy9kb3ducmV2LnhtbFBLAQIUABQAAAAIAIdO4kB6aUgGFAIAACEEAAAOAAAA&#10;AAAAAAEAIAAAACQBAABkcnMvZTJvRG9jLnhtbFBLBQYAAAAABgAGAFkBAACqBQAAAAA=&#10;">
                  <v:fill on="f" focussize="0,0"/>
                  <v:stroke on="f"/>
                  <v:imagedata o:title=""/>
                  <o:lock v:ext="edit" aspectratio="f"/>
                  <v:textbox>
                    <w:txbxContent>
                      <w:p>
                        <w:r>
                          <w:rPr>
                            <w:rFonts w:hint="eastAsia"/>
                          </w:rPr>
                          <w:t>否</w:t>
                        </w:r>
                      </w:p>
                      <w:p/>
                    </w:txbxContent>
                  </v:textbox>
                </v:shape>
                <v:shape id="Text Box 49" o:spid="_x0000_s1026" o:spt="202" type="#_x0000_t202" style="position:absolute;left:1770931;top:4229104;height:290202;width:442601;" filled="f" stroked="f" coordsize="21600,21600" o:gfxdata="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9Q4n1QAAAAkBAAAPAAAAAAAAAAEA&#10;IAAAACIAAABkcnMvZG93bnJldi54bWxQSwECFAAUAAAACACHTuJAszUjyBICAAAhBAAADgAAAAAA&#10;AAABACAAAAAkAQAAZHJzL2Uyb0RvYy54bWxQSwUGAAAAAAYABgBZAQAAqAUAAAAA&#10;">
                  <v:fill on="f" focussize="0,0"/>
                  <v:stroke on="f"/>
                  <v:imagedata o:title=""/>
                  <o:lock v:ext="edit" aspectratio="f"/>
                  <v:textbox>
                    <w:txbxContent>
                      <w:p>
                        <w:r>
                          <w:rPr>
                            <w:rFonts w:hint="eastAsia"/>
                          </w:rPr>
                          <w:t>是</w:t>
                        </w:r>
                      </w:p>
                    </w:txbxContent>
                  </v:textbox>
                </v:shape>
                <v:roundrect id="圆角矩形 48" o:spid="_x0000_s1026" o:spt="2" style="position:absolute;left:225425;top:6581775;height:754380;width:1210310;v-text-anchor:middle;" filled="f" stroked="t" coordsize="21600,21600" arcsize="0.166666666666667" o:gfxdata="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EXB&#10;hdMAAAAJAQAADwAAAAAAAAABACAAAAAiAAAAZHJzL2Rvd25yZXYueG1sUEsBAhQAFAAAAAgAh07i&#10;QJFF1JZgAgAAhwQAAA4AAAAAAAAAAQAgAAAAIgEAAGRycy9lMm9Eb2MueG1sUEsFBgAAAAAGAAYA&#10;WQEAAPQFAAAAAA==&#10;">
                  <v:fill on="f" focussize="0,0"/>
                  <v:stroke weight="0pt" color="#000000" joinstyle="round"/>
                  <v:imagedata o:title=""/>
                  <o:lock v:ext="edit" aspectratio="f"/>
                  <v:textbox>
                    <w:txbxContent>
                      <w:p>
                        <w:pPr>
                          <w:jc w:val="center"/>
                        </w:pPr>
                        <w:r>
                          <w:rPr>
                            <w:rFonts w:hint="eastAsia"/>
                          </w:rPr>
                          <w:t>形成临床评价报告，完成临床评价</w:t>
                        </w:r>
                      </w:p>
                    </w:txbxContent>
                  </v:textbox>
                </v:roundrect>
                <v:shape id="肘形连接符 7" o:spid="_x0000_s1026" o:spt="34" type="#_x0000_t34" style="position:absolute;left:3382645;top:2256790;flip:y;height:3810;width:930275;rotation:-5898240f;" filled="f" stroked="t" coordsize="21600,21600" o:gfxdata="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Plm3vTAAAACQEAAA8AAAAAAAAAAQAgAAAAIgAAAGRycy9kb3ducmV2LnhtbFBLAQIUABQAAAAI&#10;AIdO4kDtKaDdZAIAAHoEAAAOAAAAAAAAAAEAIAAAACIBAABkcnMvZTJvRG9jLnhtbFBLBQYAAAAA&#10;BgAGAFkBAAD4BQAAAAA=&#10;" adj="10800">
                  <v:fill on="f" focussize="0,0"/>
                  <v:stroke weight="0.5pt" color="#000000 [3200]" miterlimit="8" joinstyle="miter" endarrow="open"/>
                  <v:imagedata o:title=""/>
                  <o:lock v:ext="edit" aspectratio="f"/>
                </v:shape>
                <v:shape id="肘形连接符 8" o:spid="_x0000_s1026" o:spt="33" type="#_x0000_t33" style="position:absolute;left:813435;top:1776095;flip:y;height:1980565;width:908050;rotation:11796480f;" filled="f" stroked="t" coordsize="21600,21600" o:gfxdata="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ZMhP9UAAAAJ&#10;AQAADwAAAAAAAAABACAAAAAiAAAAZHJzL2Rvd25yZXYueG1sUEsBAhQAFAAAAAgAh07iQNDl7iRY&#10;AgAAagQAAA4AAAAAAAAAAQAgAAAAJAEAAGRycy9lMm9Eb2MueG1sUEsFBgAAAAAGAAYAWQEAAO4F&#10;AAAAAA==&#10;">
                  <v:fill on="f" focussize="0,0"/>
                  <v:stroke weight="0.5pt" color="#000000 [3200]" miterlimit="8" joinstyle="miter" endarrow="open"/>
                  <v:imagedata o:title=""/>
                  <o:lock v:ext="edit" aspectratio="f"/>
                </v:shape>
                <v:shape id="肘形连接符 9" o:spid="_x0000_s1026" o:spt="34" type="#_x0000_t34" style="position:absolute;left:1482725;top:4243705;flip:y;height:1905;width:850265;rotation:11796480f;" filled="f" stroked="t" coordsize="21600,21600" o:gfxdata="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SbgfrXAAAACQEAAA8AAAAAAAAAAQAgAAAAIgAAAGRycy9kb3ducmV2LnhtbFBLAQIU&#10;ABQAAAAIAIdO4kCtj/UhZgIAAHsEAAAOAAAAAAAAAAEAIAAAACYBAABkcnMvZTJvRG9jLnhtbFBL&#10;BQYAAAAABgAGAFkBAAD+BQAAAAA=&#10;" adj="10808">
                  <v:fill on="f" focussize="0,0"/>
                  <v:stroke weight="0.5pt" color="#000000 [3200]" miterlimit="8" joinstyle="miter" endarrow="open"/>
                  <v:imagedata o:title=""/>
                  <o:lock v:ext="edit" aspectratio="f"/>
                </v:shape>
                <v:shape id="肘形连接符 11" o:spid="_x0000_s1026" o:spt="32" type="#_x0000_t32" style="position:absolute;left:-72256;top:5679079;height:38;width:1805280;rotation:5898240f;" filled="f" stroked="t" coordsize="21600,21600" o:gfxdata="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yyUMNcAAAAJAQAADwAAAAAAAAABACAA&#10;AAAiAAAAZHJzL2Rvd25yZXYueG1sUEsBAhQAFAAAAAgAh07iQBLYfMRHAgAARgQAAA4AAAAAAAAA&#10;AQAgAAAAJgEAAGRycy9lMm9Eb2MueG1sUEsFBgAAAAAGAAYAWQEAAN8FAAAAAA==&#10;">
                  <v:fill on="f" focussize="0,0"/>
                  <v:stroke weight="0.5pt" color="#000000 [3200]" miterlimit="8" joinstyle="miter" endarrow="open"/>
                  <v:imagedata o:title=""/>
                  <o:lock v:ext="edit" aspectratio="f"/>
                </v:shape>
                <v:shape id="肘形连接符 12" o:spid="_x0000_s1026" o:spt="34" type="#_x0000_t34" style="position:absolute;left:3585845;top:6025515;flip:y;height:13970;width:539750;rotation:-5898240f;" filled="f" stroked="t" coordsize="21600,21600" o:gfxdata="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KMTjNcAAAAJAQAADwAAAAAAAAABACAAAAAiAAAAZHJzL2Rvd25yZXYueG1sUEsB&#10;AhQAFAAAAAgAh07iQN21M8BoAgAAfQQAAA4AAAAAAAAAAQAgAAAAJgEAAGRycy9lMm9Eb2MueG1s&#10;UEsFBgAAAAAGAAYAWQEAAAAGAAAAAA==&#10;" adj="-4918">
                  <v:fill on="f" focussize="0,0"/>
                  <v:stroke weight="0.5pt" color="#000000 [3200]" miterlimit="8" joinstyle="miter" endarrow="open"/>
                  <v:imagedata o:title=""/>
                  <o:lock v:ext="edit" aspectratio="f"/>
                </v:shape>
                <v:shape id="AutoShape 38" o:spid="_x0000_s1026" o:spt="110" type="#_x0000_t110" style="position:absolute;left:2332990;top:2724150;height:3038475;width:3031490;" fillcolor="#FFFFFF" filled="t" stroked="t" coordsize="21600,21600" o:gfxdata="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yxJS9cAAAAJAQAADwAAAAAAAAABACAAAAAiAAAA&#10;ZHJzL2Rvd25yZXYueG1sUEsBAhQAFAAAAAgAh07iQI9uBmdBAgAAmQQAAA4AAAAAAAAAAQAgAAAA&#10;JgEAAGRycy9lMm9Eb2MueG1sUEsFBgAAAAAGAAYAWQEAANkFAAAAAA==&#10;">
                  <v:fill on="t" focussize="0,0"/>
                  <v:stroke color="#000000" miterlimit="8" joinstyle="miter"/>
                  <v:imagedata o:title=""/>
                  <o:lock v:ext="edit" aspectratio="f"/>
                  <v:textbox>
                    <w:txbxContent>
                      <w:p>
                        <w:r>
                          <w:rPr>
                            <w:rFonts w:hint="eastAsia"/>
                          </w:rPr>
                          <w:t>是否可通过申报产品的非临床研究资料、和／或临床文献数据、和／或临床经验数据、和／或针对差异性在中国境内开展的临床试验资料证明差异性对产品的安全有效性未产生不利影响</w:t>
                        </w:r>
                      </w:p>
                      <w:p/>
                    </w:txbxContent>
                  </v:textbox>
                </v:shape>
                <w10:wrap type="topAndBottom"/>
              </v:group>
            </w:pict>
          </mc:Fallback>
        </mc:AlternateContent>
      </w:r>
    </w:p>
    <w:p>
      <w:pPr>
        <w:overflowPunct w:val="0"/>
        <w:spacing w:line="560" w:lineRule="exac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w:t>附</w:t>
      </w:r>
      <w:r>
        <w:rPr>
          <w:rFonts w:hint="eastAsia" w:ascii="Times New Roman" w:hAnsi="Times New Roman" w:eastAsia="黑体" w:cs="Times New Roman"/>
          <w:bCs/>
          <w:color w:val="000000" w:themeColor="text1"/>
          <w:kern w:val="44"/>
          <w:sz w:val="32"/>
          <w:szCs w:val="32"/>
          <w14:textFill>
            <w14:solidFill>
              <w14:schemeClr w14:val="tx1"/>
            </w14:solidFill>
          </w14:textFill>
        </w:rPr>
        <w:t>件</w:t>
      </w:r>
      <w:r>
        <w:rPr>
          <w:rFonts w:ascii="Times New Roman" w:hAnsi="Times New Roman" w:eastAsia="黑体" w:cs="Times New Roman"/>
          <w:bCs/>
          <w:color w:val="000000" w:themeColor="text1"/>
          <w:kern w:val="44"/>
          <w:sz w:val="32"/>
          <w:szCs w:val="32"/>
          <w14:textFill>
            <w14:solidFill>
              <w14:schemeClr w14:val="tx1"/>
            </w14:solidFill>
          </w14:textFill>
        </w:rPr>
        <w:t>3</w:t>
      </w:r>
    </w:p>
    <w:p>
      <w:pPr>
        <w:overflowPunct w:val="0"/>
        <w:spacing w:line="560" w:lineRule="exact"/>
        <w:jc w:val="center"/>
        <w:outlineLvl w:val="0"/>
        <w:rPr>
          <w:rFonts w:ascii="Times New Roman" w:hAnsi="Times New Roman" w:eastAsia="方正小标宋简体" w:cs="Times New Roman"/>
          <w:bCs/>
          <w:color w:val="000000" w:themeColor="text1"/>
          <w:kern w:val="44"/>
          <w:sz w:val="36"/>
          <w:szCs w:val="36"/>
          <w14:textFill>
            <w14:solidFill>
              <w14:schemeClr w14:val="tx1"/>
            </w14:solidFill>
          </w14:textFill>
        </w:rPr>
      </w:pPr>
      <w:r>
        <w:rPr>
          <w:rFonts w:ascii="Times New Roman" w:hAnsi="Times New Roman" w:eastAsia="方正小标宋简体" w:cs="Times New Roman"/>
          <w:bCs/>
          <w:color w:val="000000" w:themeColor="text1"/>
          <w:kern w:val="44"/>
          <w:sz w:val="36"/>
          <w:szCs w:val="36"/>
          <w14:textFill>
            <w14:solidFill>
              <w14:schemeClr w14:val="tx1"/>
            </w14:solidFill>
          </w14:textFill>
        </w:rPr>
        <w:t>同品种比对差异评价路径</w: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1687195</wp:posOffset>
                </wp:positionH>
                <wp:positionV relativeFrom="paragraph">
                  <wp:posOffset>245745</wp:posOffset>
                </wp:positionV>
                <wp:extent cx="1772285" cy="657860"/>
                <wp:effectExtent l="4445" t="4445" r="13970" b="10795"/>
                <wp:wrapNone/>
                <wp:docPr id="30" name="Oval 2"/>
                <wp:cNvGraphicFramePr/>
                <a:graphic xmlns:a="http://schemas.openxmlformats.org/drawingml/2006/main">
                  <a:graphicData uri="http://schemas.microsoft.com/office/word/2010/wordprocessingShape">
                    <wps:wsp>
                      <wps:cNvSpPr>
                        <a:spLocks noChangeArrowheads="1"/>
                      </wps:cNvSpPr>
                      <wps:spPr bwMode="auto">
                        <a:xfrm>
                          <a:off x="0" y="0"/>
                          <a:ext cx="1772285" cy="657860"/>
                        </a:xfrm>
                        <a:prstGeom prst="ellipse">
                          <a:avLst/>
                        </a:prstGeom>
                        <a:solidFill>
                          <a:srgbClr val="FFFFFF"/>
                        </a:solidFill>
                        <a:ln w="9525">
                          <a:solidFill>
                            <a:srgbClr val="000000"/>
                          </a:solidFill>
                          <a:round/>
                        </a:ln>
                      </wps:spPr>
                      <wps:txbx>
                        <w:txbxContent>
                          <w:p>
                            <w:pPr>
                              <w:jc w:val="center"/>
                            </w:pPr>
                            <w:r>
                              <w:rPr>
                                <w:rFonts w:hint="eastAsia"/>
                              </w:rPr>
                              <w:t>属于同品种，</w:t>
                            </w:r>
                          </w:p>
                          <w:p>
                            <w:pPr>
                              <w:jc w:val="center"/>
                            </w:pPr>
                            <w:r>
                              <w:rPr>
                                <w:rFonts w:hint="eastAsia"/>
                              </w:rPr>
                              <w:t>且存在差异</w:t>
                            </w:r>
                          </w:p>
                        </w:txbxContent>
                      </wps:txbx>
                      <wps:bodyPr rot="0" vert="horz" wrap="square" lIns="91440" tIns="45720" rIns="91440" bIns="45720" anchor="t" anchorCtr="0" upright="1">
                        <a:noAutofit/>
                      </wps:bodyPr>
                    </wps:wsp>
                  </a:graphicData>
                </a:graphic>
              </wp:anchor>
            </w:drawing>
          </mc:Choice>
          <mc:Fallback>
            <w:pict>
              <v:shape id="Oval 2" o:spid="_x0000_s1026" o:spt="3" type="#_x0000_t3" style="position:absolute;left:0pt;margin-left:132.85pt;margin-top:19.35pt;height:51.8pt;width:139.55pt;z-index:251660288;mso-width-relative:page;mso-height-relative:page;" fillcolor="#FFFFFF" filled="t" stroked="t" coordsize="21600,21600" o:gfxdata="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bS9Bc1wAAAAoBAAAPAAAAAAAAAAEAIAAAACIAAABkcnMvZG93bnJldi54bWxQSwECFAAU&#10;AAAACACHTuJAaO35wisCAABvBAAADgAAAAAAAAABACAAAAAmAQAAZHJzL2Uyb0RvYy54bWxQSwUG&#10;AAAAAAYABgBZAQAAwwUAAAAA&#10;">
                <v:fill on="t" focussize="0,0"/>
                <v:stroke color="#000000" joinstyle="round"/>
                <v:imagedata o:title=""/>
                <o:lock v:ext="edit" aspectratio="f"/>
                <v:textbox>
                  <w:txbxContent>
                    <w:p>
                      <w:pPr>
                        <w:jc w:val="center"/>
                      </w:pPr>
                      <w:r>
                        <w:rPr>
                          <w:rFonts w:hint="eastAsia"/>
                        </w:rPr>
                        <w:t>属于同品种，</w:t>
                      </w:r>
                    </w:p>
                    <w:p>
                      <w:pPr>
                        <w:jc w:val="center"/>
                      </w:pPr>
                      <w:r>
                        <w:rPr>
                          <w:rFonts w:hint="eastAsia"/>
                        </w:rPr>
                        <w:t>且存在差异</w:t>
                      </w:r>
                    </w:p>
                  </w:txbxContent>
                </v:textbox>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3665" distR="113665" simplePos="0" relativeHeight="251666432" behindDoc="0" locked="0" layoutInCell="1" allowOverlap="1">
                <wp:simplePos x="0" y="0"/>
                <wp:positionH relativeFrom="column">
                  <wp:posOffset>2569845</wp:posOffset>
                </wp:positionH>
                <wp:positionV relativeFrom="paragraph">
                  <wp:posOffset>206375</wp:posOffset>
                </wp:positionV>
                <wp:extent cx="3810" cy="308610"/>
                <wp:effectExtent l="37465" t="0" r="34925" b="8890"/>
                <wp:wrapNone/>
                <wp:docPr id="23" name="AutoShape 34"/>
                <wp:cNvGraphicFramePr/>
                <a:graphic xmlns:a="http://schemas.openxmlformats.org/drawingml/2006/main">
                  <a:graphicData uri="http://schemas.microsoft.com/office/word/2010/wordprocessingShape">
                    <wps:wsp>
                      <wps:cNvCnPr>
                        <a:cxnSpLocks noChangeShapeType="1"/>
                      </wps:cNvCnPr>
                      <wps:spPr bwMode="auto">
                        <a:xfrm flipH="1">
                          <a:off x="0" y="0"/>
                          <a:ext cx="3810" cy="308610"/>
                        </a:xfrm>
                        <a:prstGeom prst="straightConnector1">
                          <a:avLst/>
                        </a:prstGeom>
                        <a:noFill/>
                        <a:ln w="9525">
                          <a:solidFill>
                            <a:srgbClr val="000000"/>
                          </a:solidFill>
                          <a:round/>
                          <a:tailEnd type="triangle" w="med" len="med"/>
                        </a:ln>
                      </wps:spPr>
                      <wps:bodyPr/>
                    </wps:wsp>
                  </a:graphicData>
                </a:graphic>
              </wp:anchor>
            </w:drawing>
          </mc:Choice>
          <mc:Fallback>
            <w:pict>
              <v:shape id="AutoShape 34" o:spid="_x0000_s1026" o:spt="32" type="#_x0000_t32" style="position:absolute;left:0pt;flip:x;margin-left:202.35pt;margin-top:16.25pt;height:24.3pt;width:0.3pt;z-index:251666432;mso-width-relative:page;mso-height-relative:page;" filled="f" stroked="t" coordsize="21600,21600" o:gfxdata="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57Ys9kAAAAJAQAADwAAAAAAAAABACAAAAAiAAAAZHJzL2Rvd25yZXYu&#10;eG1sUEsBAhQAFAAAAAgAh07iQFeXpSv6AQAA7gMAAA4AAAAAAAAAAQAgAAAAKAEAAGRycy9lMm9E&#10;b2MueG1sUEsFBgAAAAAGAAYAWQEAAJQFAAAAAA==&#10;">
                <v:fill on="f" focussize="0,0"/>
                <v:stroke color="#000000" joinstyle="round" endarrow="block"/>
                <v:imagedata o:title=""/>
                <o:lock v:ext="edit" aspectratio="f"/>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1552575</wp:posOffset>
                </wp:positionH>
                <wp:positionV relativeFrom="paragraph">
                  <wp:posOffset>159385</wp:posOffset>
                </wp:positionV>
                <wp:extent cx="2033905" cy="730250"/>
                <wp:effectExtent l="4445" t="4445" r="6350" b="14605"/>
                <wp:wrapNone/>
                <wp:docPr id="78" name="AutoShape 32"/>
                <wp:cNvGraphicFramePr/>
                <a:graphic xmlns:a="http://schemas.openxmlformats.org/drawingml/2006/main">
                  <a:graphicData uri="http://schemas.microsoft.com/office/word/2010/wordprocessingShape">
                    <wps:wsp>
                      <wps:cNvSpPr>
                        <a:spLocks noChangeArrowheads="1"/>
                      </wps:cNvSpPr>
                      <wps:spPr bwMode="auto">
                        <a:xfrm>
                          <a:off x="0" y="0"/>
                          <a:ext cx="2033905" cy="730250"/>
                        </a:xfrm>
                        <a:prstGeom prst="roundRect">
                          <a:avLst>
                            <a:gd name="adj" fmla="val 50000"/>
                          </a:avLst>
                        </a:prstGeom>
                        <a:solidFill>
                          <a:srgbClr val="FFFFFF"/>
                        </a:solidFill>
                        <a:ln w="9525">
                          <a:solidFill>
                            <a:srgbClr val="000000"/>
                          </a:solidFill>
                          <a:round/>
                        </a:ln>
                      </wps:spPr>
                      <wps:txbx>
                        <w:txbxContent>
                          <w:p>
                            <w:r>
                              <w:rPr>
                                <w:rFonts w:hint="eastAsia"/>
                              </w:rPr>
                              <w:t>差异</w:t>
                            </w:r>
                            <w:r>
                              <w:t>是否</w:t>
                            </w:r>
                            <w:r>
                              <w:rPr>
                                <w:rFonts w:hint="eastAsia"/>
                              </w:rPr>
                              <w:t>可能</w:t>
                            </w:r>
                            <w:r>
                              <w:t>影响</w:t>
                            </w:r>
                            <w:r>
                              <w:rPr>
                                <w:rFonts w:hint="eastAsia"/>
                              </w:rPr>
                              <w:t>性能指标</w:t>
                            </w:r>
                          </w:p>
                          <w:p>
                            <w:r>
                              <w:rPr>
                                <w:rFonts w:hint="eastAsia"/>
                              </w:rPr>
                              <w:t>或数据</w:t>
                            </w:r>
                            <w:r>
                              <w:t>质量</w:t>
                            </w:r>
                            <w:r>
                              <w:rPr>
                                <w:rFonts w:hint="eastAsia"/>
                              </w:rPr>
                              <w:t>及适用范围</w:t>
                            </w:r>
                            <w:r>
                              <w:t>？</w:t>
                            </w:r>
                          </w:p>
                          <w:p/>
                        </w:txbxContent>
                      </wps:txbx>
                      <wps:bodyPr rot="0" vert="horz" wrap="square" lIns="91440" tIns="45720" rIns="91440" bIns="45720" anchor="t" anchorCtr="0" upright="1">
                        <a:noAutofit/>
                      </wps:bodyPr>
                    </wps:wsp>
                  </a:graphicData>
                </a:graphic>
              </wp:anchor>
            </w:drawing>
          </mc:Choice>
          <mc:Fallback>
            <w:pict>
              <v:roundrect id="AutoShape 32" o:spid="_x0000_s1026" o:spt="2" style="position:absolute;left:0pt;margin-left:122.25pt;margin-top:12.55pt;height:57.5pt;width:160.15pt;z-index:251678720;mso-width-relative:page;mso-height-relative:page;" fillcolor="#FFFFFF" filled="t" stroked="t" coordsize="21600,21600" arcsize="0.5" o:gfxdata="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SJ4f2AAAAAoBAAAPAAAAAAAAAAEAIAAAACIA&#10;AABkcnMvZG93bnJldi54bWxQSwECFAAUAAAACACHTuJAAla0ZkICAACjBAAADgAAAAAAAAABACAA&#10;AAAnAQAAZHJzL2Uyb0RvYy54bWxQSwUGAAAAAAYABgBZAQAA2wUAAAAA&#10;">
                <v:fill on="t" focussize="0,0"/>
                <v:stroke color="#000000" joinstyle="round"/>
                <v:imagedata o:title=""/>
                <o:lock v:ext="edit" aspectratio="f"/>
                <v:textbox>
                  <w:txbxContent>
                    <w:p>
                      <w:r>
                        <w:rPr>
                          <w:rFonts w:hint="eastAsia"/>
                        </w:rPr>
                        <w:t>差异</w:t>
                      </w:r>
                      <w:r>
                        <w:t>是否</w:t>
                      </w:r>
                      <w:r>
                        <w:rPr>
                          <w:rFonts w:hint="eastAsia"/>
                        </w:rPr>
                        <w:t>可能</w:t>
                      </w:r>
                      <w:r>
                        <w:t>影响</w:t>
                      </w:r>
                      <w:r>
                        <w:rPr>
                          <w:rFonts w:hint="eastAsia"/>
                        </w:rPr>
                        <w:t>性能指标</w:t>
                      </w:r>
                    </w:p>
                    <w:p>
                      <w:r>
                        <w:rPr>
                          <w:rFonts w:hint="eastAsia"/>
                        </w:rPr>
                        <w:t>或数据</w:t>
                      </w:r>
                      <w:r>
                        <w:t>质量</w:t>
                      </w:r>
                      <w:r>
                        <w:rPr>
                          <w:rFonts w:hint="eastAsia"/>
                        </w:rPr>
                        <w:t>及适用范围</w:t>
                      </w:r>
                      <w:r>
                        <w:t>？</w:t>
                      </w:r>
                    </w:p>
                    <w:p/>
                  </w:txbxContent>
                </v:textbox>
              </v:roundrect>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890905</wp:posOffset>
                </wp:positionH>
                <wp:positionV relativeFrom="paragraph">
                  <wp:posOffset>220980</wp:posOffset>
                </wp:positionV>
                <wp:extent cx="748665" cy="4445"/>
                <wp:effectExtent l="0" t="4445" r="635" b="10160"/>
                <wp:wrapNone/>
                <wp:docPr id="20" name="AutoShape 45"/>
                <wp:cNvGraphicFramePr/>
                <a:graphic xmlns:a="http://schemas.openxmlformats.org/drawingml/2006/main">
                  <a:graphicData uri="http://schemas.microsoft.com/office/word/2010/wordprocessingShape">
                    <wps:wsp>
                      <wps:cNvCnPr>
                        <a:cxnSpLocks noChangeShapeType="1"/>
                      </wps:cNvCnPr>
                      <wps:spPr bwMode="auto">
                        <a:xfrm>
                          <a:off x="0" y="0"/>
                          <a:ext cx="748665" cy="4445"/>
                        </a:xfrm>
                        <a:prstGeom prst="straightConnector1">
                          <a:avLst/>
                        </a:prstGeom>
                        <a:noFill/>
                        <a:ln w="9525">
                          <a:solidFill>
                            <a:srgbClr val="000000"/>
                          </a:solidFill>
                          <a:round/>
                        </a:ln>
                      </wps:spPr>
                      <wps:bodyPr/>
                    </wps:wsp>
                  </a:graphicData>
                </a:graphic>
              </wp:anchor>
            </w:drawing>
          </mc:Choice>
          <mc:Fallback>
            <w:pict>
              <v:shape id="AutoShape 45" o:spid="_x0000_s1026" o:spt="32" type="#_x0000_t32" style="position:absolute;left:0pt;margin-left:70.15pt;margin-top:17.4pt;height:0.35pt;width:58.95pt;z-index:251671552;mso-width-relative:page;mso-height-relative:page;" filled="f" stroked="t" coordsize="21600,21600" o:gfxdata="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ZgrPXAAAACQEAAA8AAAAAAAAA&#10;AQAgAAAAIgAAAGRycy9kb3ducmV2LnhtbFBLAQIUABQAAAAIAIdO4kAxAg392QEAALYDAAAOAAAA&#10;AAAAAAEAIAAAACYBAABkcnMvZTJvRG9jLnhtbFBLBQYAAAAABgAGAFkBAABxBQAAAAA=&#10;">
                <v:fill on="f" focussize="0,0"/>
                <v:stroke color="#000000" joinstyle="round"/>
                <v:imagedata o:title=""/>
                <o:lock v:ext="edit" aspectratio="f"/>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-1066800</wp:posOffset>
                </wp:positionH>
                <wp:positionV relativeFrom="paragraph">
                  <wp:posOffset>2163445</wp:posOffset>
                </wp:positionV>
                <wp:extent cx="4921250" cy="1021080"/>
                <wp:effectExtent l="4445" t="0" r="3175" b="44450"/>
                <wp:wrapNone/>
                <wp:docPr id="21" name="AutoShape 43"/>
                <wp:cNvGraphicFramePr/>
                <a:graphic xmlns:a="http://schemas.openxmlformats.org/drawingml/2006/main">
                  <a:graphicData uri="http://schemas.microsoft.com/office/word/2010/wordprocessingShape">
                    <wps:wsp>
                      <wps:cNvCnPr>
                        <a:cxnSpLocks noChangeShapeType="1"/>
                      </wps:cNvCnPr>
                      <wps:spPr bwMode="auto">
                        <a:xfrm rot="5400000" flipV="1">
                          <a:off x="0" y="0"/>
                          <a:ext cx="4921250" cy="1021080"/>
                        </a:xfrm>
                        <a:prstGeom prst="bentConnector3">
                          <a:avLst>
                            <a:gd name="adj1" fmla="val 99909"/>
                          </a:avLst>
                        </a:prstGeom>
                        <a:noFill/>
                        <a:ln w="9525">
                          <a:solidFill>
                            <a:srgbClr val="000000"/>
                          </a:solidFill>
                          <a:miter lim="800000"/>
                          <a:tailEnd type="triangle" w="med" len="med"/>
                        </a:ln>
                      </wps:spPr>
                      <wps:bodyPr/>
                    </wps:wsp>
                  </a:graphicData>
                </a:graphic>
              </wp:anchor>
            </w:drawing>
          </mc:Choice>
          <mc:Fallback>
            <w:pict>
              <v:shape id="AutoShape 43" o:spid="_x0000_s1026" o:spt="34" type="#_x0000_t34" style="position:absolute;left:0pt;flip:y;margin-left:-84pt;margin-top:170.35pt;height:80.4pt;width:387.5pt;rotation:-5898240f;z-index:251670528;mso-width-relative:page;mso-height-relative:page;" filled="f" stroked="t" coordsize="21600,21600" o:gfxdata="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L3Szh&#10;2AAAAAwBAAAPAAAAAAAAAAEAIAAAACIAAABkcnMvZG93bnJldi54bWxQSwECFAAUAAAACACHTuJA&#10;scQ2gyECAAA2BAAADgAAAAAAAAABACAAAAAnAQAAZHJzL2Uyb0RvYy54bWxQSwUGAAAAAAYABgBZ&#10;AQAAugUAAAAA&#10;" adj="21580">
                <v:fill on="f" focussize="0,0"/>
                <v:stroke color="#000000" miterlimit="8" joinstyle="miter" endarrow="block"/>
                <v:imagedata o:title=""/>
                <o:lock v:ext="edit" aspectratio="f"/>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3665" distR="113665" simplePos="0" relativeHeight="251679744" behindDoc="0" locked="0" layoutInCell="1" allowOverlap="1">
                <wp:simplePos x="0" y="0"/>
                <wp:positionH relativeFrom="column">
                  <wp:posOffset>2582545</wp:posOffset>
                </wp:positionH>
                <wp:positionV relativeFrom="paragraph">
                  <wp:posOffset>149860</wp:posOffset>
                </wp:positionV>
                <wp:extent cx="1905" cy="382270"/>
                <wp:effectExtent l="37465" t="0" r="36830" b="11430"/>
                <wp:wrapNone/>
                <wp:docPr id="79" name="AutoShape 34"/>
                <wp:cNvGraphicFramePr/>
                <a:graphic xmlns:a="http://schemas.openxmlformats.org/drawingml/2006/main">
                  <a:graphicData uri="http://schemas.microsoft.com/office/word/2010/wordprocessingShape">
                    <wps:wsp>
                      <wps:cNvCnPr>
                        <a:cxnSpLocks noChangeShapeType="1"/>
                      </wps:cNvCnPr>
                      <wps:spPr bwMode="auto">
                        <a:xfrm flipH="1">
                          <a:off x="0" y="0"/>
                          <a:ext cx="1905" cy="382270"/>
                        </a:xfrm>
                        <a:prstGeom prst="straightConnector1">
                          <a:avLst/>
                        </a:prstGeom>
                        <a:noFill/>
                        <a:ln w="9525">
                          <a:solidFill>
                            <a:srgbClr val="000000"/>
                          </a:solidFill>
                          <a:round/>
                          <a:tailEnd type="triangle" w="med" len="med"/>
                        </a:ln>
                      </wps:spPr>
                      <wps:bodyPr/>
                    </wps:wsp>
                  </a:graphicData>
                </a:graphic>
              </wp:anchor>
            </w:drawing>
          </mc:Choice>
          <mc:Fallback>
            <w:pict>
              <v:shape id="AutoShape 34" o:spid="_x0000_s1026" o:spt="32" type="#_x0000_t32" style="position:absolute;left:0pt;flip:x;margin-left:203.35pt;margin-top:11.8pt;height:30.1pt;width:0.15pt;z-index:251679744;mso-width-relative:page;mso-height-relative:page;" filled="f" stroked="t" coordsize="21600,21600" o:gfxdata="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1lb+LZAAAACQEAAA8AAAAAAAAAAQAgAAAAIgAAAGRycy9kb3ducmV2&#10;LnhtbFBLAQIUABQAAAAIAIdO4kAhpxi8+wEAAO4DAAAOAAAAAAAAAAEAIAAAACgBAABkcnMvZTJv&#10;RG9jLnhtbFBLBQYAAAAABgAGAFkBAACVBQAAAAA=&#10;">
                <v:fill on="f" focussize="0,0"/>
                <v:stroke color="#000000" joinstyle="round" endarrow="block"/>
                <v:imagedata o:title=""/>
                <o:lock v:ext="edit" aspectratio="f"/>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2145030</wp:posOffset>
                </wp:positionH>
                <wp:positionV relativeFrom="paragraph">
                  <wp:posOffset>250190</wp:posOffset>
                </wp:positionV>
                <wp:extent cx="330200" cy="283845"/>
                <wp:effectExtent l="4445" t="4445" r="8255" b="16510"/>
                <wp:wrapNone/>
                <wp:docPr id="19" name="Text Box 36"/>
                <wp:cNvGraphicFramePr/>
                <a:graphic xmlns:a="http://schemas.openxmlformats.org/drawingml/2006/main">
                  <a:graphicData uri="http://schemas.microsoft.com/office/word/2010/wordprocessingShape">
                    <wps:wsp>
                      <wps:cNvSpPr txBox="1">
                        <a:spLocks noChangeArrowheads="1"/>
                      </wps:cNvSpPr>
                      <wps:spPr bwMode="auto">
                        <a:xfrm>
                          <a:off x="0" y="0"/>
                          <a:ext cx="330200" cy="283845"/>
                        </a:xfrm>
                        <a:prstGeom prst="rect">
                          <a:avLst/>
                        </a:prstGeom>
                        <a:solidFill>
                          <a:srgbClr val="FFFFFF"/>
                        </a:solidFill>
                        <a:ln w="9525">
                          <a:solidFill>
                            <a:schemeClr val="bg1">
                              <a:lumMod val="100000"/>
                              <a:lumOff val="0"/>
                            </a:schemeClr>
                          </a:solidFill>
                          <a:miter lim="800000"/>
                        </a:ln>
                      </wps:spPr>
                      <wps:txbx>
                        <w:txbxContent>
                          <w:p>
                            <w:r>
                              <w:rPr>
                                <w:rFonts w:hint="eastAsia"/>
                              </w:rPr>
                              <w:t>是</w:t>
                            </w:r>
                          </w:p>
                        </w:txbxContent>
                      </wps:txbx>
                      <wps:bodyPr rot="0" vert="horz" wrap="square" lIns="91440" tIns="45720" rIns="91440" bIns="45720" anchor="t" anchorCtr="0" upright="1">
                        <a:noAutofit/>
                      </wps:bodyPr>
                    </wps:wsp>
                  </a:graphicData>
                </a:graphic>
              </wp:anchor>
            </w:drawing>
          </mc:Choice>
          <mc:Fallback>
            <w:pict>
              <v:shape id="Text Box 36" o:spid="_x0000_s1026" o:spt="202" type="#_x0000_t202" style="position:absolute;left:0pt;margin-left:168.9pt;margin-top:19.7pt;height:22.35pt;width:26pt;z-index:251667456;mso-width-relative:page;mso-height-relative:page;" fillcolor="#FFFFFF" filled="t" stroked="t" coordsize="21600,21600" o:gfxdata="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IahYH2AAAAAkBAAAPAAAAAAAAAAEA&#10;IAAAACIAAABkcnMvZG93bnJldi54bWxQSwECFAAUAAAACACHTuJACtEqvUgCAAC9BAAADgAAAAAA&#10;AAABACAAAAAnAQAAZHJzL2Uyb0RvYy54bWxQSwUGAAAAAAYABgBZAQAA4QUAAAAA&#10;">
                <v:fill on="t" focussize="0,0"/>
                <v:stroke color="#FFFFFF [3228]" miterlimit="8" joinstyle="miter"/>
                <v:imagedata o:title=""/>
                <o:lock v:ext="edit" aspectratio="f"/>
                <v:textbox>
                  <w:txbxContent>
                    <w:p>
                      <w:r>
                        <w:rPr>
                          <w:rFonts w:hint="eastAsia"/>
                        </w:rPr>
                        <w:t>是</w:t>
                      </w:r>
                    </w:p>
                  </w:txbxContent>
                </v:textbox>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1282700</wp:posOffset>
                </wp:positionH>
                <wp:positionV relativeFrom="paragraph">
                  <wp:posOffset>174625</wp:posOffset>
                </wp:positionV>
                <wp:extent cx="2628900" cy="969645"/>
                <wp:effectExtent l="13970" t="5080" r="24130" b="15875"/>
                <wp:wrapNone/>
                <wp:docPr id="25" name="AutoShape 5"/>
                <wp:cNvGraphicFramePr/>
                <a:graphic xmlns:a="http://schemas.openxmlformats.org/drawingml/2006/main">
                  <a:graphicData uri="http://schemas.microsoft.com/office/word/2010/wordprocessingShape">
                    <wps:wsp>
                      <wps:cNvSpPr>
                        <a:spLocks noChangeArrowheads="1"/>
                      </wps:cNvSpPr>
                      <wps:spPr bwMode="auto">
                        <a:xfrm>
                          <a:off x="0" y="0"/>
                          <a:ext cx="2628900" cy="969645"/>
                        </a:xfrm>
                        <a:prstGeom prst="diamond">
                          <a:avLst/>
                        </a:prstGeom>
                        <a:solidFill>
                          <a:srgbClr val="FFFFFF"/>
                        </a:solidFill>
                        <a:ln w="9525">
                          <a:solidFill>
                            <a:srgbClr val="000000"/>
                          </a:solidFill>
                          <a:miter lim="800000"/>
                        </a:ln>
                      </wps:spPr>
                      <wps:txbx>
                        <w:txbxContent>
                          <w:p>
                            <w:pPr>
                              <w:rPr>
                                <w:szCs w:val="21"/>
                              </w:rPr>
                            </w:pPr>
                            <w:r>
                              <w:rPr>
                                <w:rFonts w:hint="eastAsia"/>
                                <w:szCs w:val="21"/>
                              </w:rPr>
                              <w:t>是否需要进行临床项目比对试验？</w:t>
                            </w:r>
                          </w:p>
                        </w:txbxContent>
                      </wps:txbx>
                      <wps:bodyPr rot="0" vert="horz" wrap="square" lIns="91440" tIns="45720" rIns="91440" bIns="45720" anchor="t" anchorCtr="0" upright="1">
                        <a:noAutofit/>
                      </wps:bodyPr>
                    </wps:wsp>
                  </a:graphicData>
                </a:graphic>
              </wp:anchor>
            </w:drawing>
          </mc:Choice>
          <mc:Fallback>
            <w:pict>
              <v:shape id="AutoShape 5" o:spid="_x0000_s1026" o:spt="4" type="#_x0000_t4" style="position:absolute;left:0pt;margin-left:101pt;margin-top:13.75pt;height:76.35pt;width:207pt;z-index:251661312;mso-width-relative:page;mso-height-relative:page;" fillcolor="#FFFFFF" filled="t" stroked="t" coordsize="21600,21600" o:gfxdata="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6d2/1wAAAAoBAAAPAAAAAAAAAAEAIAAAACIAAABkcnMvZG93bnJldi54bWxQSwECFAAU&#10;AAAACACHTuJAz3UH2ysCAACBBAAADgAAAAAAAAABACAAAAAmAQAAZHJzL2Uyb0RvYy54bWxQSwUG&#10;AAAAAAYABgBZAQAAwwUAAAAA&#10;">
                <v:fill on="t" focussize="0,0"/>
                <v:stroke color="#000000" miterlimit="8" joinstyle="miter"/>
                <v:imagedata o:title=""/>
                <o:lock v:ext="edit" aspectratio="f"/>
                <v:textbox>
                  <w:txbxContent>
                    <w:p>
                      <w:pPr>
                        <w:rPr>
                          <w:szCs w:val="21"/>
                        </w:rPr>
                      </w:pPr>
                      <w:r>
                        <w:rPr>
                          <w:rFonts w:hint="eastAsia"/>
                          <w:szCs w:val="21"/>
                        </w:rPr>
                        <w:t>是否需要进行临床项目比对试验？</w:t>
                      </w:r>
                    </w:p>
                  </w:txbxContent>
                </v:textbox>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3761740</wp:posOffset>
                </wp:positionH>
                <wp:positionV relativeFrom="paragraph">
                  <wp:posOffset>466725</wp:posOffset>
                </wp:positionV>
                <wp:extent cx="1233170" cy="897890"/>
                <wp:effectExtent l="4445" t="0" r="50165" b="11430"/>
                <wp:wrapNone/>
                <wp:docPr id="28" name="AutoShape 46"/>
                <wp:cNvGraphicFramePr/>
                <a:graphic xmlns:a="http://schemas.openxmlformats.org/drawingml/2006/main">
                  <a:graphicData uri="http://schemas.microsoft.com/office/word/2010/wordprocessingShape">
                    <wps:wsp>
                      <wps:cNvCnPr>
                        <a:cxnSpLocks noChangeShapeType="1"/>
                      </wps:cNvCnPr>
                      <wps:spPr bwMode="auto">
                        <a:xfrm rot="5400000" flipV="1">
                          <a:off x="0" y="0"/>
                          <a:ext cx="1233170" cy="897890"/>
                        </a:xfrm>
                        <a:prstGeom prst="bentConnector3">
                          <a:avLst>
                            <a:gd name="adj1" fmla="val 617"/>
                          </a:avLst>
                        </a:prstGeom>
                        <a:noFill/>
                        <a:ln w="9525">
                          <a:solidFill>
                            <a:srgbClr val="000000"/>
                          </a:solidFill>
                          <a:miter lim="800000"/>
                          <a:tailEnd type="triangle" w="med" len="med"/>
                        </a:ln>
                      </wps:spPr>
                      <wps:bodyPr/>
                    </wps:wsp>
                  </a:graphicData>
                </a:graphic>
              </wp:anchor>
            </w:drawing>
          </mc:Choice>
          <mc:Fallback>
            <w:pict>
              <v:shape id="AutoShape 46" o:spid="_x0000_s1026" o:spt="34" type="#_x0000_t34" style="position:absolute;left:0pt;flip:y;margin-left:296.2pt;margin-top:36.75pt;height:70.7pt;width:97.1pt;rotation:-5898240f;z-index:251672576;mso-width-relative:page;mso-height-relative:page;" filled="f" stroked="t" coordsize="21600,21600" o:gfxdata="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lNxu3QAAAAoBAAAPAAAAAAAAAAEAIAAAACIAAABkcnMvZG93bnJldi54bWxQSwECFAAUAAAACACH&#10;TuJAEfM20R8CAAAzBAAADgAAAAAAAAABACAAAAAsAQAAZHJzL2Uyb0RvYy54bWxQSwUGAAAAAAYA&#10;BgBZAQAAvQUAAAAA&#10;" adj="133">
                <v:fill on="f" focussize="0,0"/>
                <v:stroke color="#000000" miterlimit="8" joinstyle="miter" endarrow="block"/>
                <v:imagedata o:title=""/>
                <o:lock v:ext="edit" aspectratio="f"/>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4286250</wp:posOffset>
                </wp:positionH>
                <wp:positionV relativeFrom="paragraph">
                  <wp:posOffset>353060</wp:posOffset>
                </wp:positionV>
                <wp:extent cx="411480" cy="264160"/>
                <wp:effectExtent l="5080" t="5080" r="21590" b="16510"/>
                <wp:wrapNone/>
                <wp:docPr id="32" name="Text Box 37"/>
                <wp:cNvGraphicFramePr/>
                <a:graphic xmlns:a="http://schemas.openxmlformats.org/drawingml/2006/main">
                  <a:graphicData uri="http://schemas.microsoft.com/office/word/2010/wordprocessingShape">
                    <wps:wsp>
                      <wps:cNvSpPr txBox="1">
                        <a:spLocks noChangeArrowheads="1"/>
                      </wps:cNvSpPr>
                      <wps:spPr bwMode="auto">
                        <a:xfrm>
                          <a:off x="0" y="0"/>
                          <a:ext cx="411480" cy="264160"/>
                        </a:xfrm>
                        <a:prstGeom prst="rect">
                          <a:avLst/>
                        </a:prstGeom>
                        <a:solidFill>
                          <a:srgbClr val="FFFFFF"/>
                        </a:solidFill>
                        <a:ln w="9525">
                          <a:solidFill>
                            <a:schemeClr val="bg1">
                              <a:lumMod val="100000"/>
                              <a:lumOff val="0"/>
                            </a:schemeClr>
                          </a:solidFill>
                          <a:miter lim="800000"/>
                        </a:ln>
                      </wps:spPr>
                      <wps:txbx>
                        <w:txbxContent>
                          <w:p>
                            <w:r>
                              <w:rPr>
                                <w:rFonts w:hint="eastAsia"/>
                              </w:rPr>
                              <w:t>是</w:t>
                            </w:r>
                          </w:p>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337.5pt;margin-top:27.8pt;height:20.8pt;width:32.4pt;z-index:251668480;mso-width-relative:page;mso-height-relative:page;" fillcolor="#FFFFFF" filled="t" stroked="t" coordsize="21600,21600" o:gfxdata="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KjweT2AAAAAkBAAAPAAAAAAAAAAEA&#10;IAAAACIAAABkcnMvZG93bnJldi54bWxQSwECFAAUAAAACACHTuJAYhj/cEgCAAC9BAAADgAAAAAA&#10;AAABACAAAAAnAQAAZHJzL2Uyb0RvYy54bWxQSwUGAAAAAAYABgBZAQAA4QUAAAAA&#10;">
                <v:fill on="t" focussize="0,0"/>
                <v:stroke color="#FFFFFF [3228]" miterlimit="8" joinstyle="miter"/>
                <v:imagedata o:title=""/>
                <o:lock v:ext="edit" aspectratio="f"/>
                <v:textbox>
                  <w:txbxContent>
                    <w:p>
                      <w:r>
                        <w:rPr>
                          <w:rFonts w:hint="eastAsia"/>
                        </w:rPr>
                        <w:t>是</w:t>
                      </w:r>
                    </w:p>
                  </w:txbxContent>
                </v:textbox>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524510</wp:posOffset>
                </wp:positionH>
                <wp:positionV relativeFrom="paragraph">
                  <wp:posOffset>146050</wp:posOffset>
                </wp:positionV>
                <wp:extent cx="336550" cy="264160"/>
                <wp:effectExtent l="4445" t="5080" r="14605" b="10160"/>
                <wp:wrapNone/>
                <wp:docPr id="34" name="Text Box 48"/>
                <wp:cNvGraphicFramePr/>
                <a:graphic xmlns:a="http://schemas.openxmlformats.org/drawingml/2006/main">
                  <a:graphicData uri="http://schemas.microsoft.com/office/word/2010/wordprocessingShape">
                    <wps:wsp>
                      <wps:cNvSpPr txBox="1">
                        <a:spLocks noChangeArrowheads="1"/>
                      </wps:cNvSpPr>
                      <wps:spPr bwMode="auto">
                        <a:xfrm>
                          <a:off x="0" y="0"/>
                          <a:ext cx="336550" cy="264160"/>
                        </a:xfrm>
                        <a:prstGeom prst="rect">
                          <a:avLst/>
                        </a:prstGeom>
                        <a:solidFill>
                          <a:srgbClr val="FFFFFF"/>
                        </a:solidFill>
                        <a:ln w="9525">
                          <a:solidFill>
                            <a:schemeClr val="bg1">
                              <a:lumMod val="100000"/>
                              <a:lumOff val="0"/>
                            </a:schemeClr>
                          </a:solidFill>
                          <a:miter lim="800000"/>
                        </a:ln>
                      </wps:spPr>
                      <wps:txbx>
                        <w:txbxContent>
                          <w:p>
                            <w:r>
                              <w:rPr>
                                <w:rFonts w:hint="eastAsia"/>
                              </w:rPr>
                              <w:t>否</w:t>
                            </w:r>
                          </w:p>
                        </w:txbxContent>
                      </wps:txbx>
                      <wps:bodyPr rot="0" vert="horz" wrap="square" lIns="91440" tIns="45720" rIns="91440" bIns="45720" anchor="t" anchorCtr="0" upright="1">
                        <a:noAutofit/>
                      </wps:bodyPr>
                    </wps:wsp>
                  </a:graphicData>
                </a:graphic>
              </wp:anchor>
            </w:drawing>
          </mc:Choice>
          <mc:Fallback>
            <w:pict>
              <v:shape id="Text Box 48" o:spid="_x0000_s1026" o:spt="202" type="#_x0000_t202" style="position:absolute;left:0pt;margin-left:41.3pt;margin-top:11.5pt;height:20.8pt;width:26.5pt;z-index:251673600;mso-width-relative:page;mso-height-relative:page;" fillcolor="#FFFFFF" filled="t" stroked="t" coordsize="21600,21600" o:gfxdata="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5PtbPWAAAACAEAAA8AAAAAAAAAAQAg&#10;AAAAIgAAAGRycy9kb3ducmV2LnhtbFBLAQIUABQAAAAIAIdO4kAdsLX2SQIAAL0EAAAOAAAAAAAA&#10;AAEAIAAAACUBAABkcnMvZTJvRG9jLnhtbFBLBQYAAAAABgAGAFkBAADgBQAAAAA=&#10;">
                <v:fill on="t" focussize="0,0"/>
                <v:stroke color="#FFFFFF [3228]" miterlimit="8" joinstyle="miter"/>
                <v:imagedata o:title=""/>
                <o:lock v:ext="edit" aspectratio="f"/>
                <v:textbox>
                  <w:txbxContent>
                    <w:p>
                      <w:r>
                        <w:rPr>
                          <w:rFonts w:hint="eastAsia"/>
                        </w:rPr>
                        <w:t>否</w:t>
                      </w:r>
                    </w:p>
                  </w:txbxContent>
                </v:textbox>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2263140</wp:posOffset>
                </wp:positionH>
                <wp:positionV relativeFrom="paragraph">
                  <wp:posOffset>237490</wp:posOffset>
                </wp:positionV>
                <wp:extent cx="282575" cy="264160"/>
                <wp:effectExtent l="4445" t="5080" r="17780" b="16510"/>
                <wp:wrapNone/>
                <wp:docPr id="31" name="Text Box 39"/>
                <wp:cNvGraphicFramePr/>
                <a:graphic xmlns:a="http://schemas.openxmlformats.org/drawingml/2006/main">
                  <a:graphicData uri="http://schemas.microsoft.com/office/word/2010/wordprocessingShape">
                    <wps:wsp>
                      <wps:cNvSpPr txBox="1">
                        <a:spLocks noChangeArrowheads="1"/>
                      </wps:cNvSpPr>
                      <wps:spPr bwMode="auto">
                        <a:xfrm>
                          <a:off x="0" y="0"/>
                          <a:ext cx="282575" cy="264160"/>
                        </a:xfrm>
                        <a:prstGeom prst="rect">
                          <a:avLst/>
                        </a:prstGeom>
                        <a:solidFill>
                          <a:srgbClr val="FFFFFF"/>
                        </a:solidFill>
                        <a:ln w="9525">
                          <a:solidFill>
                            <a:schemeClr val="bg1">
                              <a:lumMod val="100000"/>
                              <a:lumOff val="0"/>
                            </a:schemeClr>
                          </a:solidFill>
                          <a:miter lim="800000"/>
                        </a:ln>
                      </wps:spPr>
                      <wps:txbx>
                        <w:txbxContent>
                          <w:p>
                            <w:r>
                              <w:rPr>
                                <w:rFonts w:hint="eastAsia"/>
                              </w:rPr>
                              <w:t>否</w:t>
                            </w: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178.2pt;margin-top:18.7pt;height:20.8pt;width:22.25pt;z-index:251669504;mso-width-relative:page;mso-height-relative:page;" fillcolor="#FFFFFF" filled="t" stroked="t" coordsize="21600,21600" o:gfxdata="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2BfmHYAAAACQEAAA8AAAAAAAAA&#10;AQAgAAAAIgAAAGRycy9kb3ducmV2LnhtbFBLAQIUABQAAAAIAIdO4kDXOnE6SgIAAL0EAAAOAAAA&#10;AAAAAAEAIAAAACcBAABkcnMvZTJvRG9jLnhtbFBLBQYAAAAABgAGAFkBAADjBQAAAAA=&#10;">
                <v:fill on="t" focussize="0,0"/>
                <v:stroke color="#FFFFFF [3228]" miterlimit="8" joinstyle="miter"/>
                <v:imagedata o:title=""/>
                <o:lock v:ext="edit" aspectratio="f"/>
                <v:textbox>
                  <w:txbxContent>
                    <w:p>
                      <w:r>
                        <w:rPr>
                          <w:rFonts w:hint="eastAsia"/>
                        </w:rPr>
                        <w:t>否</w:t>
                      </w:r>
                    </w:p>
                  </w:txbxContent>
                </v:textbox>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3665" distR="113665" simplePos="0" relativeHeight="251664384" behindDoc="0" locked="0" layoutInCell="1" allowOverlap="1">
                <wp:simplePos x="0" y="0"/>
                <wp:positionH relativeFrom="column">
                  <wp:posOffset>2599690</wp:posOffset>
                </wp:positionH>
                <wp:positionV relativeFrom="paragraph">
                  <wp:posOffset>69850</wp:posOffset>
                </wp:positionV>
                <wp:extent cx="3810" cy="626745"/>
                <wp:effectExtent l="37465" t="0" r="34925" b="8255"/>
                <wp:wrapNone/>
                <wp:docPr id="33" name="AutoShape 12"/>
                <wp:cNvGraphicFramePr/>
                <a:graphic xmlns:a="http://schemas.openxmlformats.org/drawingml/2006/main">
                  <a:graphicData uri="http://schemas.microsoft.com/office/word/2010/wordprocessingShape">
                    <wps:wsp>
                      <wps:cNvCnPr>
                        <a:cxnSpLocks noChangeShapeType="1"/>
                      </wps:cNvCnPr>
                      <wps:spPr bwMode="auto">
                        <a:xfrm flipH="1">
                          <a:off x="0" y="0"/>
                          <a:ext cx="3810" cy="626745"/>
                        </a:xfrm>
                        <a:prstGeom prst="straightConnector1">
                          <a:avLst/>
                        </a:prstGeom>
                        <a:noFill/>
                        <a:ln w="9525">
                          <a:solidFill>
                            <a:srgbClr val="000000"/>
                          </a:solidFill>
                          <a:round/>
                          <a:tailEnd type="triangle" w="med" len="med"/>
                        </a:ln>
                      </wps:spPr>
                      <wps:bodyPr/>
                    </wps:wsp>
                  </a:graphicData>
                </a:graphic>
              </wp:anchor>
            </w:drawing>
          </mc:Choice>
          <mc:Fallback>
            <w:pict>
              <v:shape id="AutoShape 12" o:spid="_x0000_s1026" o:spt="32" type="#_x0000_t32" style="position:absolute;left:0pt;flip:x;margin-left:204.7pt;margin-top:5.5pt;height:49.35pt;width:0.3pt;z-index:251664384;mso-width-relative:page;mso-height-relative:page;" filled="f" stroked="t" coordsize="21600,21600" o:gfxdata="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vq4A2AAAAAoBAAAPAAAAAAAAAAEAIAAAACIAAABkcnMvZG93bnJldi54&#10;bWxQSwECFAAUAAAACACHTuJAer0dBfoBAADuAwAADgAAAAAAAAABACAAAAAnAQAAZHJzL2Uyb0Rv&#10;Yy54bWxQSwUGAAAAAAYABgBZAQAAkwUAAAAA&#10;">
                <v:fill on="f" focussize="0,0"/>
                <v:stroke color="#000000" joinstyle="round" endarrow="block"/>
                <v:imagedata o:title=""/>
                <o:lock v:ext="edit" aspectratio="f"/>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306070</wp:posOffset>
                </wp:positionH>
                <wp:positionV relativeFrom="paragraph">
                  <wp:posOffset>307975</wp:posOffset>
                </wp:positionV>
                <wp:extent cx="1172845" cy="1055370"/>
                <wp:effectExtent l="4445" t="4445" r="16510" b="6985"/>
                <wp:wrapNone/>
                <wp:docPr id="77" name="AutoShape 32"/>
                <wp:cNvGraphicFramePr/>
                <a:graphic xmlns:a="http://schemas.openxmlformats.org/drawingml/2006/main">
                  <a:graphicData uri="http://schemas.microsoft.com/office/word/2010/wordprocessingShape">
                    <wps:wsp>
                      <wps:cNvSpPr>
                        <a:spLocks noChangeArrowheads="1"/>
                      </wps:cNvSpPr>
                      <wps:spPr bwMode="auto">
                        <a:xfrm>
                          <a:off x="0" y="0"/>
                          <a:ext cx="1172845" cy="1055370"/>
                        </a:xfrm>
                        <a:prstGeom prst="roundRect">
                          <a:avLst>
                            <a:gd name="adj" fmla="val 16667"/>
                          </a:avLst>
                        </a:prstGeom>
                        <a:solidFill>
                          <a:srgbClr val="FFFFFF"/>
                        </a:solidFill>
                        <a:ln w="9525">
                          <a:solidFill>
                            <a:srgbClr val="000000"/>
                          </a:solidFill>
                          <a:round/>
                        </a:ln>
                      </wps:spPr>
                      <wps:txbx>
                        <w:txbxContent>
                          <w:p>
                            <w:pPr>
                              <w:rPr>
                                <w:sz w:val="18"/>
                                <w:szCs w:val="18"/>
                              </w:rPr>
                            </w:pPr>
                            <w:r>
                              <w:rPr>
                                <w:rFonts w:hint="eastAsia"/>
                                <w:sz w:val="18"/>
                                <w:szCs w:val="18"/>
                              </w:rPr>
                              <w:t>提供样本数据统计及相应的数据质量评价表，及提供相应研发资料</w:t>
                            </w:r>
                          </w:p>
                        </w:txbxContent>
                      </wps:txbx>
                      <wps:bodyPr rot="0" vert="horz" wrap="square" lIns="91440" tIns="45720" rIns="91440" bIns="45720" anchor="t" anchorCtr="0" upright="1">
                        <a:noAutofit/>
                      </wps:bodyPr>
                    </wps:wsp>
                  </a:graphicData>
                </a:graphic>
              </wp:anchor>
            </w:drawing>
          </mc:Choice>
          <mc:Fallback>
            <w:pict>
              <v:roundrect id="AutoShape 32" o:spid="_x0000_s1026" o:spt="2" style="position:absolute;left:0pt;margin-left:24.1pt;margin-top:24.25pt;height:83.1pt;width:92.35pt;z-index:251677696;mso-width-relative:page;mso-height-relative:page;" fillcolor="#FFFFFF" filled="t" stroked="t" coordsize="21600,21600" arcsize="0.166666666666667" o:gfxdata="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8BwV1gAAAAkBAAAPAAAAAAAAAAEAIAAAACIA&#10;AABkcnMvZG93bnJldi54bWxQSwECFAAUAAAACACHTuJAcTRvEkQCAACkBAAADgAAAAAAAAABACAA&#10;AAAlAQAAZHJzL2Uyb0RvYy54bWxQSwUGAAAAAAYABgBZAQAA2wUAAAAA&#10;">
                <v:fill on="t" focussize="0,0"/>
                <v:stroke color="#000000" joinstyle="round"/>
                <v:imagedata o:title=""/>
                <o:lock v:ext="edit" aspectratio="f"/>
                <v:textbox>
                  <w:txbxContent>
                    <w:p>
                      <w:pPr>
                        <w:rPr>
                          <w:sz w:val="18"/>
                          <w:szCs w:val="18"/>
                        </w:rPr>
                      </w:pPr>
                      <w:r>
                        <w:rPr>
                          <w:rFonts w:hint="eastAsia"/>
                          <w:sz w:val="18"/>
                          <w:szCs w:val="18"/>
                        </w:rPr>
                        <w:t>提供样本数据统计及相应的数据质量评价表，及提供相应研发资料</w:t>
                      </w:r>
                    </w:p>
                  </w:txbxContent>
                </v:textbox>
              </v:roundrect>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4277360</wp:posOffset>
                </wp:positionH>
                <wp:positionV relativeFrom="paragraph">
                  <wp:posOffset>103505</wp:posOffset>
                </wp:positionV>
                <wp:extent cx="1148715" cy="803275"/>
                <wp:effectExtent l="4445" t="4445" r="15240" b="5080"/>
                <wp:wrapNone/>
                <wp:docPr id="36" name="AutoShape 9"/>
                <wp:cNvGraphicFramePr/>
                <a:graphic xmlns:a="http://schemas.openxmlformats.org/drawingml/2006/main">
                  <a:graphicData uri="http://schemas.microsoft.com/office/word/2010/wordprocessingShape">
                    <wps:wsp>
                      <wps:cNvSpPr>
                        <a:spLocks noChangeArrowheads="1"/>
                      </wps:cNvSpPr>
                      <wps:spPr bwMode="auto">
                        <a:xfrm>
                          <a:off x="0" y="0"/>
                          <a:ext cx="1148715" cy="803275"/>
                        </a:xfrm>
                        <a:prstGeom prst="roundRect">
                          <a:avLst>
                            <a:gd name="adj" fmla="val 16667"/>
                          </a:avLst>
                        </a:prstGeom>
                        <a:solidFill>
                          <a:srgbClr val="FFFFFF"/>
                        </a:solidFill>
                        <a:ln w="9525">
                          <a:solidFill>
                            <a:srgbClr val="000000"/>
                          </a:solidFill>
                          <a:round/>
                        </a:ln>
                      </wps:spPr>
                      <wps:txbx>
                        <w:txbxContent>
                          <w:p>
                            <w:r>
                              <w:rPr>
                                <w:rFonts w:hint="eastAsia"/>
                                <w:szCs w:val="21"/>
                              </w:rPr>
                              <w:t>补充针对差异的申报产品的临床试验资料</w:t>
                            </w:r>
                          </w:p>
                        </w:txbxContent>
                      </wps:txbx>
                      <wps:bodyPr rot="0" vert="horz" wrap="square" lIns="91440" tIns="45720" rIns="91440" bIns="45720" anchor="t" anchorCtr="0" upright="1">
                        <a:noAutofit/>
                      </wps:bodyPr>
                    </wps:wsp>
                  </a:graphicData>
                </a:graphic>
              </wp:anchor>
            </w:drawing>
          </mc:Choice>
          <mc:Fallback>
            <w:pict>
              <v:roundrect id="AutoShape 9" o:spid="_x0000_s1026" o:spt="2" style="position:absolute;left:0pt;margin-left:336.8pt;margin-top:8.15pt;height:63.25pt;width:90.45pt;z-index:251663360;mso-width-relative:page;mso-height-relative:page;" fillcolor="#FFFFFF" filled="t" stroked="t" coordsize="21600,21600" arcsize="0.166666666666667" o:gfxdata="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YwxTtcAAAAKAQAADwAAAAAAAAABACAAAAAiAAAA&#10;ZHJzL2Rvd25yZXYueG1sUEsBAhQAFAAAAAgAh07iQEzSWsFBAgAAogQAAA4AAAAAAAAAAQAgAAAA&#10;JgEAAGRycy9lMm9Eb2MueG1sUEsFBgAAAAAGAAYAWQEAANkFAAAAAA==&#10;">
                <v:fill on="t" focussize="0,0"/>
                <v:stroke color="#000000" joinstyle="round"/>
                <v:imagedata o:title=""/>
                <o:lock v:ext="edit" aspectratio="f"/>
                <v:textbox>
                  <w:txbxContent>
                    <w:p>
                      <w:r>
                        <w:rPr>
                          <w:rFonts w:hint="eastAsia"/>
                          <w:szCs w:val="21"/>
                        </w:rPr>
                        <w:t>补充针对差异的申报产品的临床试验资料</w:t>
                      </w:r>
                    </w:p>
                  </w:txbxContent>
                </v:textbox>
              </v:roundrect>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1877695</wp:posOffset>
                </wp:positionH>
                <wp:positionV relativeFrom="paragraph">
                  <wp:posOffset>16510</wp:posOffset>
                </wp:positionV>
                <wp:extent cx="1522730" cy="1206500"/>
                <wp:effectExtent l="4445" t="4445" r="9525" b="8255"/>
                <wp:wrapNone/>
                <wp:docPr id="37" name="AutoShape 7"/>
                <wp:cNvGraphicFramePr/>
                <a:graphic xmlns:a="http://schemas.openxmlformats.org/drawingml/2006/main">
                  <a:graphicData uri="http://schemas.microsoft.com/office/word/2010/wordprocessingShape">
                    <wps:wsp>
                      <wps:cNvSpPr>
                        <a:spLocks noChangeArrowheads="1"/>
                      </wps:cNvSpPr>
                      <wps:spPr bwMode="auto">
                        <a:xfrm>
                          <a:off x="0" y="0"/>
                          <a:ext cx="1522730" cy="1206500"/>
                        </a:xfrm>
                        <a:prstGeom prst="roundRect">
                          <a:avLst>
                            <a:gd name="adj" fmla="val 16667"/>
                          </a:avLst>
                        </a:prstGeom>
                        <a:solidFill>
                          <a:srgbClr val="FFFFFF"/>
                        </a:solidFill>
                        <a:ln w="9525">
                          <a:solidFill>
                            <a:srgbClr val="000000"/>
                          </a:solidFill>
                          <a:round/>
                        </a:ln>
                      </wps:spPr>
                      <wps:txbx>
                        <w:txbxContent>
                          <w:p>
                            <w:pPr>
                              <w:rPr>
                                <w:sz w:val="18"/>
                                <w:szCs w:val="18"/>
                              </w:rPr>
                            </w:pPr>
                            <w:r>
                              <w:rPr>
                                <w:rFonts w:hint="eastAsia"/>
                                <w:sz w:val="18"/>
                                <w:szCs w:val="18"/>
                              </w:rPr>
                              <w:t>提交申报产品的非临床研究资料、临床文献数据、临床经验数据，提交相应的数据质量评价（结果：低于/不低于）</w:t>
                            </w:r>
                          </w:p>
                          <w:p/>
                        </w:txbxContent>
                      </wps:txbx>
                      <wps:bodyPr rot="0" vert="horz" wrap="square" lIns="91440" tIns="45720" rIns="91440" bIns="45720" anchor="t" anchorCtr="0" upright="1">
                        <a:noAutofit/>
                      </wps:bodyPr>
                    </wps:wsp>
                  </a:graphicData>
                </a:graphic>
              </wp:anchor>
            </w:drawing>
          </mc:Choice>
          <mc:Fallback>
            <w:pict>
              <v:roundrect id="AutoShape 7" o:spid="_x0000_s1026" o:spt="2" style="position:absolute;left:0pt;margin-left:147.85pt;margin-top:1.3pt;height:95pt;width:119.9pt;z-index:251680768;mso-width-relative:page;mso-height-relative:page;" fillcolor="#FFFFFF" filled="t" stroked="t" coordsize="21600,21600" arcsize="0.166666666666667" o:gfxdata="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165eS1QAAAAkBAAAPAAAAAAAAAAEAIAAAACIAAABk&#10;cnMvZG93bnJldi54bWxQSwECFAAUAAAACACHTuJAU81wBkICAACjBAAADgAAAAAAAAABACAAAAAk&#10;AQAAZHJzL2Uyb0RvYy54bWxQSwUGAAAAAAYABgBZAQAA2AUAAAAA&#10;">
                <v:fill on="t" focussize="0,0"/>
                <v:stroke color="#000000" joinstyle="round"/>
                <v:imagedata o:title=""/>
                <o:lock v:ext="edit" aspectratio="f"/>
                <v:textbox>
                  <w:txbxContent>
                    <w:p>
                      <w:pPr>
                        <w:rPr>
                          <w:sz w:val="18"/>
                          <w:szCs w:val="18"/>
                        </w:rPr>
                      </w:pPr>
                      <w:r>
                        <w:rPr>
                          <w:rFonts w:hint="eastAsia"/>
                          <w:sz w:val="18"/>
                          <w:szCs w:val="18"/>
                        </w:rPr>
                        <w:t>提交申报产品的非临床研究资料、临床文献数据、临床经验数据，提交相应的数据质量评价（结果：低于/不低于）</w:t>
                      </w:r>
                    </w:p>
                    <w:p/>
                  </w:txbxContent>
                </v:textbox>
              </v:roundrect>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3634105</wp:posOffset>
                </wp:positionH>
                <wp:positionV relativeFrom="paragraph">
                  <wp:posOffset>193040</wp:posOffset>
                </wp:positionV>
                <wp:extent cx="466725" cy="305435"/>
                <wp:effectExtent l="4445" t="4445" r="11430" b="7620"/>
                <wp:wrapNone/>
                <wp:docPr id="47" name="Text Box 40"/>
                <wp:cNvGraphicFramePr/>
                <a:graphic xmlns:a="http://schemas.openxmlformats.org/drawingml/2006/main">
                  <a:graphicData uri="http://schemas.microsoft.com/office/word/2010/wordprocessingShape">
                    <wps:wsp>
                      <wps:cNvSpPr txBox="1">
                        <a:spLocks noChangeArrowheads="1"/>
                      </wps:cNvSpPr>
                      <wps:spPr bwMode="auto">
                        <a:xfrm>
                          <a:off x="0" y="0"/>
                          <a:ext cx="466725" cy="305435"/>
                        </a:xfrm>
                        <a:prstGeom prst="rect">
                          <a:avLst/>
                        </a:prstGeom>
                        <a:solidFill>
                          <a:srgbClr val="FFFFFF"/>
                        </a:solidFill>
                        <a:ln w="9525">
                          <a:solidFill>
                            <a:schemeClr val="bg1">
                              <a:lumMod val="100000"/>
                              <a:lumOff val="0"/>
                            </a:schemeClr>
                          </a:solidFill>
                          <a:miter lim="800000"/>
                        </a:ln>
                      </wps:spPr>
                      <wps:txbx>
                        <w:txbxContent>
                          <w:p>
                            <w:pPr>
                              <w:rPr>
                                <w:szCs w:val="21"/>
                              </w:rPr>
                            </w:pPr>
                            <w:r>
                              <w:rPr>
                                <w:rFonts w:hint="eastAsia"/>
                                <w:szCs w:val="21"/>
                              </w:rPr>
                              <w:t>低于</w:t>
                            </w:r>
                          </w:p>
                        </w:txbxContent>
                      </wps:txbx>
                      <wps:bodyPr rot="0" vert="horz" wrap="square" lIns="91440" tIns="45720" rIns="91440" bIns="45720" anchor="t" anchorCtr="0" upright="1">
                        <a:noAutofit/>
                      </wps:bodyPr>
                    </wps:wsp>
                  </a:graphicData>
                </a:graphic>
              </wp:anchor>
            </w:drawing>
          </mc:Choice>
          <mc:Fallback>
            <w:pict>
              <v:shape id="Text Box 40" o:spid="_x0000_s1026" o:spt="202" type="#_x0000_t202" style="position:absolute;left:0pt;margin-left:286.15pt;margin-top:15.2pt;height:24.05pt;width:36.75pt;z-index:251676672;mso-width-relative:page;mso-height-relative:page;" fillcolor="#FFFFFF" filled="t" stroked="t" coordsize="21600,21600" o:gfxdata="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PgBy7YAAAACQEAAA8AAAAAAAAA&#10;AQAgAAAAIgAAAGRycy9kb3ducmV2LnhtbFBLAQIUABQAAAAIAIdO4kBj+i2ESgIAAL0EAAAOAAAA&#10;AAAAAAEAIAAAACcBAABkcnMvZTJvRG9jLnhtbFBLBQYAAAAABgAGAFkBAADjBQAAAAA=&#10;">
                <v:fill on="t" focussize="0,0"/>
                <v:stroke color="#FFFFFF [3228]" miterlimit="8" joinstyle="miter"/>
                <v:imagedata o:title=""/>
                <o:lock v:ext="edit" aspectratio="f"/>
                <v:textbox>
                  <w:txbxContent>
                    <w:p>
                      <w:pPr>
                        <w:rPr>
                          <w:szCs w:val="21"/>
                        </w:rPr>
                      </w:pPr>
                      <w:r>
                        <w:rPr>
                          <w:rFonts w:hint="eastAsia"/>
                          <w:szCs w:val="21"/>
                        </w:rPr>
                        <w:t>低于</w:t>
                      </w:r>
                    </w:p>
                  </w:txbxContent>
                </v:textbox>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3410585</wp:posOffset>
                </wp:positionH>
                <wp:positionV relativeFrom="paragraph">
                  <wp:posOffset>164465</wp:posOffset>
                </wp:positionV>
                <wp:extent cx="845820" cy="6985"/>
                <wp:effectExtent l="0" t="37465" r="11430" b="31750"/>
                <wp:wrapNone/>
                <wp:docPr id="38" name="AutoShape 49"/>
                <wp:cNvGraphicFramePr/>
                <a:graphic xmlns:a="http://schemas.openxmlformats.org/drawingml/2006/main">
                  <a:graphicData uri="http://schemas.microsoft.com/office/word/2010/wordprocessingShape">
                    <wps:wsp>
                      <wps:cNvCnPr>
                        <a:cxnSpLocks noChangeShapeType="1"/>
                      </wps:cNvCnPr>
                      <wps:spPr bwMode="auto">
                        <a:xfrm flipV="1">
                          <a:off x="0" y="0"/>
                          <a:ext cx="845820" cy="6985"/>
                        </a:xfrm>
                        <a:prstGeom prst="straightConnector1">
                          <a:avLst/>
                        </a:prstGeom>
                        <a:noFill/>
                        <a:ln w="9525">
                          <a:solidFill>
                            <a:srgbClr val="000000"/>
                          </a:solidFill>
                          <a:round/>
                          <a:tailEnd type="triangle" w="med" len="med"/>
                        </a:ln>
                      </wps:spPr>
                      <wps:bodyPr/>
                    </wps:wsp>
                  </a:graphicData>
                </a:graphic>
              </wp:anchor>
            </w:drawing>
          </mc:Choice>
          <mc:Fallback>
            <w:pict>
              <v:shape id="AutoShape 49" o:spid="_x0000_s1026" o:spt="32" type="#_x0000_t32" style="position:absolute;left:0pt;flip:y;margin-left:268.55pt;margin-top:12.95pt;height:0.55pt;width:66.6pt;z-index:251674624;mso-width-relative:page;mso-height-relative:page;" filled="f" stroked="t" coordsize="21600,21600" o:gfxdata="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eLh32QAAAAkBAAAPAAAAAAAAAAEAIAAAACIAAABkcnMvZG93bnJldi54&#10;bWxQSwECFAAUAAAACACHTuJApYCMoPkBAADuAwAADgAAAAAAAAABACAAAAAoAQAAZHJzL2Uyb0Rv&#10;Yy54bWxQSwUGAAAAAAYABgBZAQAAkwUAAAAA&#10;">
                <v:fill on="f" focussize="0,0"/>
                <v:stroke color="#000000" joinstyle="round" endarrow="block"/>
                <v:imagedata o:title=""/>
                <o:lock v:ext="edit" aspectratio="f"/>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3383280</wp:posOffset>
                </wp:positionH>
                <wp:positionV relativeFrom="paragraph">
                  <wp:posOffset>422910</wp:posOffset>
                </wp:positionV>
                <wp:extent cx="1690370" cy="1271905"/>
                <wp:effectExtent l="0" t="0" r="10795" b="36830"/>
                <wp:wrapNone/>
                <wp:docPr id="44" name="AutoShape 46"/>
                <wp:cNvGraphicFramePr/>
                <a:graphic xmlns:a="http://schemas.openxmlformats.org/drawingml/2006/main">
                  <a:graphicData uri="http://schemas.microsoft.com/office/word/2010/wordprocessingShape">
                    <wps:wsp>
                      <wps:cNvCnPr>
                        <a:cxnSpLocks noChangeShapeType="1"/>
                      </wps:cNvCnPr>
                      <wps:spPr bwMode="auto">
                        <a:xfrm rot="5400000">
                          <a:off x="0" y="0"/>
                          <a:ext cx="1690370" cy="1271905"/>
                        </a:xfrm>
                        <a:prstGeom prst="bentConnector3">
                          <a:avLst>
                            <a:gd name="adj1" fmla="val 99643"/>
                          </a:avLst>
                        </a:prstGeom>
                        <a:noFill/>
                        <a:ln w="9525">
                          <a:solidFill>
                            <a:srgbClr val="000000"/>
                          </a:solidFill>
                          <a:miter lim="800000"/>
                          <a:tailEnd type="triangle" w="med" len="med"/>
                        </a:ln>
                      </wps:spPr>
                      <wps:bodyPr/>
                    </wps:wsp>
                  </a:graphicData>
                </a:graphic>
              </wp:anchor>
            </w:drawing>
          </mc:Choice>
          <mc:Fallback>
            <w:pict>
              <v:shape id="AutoShape 46" o:spid="_x0000_s1026" o:spt="34" type="#_x0000_t34" style="position:absolute;left:0pt;margin-left:266.4pt;margin-top:33.3pt;height:100.15pt;width:133.1pt;rotation:5898240f;z-index:251675648;mso-width-relative:page;mso-height-relative:page;" filled="f" stroked="t" coordsize="21600,21600" o:gfxdata="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Z3bAAAA&#10;CgEAAA8AAAAAAAAAAQAgAAAAIgAAAGRycy9kb3ducmV2LnhtbFBLAQIUABQAAAAIAIdO4kBC7NsA&#10;GgIAACwEAAAOAAAAAAAAAAEAIAAAACoBAABkcnMvZTJvRG9jLnhtbFBLBQYAAAAABgAGAFkBAAC2&#10;BQAAAAA=&#10;" adj="21523">
                <v:fill on="f" focussize="0,0"/>
                <v:stroke color="#000000" miterlimit="8" joinstyle="miter" endarrow="block"/>
                <v:imagedata o:title=""/>
                <o:lock v:ext="edit" aspectratio="f"/>
              </v:shape>
            </w:pict>
          </mc:Fallback>
        </mc:AlternateContent>
      </w: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2606675</wp:posOffset>
                </wp:positionH>
                <wp:positionV relativeFrom="paragraph">
                  <wp:posOffset>140970</wp:posOffset>
                </wp:positionV>
                <wp:extent cx="12700" cy="1471930"/>
                <wp:effectExtent l="37465" t="0" r="26035" b="1270"/>
                <wp:wrapNone/>
                <wp:docPr id="39" name="AutoShape 13"/>
                <wp:cNvGraphicFramePr/>
                <a:graphic xmlns:a="http://schemas.openxmlformats.org/drawingml/2006/main">
                  <a:graphicData uri="http://schemas.microsoft.com/office/word/2010/wordprocessingShape">
                    <wps:wsp>
                      <wps:cNvCnPr>
                        <a:cxnSpLocks noChangeShapeType="1"/>
                      </wps:cNvCnPr>
                      <wps:spPr bwMode="auto">
                        <a:xfrm flipH="1">
                          <a:off x="0" y="0"/>
                          <a:ext cx="12700" cy="1471930"/>
                        </a:xfrm>
                        <a:prstGeom prst="straightConnector1">
                          <a:avLst/>
                        </a:prstGeom>
                        <a:noFill/>
                        <a:ln w="9525">
                          <a:solidFill>
                            <a:srgbClr val="000000"/>
                          </a:solidFill>
                          <a:round/>
                          <a:tailEnd type="triangle" w="med" len="med"/>
                        </a:ln>
                      </wps:spPr>
                      <wps:bodyPr/>
                    </wps:wsp>
                  </a:graphicData>
                </a:graphic>
              </wp:anchor>
            </w:drawing>
          </mc:Choice>
          <mc:Fallback>
            <w:pict>
              <v:shape id="AutoShape 13" o:spid="_x0000_s1026" o:spt="32" type="#_x0000_t32" style="position:absolute;left:0pt;flip:x;margin-left:205.25pt;margin-top:11.1pt;height:115.9pt;width:1pt;z-index:251665408;mso-width-relative:page;mso-height-relative:page;" filled="f" stroked="t" coordsize="21600,21600" o:gfxdata="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X+nTDYAAAACgEAAA8AAAAAAAAAAQAgAAAAIgAAAGRycy9kb3ducmV2&#10;LnhtbFBLAQIUABQAAAAIAIdO4kDC5SpM/AEAAPADAAAOAAAAAAAAAAEAIAAAACcBAABkcnMvZTJv&#10;RG9jLnhtbFBLBQYAAAAABgAGAFkBAACVBQAAAAA=&#10;">
                <v:fill on="f" focussize="0,0"/>
                <v:stroke color="#000000" joinstyle="round" endarrow="block"/>
                <v:imagedata o:title=""/>
                <o:lock v:ext="edit" aspectratio="f"/>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2263775</wp:posOffset>
                </wp:positionH>
                <wp:positionV relativeFrom="paragraph">
                  <wp:posOffset>75565</wp:posOffset>
                </wp:positionV>
                <wp:extent cx="304800" cy="694690"/>
                <wp:effectExtent l="4445" t="4445" r="8255" b="12065"/>
                <wp:wrapNone/>
                <wp:docPr id="8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304800" cy="694690"/>
                        </a:xfrm>
                        <a:prstGeom prst="rect">
                          <a:avLst/>
                        </a:prstGeom>
                        <a:solidFill>
                          <a:srgbClr val="FFFFFF"/>
                        </a:solidFill>
                        <a:ln w="9525">
                          <a:solidFill>
                            <a:schemeClr val="bg1">
                              <a:lumMod val="100000"/>
                              <a:lumOff val="0"/>
                            </a:schemeClr>
                          </a:solidFill>
                          <a:miter lim="800000"/>
                        </a:ln>
                      </wps:spPr>
                      <wps:txbx>
                        <w:txbxContent>
                          <w:p>
                            <w:pPr>
                              <w:rPr>
                                <w:szCs w:val="21"/>
                              </w:rPr>
                            </w:pPr>
                            <w:r>
                              <w:rPr>
                                <w:rFonts w:hint="eastAsia"/>
                                <w:szCs w:val="21"/>
                              </w:rPr>
                              <w:t>不低于</w:t>
                            </w:r>
                          </w:p>
                        </w:txbxContent>
                      </wps:txbx>
                      <wps:bodyPr rot="0" vert="horz" wrap="square" lIns="91440" tIns="45720" rIns="91440" bIns="45720" anchor="t" anchorCtr="0" upright="1">
                        <a:noAutofit/>
                      </wps:bodyPr>
                    </wps:wsp>
                  </a:graphicData>
                </a:graphic>
              </wp:anchor>
            </w:drawing>
          </mc:Choice>
          <mc:Fallback>
            <w:pict>
              <v:shape id="Text Box 40" o:spid="_x0000_s1026" o:spt="202" type="#_x0000_t202" style="position:absolute;left:0pt;margin-left:178.25pt;margin-top:5.95pt;height:54.7pt;width:24pt;z-index:251681792;mso-width-relative:page;mso-height-relative:page;" fillcolor="#FFFFFF" filled="t" stroked="t" coordsize="21600,21600" o:gfxdata="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7QOEX2AAAAAoBAAAPAAAAAAAAAAEA&#10;IAAAACIAAABkcnMvZG93bnJldi54bWxQSwECFAAUAAAACACHTuJAgeq3G0gCAAC9BAAADgAAAAAA&#10;AAABACAAAAAnAQAAZHJzL2Uyb0RvYy54bWxQSwUGAAAAAAYABgBZAQAA4QUAAAAA&#10;">
                <v:fill on="t" focussize="0,0"/>
                <v:stroke color="#FFFFFF [3228]" miterlimit="8" joinstyle="miter"/>
                <v:imagedata o:title=""/>
                <o:lock v:ext="edit" aspectratio="f"/>
                <v:textbox>
                  <w:txbxContent>
                    <w:p>
                      <w:pPr>
                        <w:rPr>
                          <w:szCs w:val="21"/>
                        </w:rPr>
                      </w:pPr>
                      <w:r>
                        <w:rPr>
                          <w:rFonts w:hint="eastAsia"/>
                          <w:szCs w:val="21"/>
                        </w:rPr>
                        <w:t>不低于</w:t>
                      </w:r>
                    </w:p>
                  </w:txbxContent>
                </v:textbox>
              </v:shape>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1943735</wp:posOffset>
                </wp:positionH>
                <wp:positionV relativeFrom="paragraph">
                  <wp:posOffset>215265</wp:posOffset>
                </wp:positionV>
                <wp:extent cx="1605280" cy="517525"/>
                <wp:effectExtent l="4445" t="4445" r="9525" b="11430"/>
                <wp:wrapNone/>
                <wp:docPr id="42" name="AutoShape 8"/>
                <wp:cNvGraphicFramePr/>
                <a:graphic xmlns:a="http://schemas.openxmlformats.org/drawingml/2006/main">
                  <a:graphicData uri="http://schemas.microsoft.com/office/word/2010/wordprocessingShape">
                    <wps:wsp>
                      <wps:cNvSpPr>
                        <a:spLocks noChangeArrowheads="1"/>
                      </wps:cNvSpPr>
                      <wps:spPr bwMode="auto">
                        <a:xfrm>
                          <a:off x="0" y="0"/>
                          <a:ext cx="1605280" cy="517525"/>
                        </a:xfrm>
                        <a:prstGeom prst="roundRect">
                          <a:avLst>
                            <a:gd name="adj" fmla="val 16667"/>
                          </a:avLst>
                        </a:prstGeom>
                        <a:solidFill>
                          <a:srgbClr val="FFFFFF"/>
                        </a:solidFill>
                        <a:ln w="9525">
                          <a:solidFill>
                            <a:srgbClr val="000000"/>
                          </a:solidFill>
                          <a:round/>
                        </a:ln>
                      </wps:spPr>
                      <wps:txbx>
                        <w:txbxContent>
                          <w:p>
                            <w:pPr>
                              <w:jc w:val="center"/>
                            </w:pPr>
                            <w:r>
                              <w:rPr>
                                <w:rFonts w:hint="eastAsia"/>
                              </w:rPr>
                              <w:t>形成临床评价报告，完成临床评价</w:t>
                            </w:r>
                          </w:p>
                        </w:txbxContent>
                      </wps:txbx>
                      <wps:bodyPr rot="0" vert="horz" wrap="square" lIns="91440" tIns="45720" rIns="91440" bIns="45720" anchor="t" anchorCtr="0" upright="1">
                        <a:noAutofit/>
                      </wps:bodyPr>
                    </wps:wsp>
                  </a:graphicData>
                </a:graphic>
              </wp:anchor>
            </w:drawing>
          </mc:Choice>
          <mc:Fallback>
            <w:pict>
              <v:roundrect id="AutoShape 8" o:spid="_x0000_s1026" o:spt="2" style="position:absolute;left:0pt;margin-left:153.05pt;margin-top:16.95pt;height:40.75pt;width:126.4pt;z-index:251662336;mso-width-relative:page;mso-height-relative:page;" fillcolor="#FFFFFF" filled="t" stroked="t" coordsize="21600,21600" arcsize="0.166666666666667" o:gfxdata="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u1vm21QAAAAoBAAAPAAAAAAAAAAEAIAAAACIAAABkcnMvZG93&#10;bnJldi54bWxQSwECFAAUAAAACACHTuJAoAHI3DwCAACiBAAADgAAAAAAAAABACAAAAAkAQAAZHJz&#10;L2Uyb0RvYy54bWxQSwUGAAAAAAYABgBZAQAA0gUAAAAA&#10;">
                <v:fill on="t" focussize="0,0"/>
                <v:stroke color="#000000" joinstyle="round"/>
                <v:imagedata o:title=""/>
                <o:lock v:ext="edit" aspectratio="f"/>
                <v:textbox>
                  <w:txbxContent>
                    <w:p>
                      <w:pPr>
                        <w:jc w:val="center"/>
                      </w:pPr>
                      <w:r>
                        <w:rPr>
                          <w:rFonts w:hint="eastAsia"/>
                        </w:rPr>
                        <w:t>形成临床评价报告，完成临床评价</w:t>
                      </w:r>
                    </w:p>
                  </w:txbxContent>
                </v:textbox>
              </v:roundrect>
            </w:pict>
          </mc:Fallback>
        </mc:AlternateContent>
      </w: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pPr>
        <w:overflowPunct w:val="0"/>
        <w:spacing w:line="560" w:lineRule="exact"/>
        <w:jc w:val="left"/>
        <w:outlineLvl w:val="0"/>
        <w:rPr>
          <w:rFonts w:ascii="Times New Roman" w:hAnsi="Times New Roman" w:eastAsia="黑体" w:cs="Times New Roman"/>
          <w:bCs/>
          <w:color w:val="000000" w:themeColor="text1"/>
          <w:kern w:val="44"/>
          <w:sz w:val="32"/>
          <w:szCs w:val="32"/>
          <w14:textFill>
            <w14:solidFill>
              <w14:schemeClr w14:val="tx1"/>
            </w14:solidFill>
          </w14:textFill>
        </w:rPr>
      </w:pPr>
    </w:p>
    <w:p>
      <w:pPr>
        <w:pStyle w:val="2"/>
        <w:jc w:val="left"/>
        <w:rPr>
          <w:rFonts w:ascii="Times New Roman" w:hAnsi="Times New Roman" w:cs="Times New Roma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b/>
        <w:bCs/>
        <w:sz w:val="24"/>
        <w:szCs w:val="24"/>
      </w:rPr>
      <w:id w:val="1385605663"/>
    </w:sdtPr>
    <w:sdtEndPr>
      <w:rPr>
        <w:rFonts w:ascii="Times New Roman" w:hAnsi="Times New Roman" w:cs="Times New Roman"/>
        <w:b/>
        <w:bCs/>
        <w:sz w:val="24"/>
        <w:szCs w:val="24"/>
      </w:rPr>
    </w:sdtEndPr>
    <w:sdtContent>
      <w:sdt>
        <w:sdtPr>
          <w:rPr>
            <w:rFonts w:ascii="Times New Roman" w:hAnsi="Times New Roman" w:cs="Times New Roman"/>
            <w:b/>
            <w:bCs/>
            <w:sz w:val="24"/>
            <w:szCs w:val="24"/>
          </w:rPr>
          <w:id w:val="-869532990"/>
        </w:sdtPr>
        <w:sdtEndPr>
          <w:rPr>
            <w:rFonts w:ascii="Times New Roman" w:hAnsi="Times New Roman" w:cs="Times New Roman"/>
            <w:b/>
            <w:bCs/>
            <w:sz w:val="24"/>
            <w:szCs w:val="24"/>
          </w:rPr>
        </w:sdtEndPr>
        <w:sdtContent>
          <w:p>
            <w:pPr>
              <w:pStyle w:val="6"/>
              <w:ind w:firstLine="420"/>
              <w:jc w:val="center"/>
              <w:rPr>
                <w:rFonts w:ascii="Times New Roman" w:hAnsi="Times New Roman" w:cs="Times New Roman"/>
                <w:b/>
                <w:bCs/>
                <w:sz w:val="28"/>
                <w:szCs w:val="28"/>
              </w:rPr>
            </w:pPr>
            <w:r>
              <w:rPr>
                <w:rFonts w:ascii="Times New Roman" w:hAnsi="Times New Roman" w:cs="Times New Roman"/>
                <w:b/>
                <w:bCs/>
                <w:sz w:val="24"/>
                <w:szCs w:val="24"/>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w:t>
            </w:r>
            <w:r>
              <w:rPr>
                <w:rFonts w:ascii="Times New Roman" w:hAnsi="Times New Roman" w:cs="Times New Roman"/>
                <w:b/>
                <w:bCs/>
                <w:sz w:val="24"/>
                <w:szCs w:val="24"/>
              </w:rPr>
              <w:fldChar w:fldCharType="end"/>
            </w:r>
            <w:r>
              <w:rPr>
                <w:rFonts w:ascii="Times New Roman" w:hAnsi="Times New Roman" w:cs="Times New Roman"/>
                <w:b/>
                <w:bCs/>
                <w:sz w:val="24"/>
                <w:szCs w:val="24"/>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16</w:t>
            </w:r>
            <w:r>
              <w:rPr>
                <w:rFonts w:ascii="Times New Roman" w:hAnsi="Times New Roman" w:cs="Times New Roman"/>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031B5"/>
    <w:rsid w:val="000A4AF0"/>
    <w:rsid w:val="000B5CD8"/>
    <w:rsid w:val="00165353"/>
    <w:rsid w:val="001837F8"/>
    <w:rsid w:val="001956B3"/>
    <w:rsid w:val="001A0DF6"/>
    <w:rsid w:val="001B3C0B"/>
    <w:rsid w:val="001B6998"/>
    <w:rsid w:val="001C72F5"/>
    <w:rsid w:val="001D01C9"/>
    <w:rsid w:val="001E7BD6"/>
    <w:rsid w:val="00206DAE"/>
    <w:rsid w:val="00207EDF"/>
    <w:rsid w:val="002508C5"/>
    <w:rsid w:val="00272030"/>
    <w:rsid w:val="00277DA3"/>
    <w:rsid w:val="00285970"/>
    <w:rsid w:val="002B4B98"/>
    <w:rsid w:val="002B6C74"/>
    <w:rsid w:val="00314577"/>
    <w:rsid w:val="003A347C"/>
    <w:rsid w:val="003D2567"/>
    <w:rsid w:val="003E5AB4"/>
    <w:rsid w:val="004324B3"/>
    <w:rsid w:val="004878B6"/>
    <w:rsid w:val="004909FD"/>
    <w:rsid w:val="00493E99"/>
    <w:rsid w:val="004A6A91"/>
    <w:rsid w:val="004B4893"/>
    <w:rsid w:val="00502F42"/>
    <w:rsid w:val="00550276"/>
    <w:rsid w:val="00563DC5"/>
    <w:rsid w:val="00564722"/>
    <w:rsid w:val="00580580"/>
    <w:rsid w:val="005873B2"/>
    <w:rsid w:val="00590AB2"/>
    <w:rsid w:val="00594C18"/>
    <w:rsid w:val="005B611F"/>
    <w:rsid w:val="005C5354"/>
    <w:rsid w:val="005D6B93"/>
    <w:rsid w:val="005F75F2"/>
    <w:rsid w:val="00605C84"/>
    <w:rsid w:val="00633CF1"/>
    <w:rsid w:val="006676E7"/>
    <w:rsid w:val="0067013B"/>
    <w:rsid w:val="006D5B16"/>
    <w:rsid w:val="00707616"/>
    <w:rsid w:val="007414D2"/>
    <w:rsid w:val="00752268"/>
    <w:rsid w:val="007D644E"/>
    <w:rsid w:val="007D6AB0"/>
    <w:rsid w:val="007D748D"/>
    <w:rsid w:val="007E3A0C"/>
    <w:rsid w:val="008D08AF"/>
    <w:rsid w:val="008D6525"/>
    <w:rsid w:val="008E7848"/>
    <w:rsid w:val="00925381"/>
    <w:rsid w:val="00936095"/>
    <w:rsid w:val="00967318"/>
    <w:rsid w:val="00A22275"/>
    <w:rsid w:val="00A33A71"/>
    <w:rsid w:val="00A5175B"/>
    <w:rsid w:val="00A91B23"/>
    <w:rsid w:val="00A92B3D"/>
    <w:rsid w:val="00A93F53"/>
    <w:rsid w:val="00B006EC"/>
    <w:rsid w:val="00B44553"/>
    <w:rsid w:val="00B66720"/>
    <w:rsid w:val="00B7405E"/>
    <w:rsid w:val="00B740C7"/>
    <w:rsid w:val="00BB0AEE"/>
    <w:rsid w:val="00BD2621"/>
    <w:rsid w:val="00C045D8"/>
    <w:rsid w:val="00C26412"/>
    <w:rsid w:val="00C30606"/>
    <w:rsid w:val="00C32FE7"/>
    <w:rsid w:val="00C5190A"/>
    <w:rsid w:val="00CB0BEB"/>
    <w:rsid w:val="00CC06A9"/>
    <w:rsid w:val="00CC3B27"/>
    <w:rsid w:val="00CC3CFB"/>
    <w:rsid w:val="00CE6D25"/>
    <w:rsid w:val="00CF5805"/>
    <w:rsid w:val="00D1205D"/>
    <w:rsid w:val="00D303BB"/>
    <w:rsid w:val="00D45919"/>
    <w:rsid w:val="00DB60E5"/>
    <w:rsid w:val="00DC379B"/>
    <w:rsid w:val="00DC38A2"/>
    <w:rsid w:val="00DC6D9E"/>
    <w:rsid w:val="00DE0185"/>
    <w:rsid w:val="00E0132E"/>
    <w:rsid w:val="00E01410"/>
    <w:rsid w:val="00E37629"/>
    <w:rsid w:val="00E53CA5"/>
    <w:rsid w:val="00E73965"/>
    <w:rsid w:val="00E77C90"/>
    <w:rsid w:val="00E91B2B"/>
    <w:rsid w:val="00EA3B45"/>
    <w:rsid w:val="00EB3637"/>
    <w:rsid w:val="00EC7309"/>
    <w:rsid w:val="00EE26EF"/>
    <w:rsid w:val="00EE698F"/>
    <w:rsid w:val="00EE6CCB"/>
    <w:rsid w:val="00EF5F9A"/>
    <w:rsid w:val="00F017DC"/>
    <w:rsid w:val="00F529E4"/>
    <w:rsid w:val="00F77214"/>
    <w:rsid w:val="00FA2E1B"/>
    <w:rsid w:val="00FD44BD"/>
    <w:rsid w:val="00FE286D"/>
    <w:rsid w:val="0109516C"/>
    <w:rsid w:val="010C2610"/>
    <w:rsid w:val="011B4B57"/>
    <w:rsid w:val="01207FDD"/>
    <w:rsid w:val="012E628C"/>
    <w:rsid w:val="013F76A1"/>
    <w:rsid w:val="014C6F3D"/>
    <w:rsid w:val="014F3FC0"/>
    <w:rsid w:val="016F5902"/>
    <w:rsid w:val="01946781"/>
    <w:rsid w:val="01A22751"/>
    <w:rsid w:val="01B84D0D"/>
    <w:rsid w:val="01BC15AC"/>
    <w:rsid w:val="01D4112C"/>
    <w:rsid w:val="01E87439"/>
    <w:rsid w:val="0200182A"/>
    <w:rsid w:val="0206068C"/>
    <w:rsid w:val="02171BEA"/>
    <w:rsid w:val="022619B0"/>
    <w:rsid w:val="024E438B"/>
    <w:rsid w:val="02570DDA"/>
    <w:rsid w:val="0262703B"/>
    <w:rsid w:val="028E306B"/>
    <w:rsid w:val="02A30807"/>
    <w:rsid w:val="02B15D9D"/>
    <w:rsid w:val="02C36C5A"/>
    <w:rsid w:val="030756AD"/>
    <w:rsid w:val="03397323"/>
    <w:rsid w:val="03532495"/>
    <w:rsid w:val="0355279F"/>
    <w:rsid w:val="0358559A"/>
    <w:rsid w:val="035A439B"/>
    <w:rsid w:val="037F7621"/>
    <w:rsid w:val="038A7DFE"/>
    <w:rsid w:val="0390516E"/>
    <w:rsid w:val="03B33CE5"/>
    <w:rsid w:val="03BE22F8"/>
    <w:rsid w:val="03D2045B"/>
    <w:rsid w:val="03FC4857"/>
    <w:rsid w:val="040E4D75"/>
    <w:rsid w:val="043960EE"/>
    <w:rsid w:val="04536D2D"/>
    <w:rsid w:val="045615DF"/>
    <w:rsid w:val="046549B5"/>
    <w:rsid w:val="046A08B5"/>
    <w:rsid w:val="04820A14"/>
    <w:rsid w:val="048D72FB"/>
    <w:rsid w:val="049F3F18"/>
    <w:rsid w:val="04D21F92"/>
    <w:rsid w:val="04E71AC8"/>
    <w:rsid w:val="050E3679"/>
    <w:rsid w:val="054808C0"/>
    <w:rsid w:val="054F3624"/>
    <w:rsid w:val="05573426"/>
    <w:rsid w:val="05657318"/>
    <w:rsid w:val="05A926D6"/>
    <w:rsid w:val="05CF226E"/>
    <w:rsid w:val="05D11C93"/>
    <w:rsid w:val="06094992"/>
    <w:rsid w:val="06341F29"/>
    <w:rsid w:val="064020B8"/>
    <w:rsid w:val="064029E3"/>
    <w:rsid w:val="064E1C81"/>
    <w:rsid w:val="06590FD0"/>
    <w:rsid w:val="066B4998"/>
    <w:rsid w:val="06A37AFB"/>
    <w:rsid w:val="06B101C6"/>
    <w:rsid w:val="07093495"/>
    <w:rsid w:val="070E2FCF"/>
    <w:rsid w:val="074E47DD"/>
    <w:rsid w:val="07501D8F"/>
    <w:rsid w:val="079B72DE"/>
    <w:rsid w:val="07C75F19"/>
    <w:rsid w:val="07C83899"/>
    <w:rsid w:val="07CA4D4E"/>
    <w:rsid w:val="07CE5F61"/>
    <w:rsid w:val="07CF4EB3"/>
    <w:rsid w:val="07EE75CF"/>
    <w:rsid w:val="07FE463F"/>
    <w:rsid w:val="082C045E"/>
    <w:rsid w:val="0848130F"/>
    <w:rsid w:val="08605A8F"/>
    <w:rsid w:val="086429C7"/>
    <w:rsid w:val="086C718F"/>
    <w:rsid w:val="088812CB"/>
    <w:rsid w:val="08934724"/>
    <w:rsid w:val="08B5444C"/>
    <w:rsid w:val="08C50679"/>
    <w:rsid w:val="08CC33C6"/>
    <w:rsid w:val="08D52B10"/>
    <w:rsid w:val="08EA3DF0"/>
    <w:rsid w:val="08F6777A"/>
    <w:rsid w:val="090438EF"/>
    <w:rsid w:val="09053B20"/>
    <w:rsid w:val="0945589B"/>
    <w:rsid w:val="09526571"/>
    <w:rsid w:val="095513AF"/>
    <w:rsid w:val="096C0FF4"/>
    <w:rsid w:val="0983152E"/>
    <w:rsid w:val="098366F0"/>
    <w:rsid w:val="098767DF"/>
    <w:rsid w:val="099956B2"/>
    <w:rsid w:val="09BA74F7"/>
    <w:rsid w:val="09BD22F5"/>
    <w:rsid w:val="09BF2B74"/>
    <w:rsid w:val="09E45CF4"/>
    <w:rsid w:val="0A2B5127"/>
    <w:rsid w:val="0A2F4430"/>
    <w:rsid w:val="0A64790D"/>
    <w:rsid w:val="0A7E4F16"/>
    <w:rsid w:val="0A9465F6"/>
    <w:rsid w:val="0AA4384D"/>
    <w:rsid w:val="0AA53728"/>
    <w:rsid w:val="0AAB4E04"/>
    <w:rsid w:val="0ABE0949"/>
    <w:rsid w:val="0ABF378D"/>
    <w:rsid w:val="0AD11041"/>
    <w:rsid w:val="0AD430A9"/>
    <w:rsid w:val="0ADB7D3B"/>
    <w:rsid w:val="0AE8688F"/>
    <w:rsid w:val="0B0E74F7"/>
    <w:rsid w:val="0B234E23"/>
    <w:rsid w:val="0B3E17AE"/>
    <w:rsid w:val="0B4137C8"/>
    <w:rsid w:val="0B4B3781"/>
    <w:rsid w:val="0B4E4754"/>
    <w:rsid w:val="0B642AF1"/>
    <w:rsid w:val="0B7A58CB"/>
    <w:rsid w:val="0B7D4090"/>
    <w:rsid w:val="0B7E7CA6"/>
    <w:rsid w:val="0B913A8C"/>
    <w:rsid w:val="0BA15E3C"/>
    <w:rsid w:val="0BA52E9F"/>
    <w:rsid w:val="0BCD4F16"/>
    <w:rsid w:val="0BDC6DAF"/>
    <w:rsid w:val="0BEB2AA1"/>
    <w:rsid w:val="0BFC7742"/>
    <w:rsid w:val="0C017B67"/>
    <w:rsid w:val="0C6F3D80"/>
    <w:rsid w:val="0C7E091E"/>
    <w:rsid w:val="0C8C5123"/>
    <w:rsid w:val="0C8F1060"/>
    <w:rsid w:val="0C98508B"/>
    <w:rsid w:val="0C9F295B"/>
    <w:rsid w:val="0CAD5655"/>
    <w:rsid w:val="0CBD255F"/>
    <w:rsid w:val="0CCA7F4D"/>
    <w:rsid w:val="0CD31567"/>
    <w:rsid w:val="0CDD0426"/>
    <w:rsid w:val="0D48119C"/>
    <w:rsid w:val="0D531A75"/>
    <w:rsid w:val="0D717582"/>
    <w:rsid w:val="0D8C083D"/>
    <w:rsid w:val="0DB917D0"/>
    <w:rsid w:val="0DBA0438"/>
    <w:rsid w:val="0DBB0CF2"/>
    <w:rsid w:val="0DC81507"/>
    <w:rsid w:val="0DC906E8"/>
    <w:rsid w:val="0DD32CC6"/>
    <w:rsid w:val="0DD94F1B"/>
    <w:rsid w:val="0DEF6A0B"/>
    <w:rsid w:val="0E213AE2"/>
    <w:rsid w:val="0E2469A1"/>
    <w:rsid w:val="0E272C49"/>
    <w:rsid w:val="0E38186C"/>
    <w:rsid w:val="0E584FD7"/>
    <w:rsid w:val="0E587C39"/>
    <w:rsid w:val="0EBB2C6F"/>
    <w:rsid w:val="0EC42168"/>
    <w:rsid w:val="0EC54658"/>
    <w:rsid w:val="0ECD52D4"/>
    <w:rsid w:val="0EDF3A50"/>
    <w:rsid w:val="0EE131CA"/>
    <w:rsid w:val="0F073137"/>
    <w:rsid w:val="0F1C471D"/>
    <w:rsid w:val="0F49753A"/>
    <w:rsid w:val="0F4A7471"/>
    <w:rsid w:val="0F537FA7"/>
    <w:rsid w:val="0F60162F"/>
    <w:rsid w:val="0F7B3043"/>
    <w:rsid w:val="0F940298"/>
    <w:rsid w:val="0FAF242F"/>
    <w:rsid w:val="0FCD1D1D"/>
    <w:rsid w:val="0FCD601E"/>
    <w:rsid w:val="0FDD7414"/>
    <w:rsid w:val="0FEC3BA8"/>
    <w:rsid w:val="0FFE638C"/>
    <w:rsid w:val="10034171"/>
    <w:rsid w:val="100E0772"/>
    <w:rsid w:val="101023C3"/>
    <w:rsid w:val="101828F2"/>
    <w:rsid w:val="10480AAD"/>
    <w:rsid w:val="10484B71"/>
    <w:rsid w:val="10531B6A"/>
    <w:rsid w:val="10575CCA"/>
    <w:rsid w:val="10650F9A"/>
    <w:rsid w:val="106A4C39"/>
    <w:rsid w:val="1097070E"/>
    <w:rsid w:val="10987776"/>
    <w:rsid w:val="109C320A"/>
    <w:rsid w:val="10B555B8"/>
    <w:rsid w:val="10CC4646"/>
    <w:rsid w:val="10D032CA"/>
    <w:rsid w:val="10D11CB2"/>
    <w:rsid w:val="10D35EBC"/>
    <w:rsid w:val="11037108"/>
    <w:rsid w:val="11093031"/>
    <w:rsid w:val="11130A05"/>
    <w:rsid w:val="111572B8"/>
    <w:rsid w:val="111612BF"/>
    <w:rsid w:val="113856E6"/>
    <w:rsid w:val="113D7E72"/>
    <w:rsid w:val="114710AF"/>
    <w:rsid w:val="11561C19"/>
    <w:rsid w:val="117832E1"/>
    <w:rsid w:val="117B662D"/>
    <w:rsid w:val="1193343E"/>
    <w:rsid w:val="11C50394"/>
    <w:rsid w:val="11E3198C"/>
    <w:rsid w:val="12006F13"/>
    <w:rsid w:val="121216A9"/>
    <w:rsid w:val="122009AB"/>
    <w:rsid w:val="122F3DE6"/>
    <w:rsid w:val="123445EB"/>
    <w:rsid w:val="12511FF2"/>
    <w:rsid w:val="12676FCB"/>
    <w:rsid w:val="12AA1DED"/>
    <w:rsid w:val="12B35651"/>
    <w:rsid w:val="12B855FD"/>
    <w:rsid w:val="12B94551"/>
    <w:rsid w:val="12BB58FE"/>
    <w:rsid w:val="12BF7A40"/>
    <w:rsid w:val="12C2135E"/>
    <w:rsid w:val="13364AD0"/>
    <w:rsid w:val="134038B9"/>
    <w:rsid w:val="134111F6"/>
    <w:rsid w:val="134F542C"/>
    <w:rsid w:val="1367789E"/>
    <w:rsid w:val="13732CE5"/>
    <w:rsid w:val="1374390B"/>
    <w:rsid w:val="13B0128A"/>
    <w:rsid w:val="13BF3378"/>
    <w:rsid w:val="13C60442"/>
    <w:rsid w:val="142A17B7"/>
    <w:rsid w:val="14311FDD"/>
    <w:rsid w:val="14492C4B"/>
    <w:rsid w:val="147245E9"/>
    <w:rsid w:val="14853B54"/>
    <w:rsid w:val="148E50B0"/>
    <w:rsid w:val="14A67398"/>
    <w:rsid w:val="14A8755C"/>
    <w:rsid w:val="14AF7F5C"/>
    <w:rsid w:val="14B10E40"/>
    <w:rsid w:val="14DA19DE"/>
    <w:rsid w:val="14E17E0F"/>
    <w:rsid w:val="14EA7C55"/>
    <w:rsid w:val="1501250D"/>
    <w:rsid w:val="150D5F89"/>
    <w:rsid w:val="150E6FB7"/>
    <w:rsid w:val="151A0A23"/>
    <w:rsid w:val="154076DF"/>
    <w:rsid w:val="154F1387"/>
    <w:rsid w:val="155D18B7"/>
    <w:rsid w:val="1561352D"/>
    <w:rsid w:val="15643BB2"/>
    <w:rsid w:val="15810901"/>
    <w:rsid w:val="15831E24"/>
    <w:rsid w:val="159E56A5"/>
    <w:rsid w:val="15AB4C62"/>
    <w:rsid w:val="15C77A3A"/>
    <w:rsid w:val="15D6255B"/>
    <w:rsid w:val="15DC1264"/>
    <w:rsid w:val="15E87446"/>
    <w:rsid w:val="15F01A61"/>
    <w:rsid w:val="15FA3EF2"/>
    <w:rsid w:val="15FE73D9"/>
    <w:rsid w:val="160426EA"/>
    <w:rsid w:val="160E5755"/>
    <w:rsid w:val="16113A6D"/>
    <w:rsid w:val="161552BB"/>
    <w:rsid w:val="16400BCA"/>
    <w:rsid w:val="16564584"/>
    <w:rsid w:val="1668312E"/>
    <w:rsid w:val="166C094D"/>
    <w:rsid w:val="167033DE"/>
    <w:rsid w:val="167F3F3D"/>
    <w:rsid w:val="169879DC"/>
    <w:rsid w:val="169F48ED"/>
    <w:rsid w:val="16B33413"/>
    <w:rsid w:val="16B4378D"/>
    <w:rsid w:val="16C22DC9"/>
    <w:rsid w:val="16F36825"/>
    <w:rsid w:val="16F833AC"/>
    <w:rsid w:val="16FA3E2D"/>
    <w:rsid w:val="170E12D3"/>
    <w:rsid w:val="17154F9B"/>
    <w:rsid w:val="171D116A"/>
    <w:rsid w:val="17274AE3"/>
    <w:rsid w:val="172F492B"/>
    <w:rsid w:val="17311550"/>
    <w:rsid w:val="173838B9"/>
    <w:rsid w:val="17387827"/>
    <w:rsid w:val="173B46FE"/>
    <w:rsid w:val="17526A44"/>
    <w:rsid w:val="175D7ABE"/>
    <w:rsid w:val="176223E7"/>
    <w:rsid w:val="17780530"/>
    <w:rsid w:val="178B43F2"/>
    <w:rsid w:val="17B009C9"/>
    <w:rsid w:val="17D870AB"/>
    <w:rsid w:val="17DF1406"/>
    <w:rsid w:val="17F10C08"/>
    <w:rsid w:val="180500B4"/>
    <w:rsid w:val="184202A9"/>
    <w:rsid w:val="18507BB8"/>
    <w:rsid w:val="18704480"/>
    <w:rsid w:val="187E3BF0"/>
    <w:rsid w:val="189800D9"/>
    <w:rsid w:val="18A7366B"/>
    <w:rsid w:val="18B679CF"/>
    <w:rsid w:val="18BB013C"/>
    <w:rsid w:val="18E22A07"/>
    <w:rsid w:val="19152382"/>
    <w:rsid w:val="19197A82"/>
    <w:rsid w:val="19325F27"/>
    <w:rsid w:val="19393561"/>
    <w:rsid w:val="193F74A7"/>
    <w:rsid w:val="1950316C"/>
    <w:rsid w:val="195B6D12"/>
    <w:rsid w:val="199208C8"/>
    <w:rsid w:val="19F55688"/>
    <w:rsid w:val="19F73982"/>
    <w:rsid w:val="1A10599B"/>
    <w:rsid w:val="1A125D6F"/>
    <w:rsid w:val="1A2D6D20"/>
    <w:rsid w:val="1A3741C5"/>
    <w:rsid w:val="1A4055FA"/>
    <w:rsid w:val="1A575A41"/>
    <w:rsid w:val="1A6E45F8"/>
    <w:rsid w:val="1A773737"/>
    <w:rsid w:val="1A84691F"/>
    <w:rsid w:val="1A9D73EF"/>
    <w:rsid w:val="1AA7536F"/>
    <w:rsid w:val="1AA962C6"/>
    <w:rsid w:val="1AB324C3"/>
    <w:rsid w:val="1AB85CDE"/>
    <w:rsid w:val="1ABB7A0C"/>
    <w:rsid w:val="1ADA571F"/>
    <w:rsid w:val="1AE75F10"/>
    <w:rsid w:val="1AED6EE1"/>
    <w:rsid w:val="1AFD46C0"/>
    <w:rsid w:val="1B174977"/>
    <w:rsid w:val="1B4A2A79"/>
    <w:rsid w:val="1B662A69"/>
    <w:rsid w:val="1B6B06EA"/>
    <w:rsid w:val="1B706A11"/>
    <w:rsid w:val="1B7103C6"/>
    <w:rsid w:val="1B7F354D"/>
    <w:rsid w:val="1B9F0147"/>
    <w:rsid w:val="1BAE6A01"/>
    <w:rsid w:val="1BC118AC"/>
    <w:rsid w:val="1BDB6BE0"/>
    <w:rsid w:val="1BF065D9"/>
    <w:rsid w:val="1BFE0A89"/>
    <w:rsid w:val="1C145728"/>
    <w:rsid w:val="1C3201D3"/>
    <w:rsid w:val="1C354AF8"/>
    <w:rsid w:val="1C4742B1"/>
    <w:rsid w:val="1C4A3EDF"/>
    <w:rsid w:val="1C5F2DAF"/>
    <w:rsid w:val="1C6B1F1E"/>
    <w:rsid w:val="1C720299"/>
    <w:rsid w:val="1C80545A"/>
    <w:rsid w:val="1C834919"/>
    <w:rsid w:val="1C881B27"/>
    <w:rsid w:val="1C8E3FF4"/>
    <w:rsid w:val="1C984199"/>
    <w:rsid w:val="1CB8018D"/>
    <w:rsid w:val="1CEA31B8"/>
    <w:rsid w:val="1CF20A04"/>
    <w:rsid w:val="1D1106BC"/>
    <w:rsid w:val="1D234F63"/>
    <w:rsid w:val="1D3B2CEB"/>
    <w:rsid w:val="1D563282"/>
    <w:rsid w:val="1D5C47A7"/>
    <w:rsid w:val="1D5E60CD"/>
    <w:rsid w:val="1D7634C6"/>
    <w:rsid w:val="1D7845D7"/>
    <w:rsid w:val="1D824BF0"/>
    <w:rsid w:val="1D9A536B"/>
    <w:rsid w:val="1DB433DE"/>
    <w:rsid w:val="1DD16FE3"/>
    <w:rsid w:val="1DDF3402"/>
    <w:rsid w:val="1DEE6077"/>
    <w:rsid w:val="1DF754AC"/>
    <w:rsid w:val="1E0105F2"/>
    <w:rsid w:val="1E042A20"/>
    <w:rsid w:val="1E0B420B"/>
    <w:rsid w:val="1E277B9D"/>
    <w:rsid w:val="1E3B7181"/>
    <w:rsid w:val="1E4A39E4"/>
    <w:rsid w:val="1E4B79F9"/>
    <w:rsid w:val="1E5B512B"/>
    <w:rsid w:val="1E5C3D9F"/>
    <w:rsid w:val="1E5D1B2E"/>
    <w:rsid w:val="1E7F261A"/>
    <w:rsid w:val="1E9B71C4"/>
    <w:rsid w:val="1EBA22C4"/>
    <w:rsid w:val="1ECB287F"/>
    <w:rsid w:val="1ED3534B"/>
    <w:rsid w:val="1EDA478E"/>
    <w:rsid w:val="1EE64A59"/>
    <w:rsid w:val="1EF71537"/>
    <w:rsid w:val="1F375F76"/>
    <w:rsid w:val="1F3A3F84"/>
    <w:rsid w:val="1F3B6C7E"/>
    <w:rsid w:val="1F4D1CAB"/>
    <w:rsid w:val="1F624707"/>
    <w:rsid w:val="1F637958"/>
    <w:rsid w:val="1F704891"/>
    <w:rsid w:val="1F940883"/>
    <w:rsid w:val="1F967825"/>
    <w:rsid w:val="1FA3475D"/>
    <w:rsid w:val="1FAD42BF"/>
    <w:rsid w:val="1FB46FD8"/>
    <w:rsid w:val="1FB60379"/>
    <w:rsid w:val="1FBE3FF8"/>
    <w:rsid w:val="1FDF4550"/>
    <w:rsid w:val="202738B1"/>
    <w:rsid w:val="202C036D"/>
    <w:rsid w:val="20374403"/>
    <w:rsid w:val="20426214"/>
    <w:rsid w:val="205638BA"/>
    <w:rsid w:val="20654810"/>
    <w:rsid w:val="2067221F"/>
    <w:rsid w:val="207B5C33"/>
    <w:rsid w:val="20837804"/>
    <w:rsid w:val="20892262"/>
    <w:rsid w:val="20921809"/>
    <w:rsid w:val="209F0212"/>
    <w:rsid w:val="20B21D71"/>
    <w:rsid w:val="20B32BAC"/>
    <w:rsid w:val="20B5626C"/>
    <w:rsid w:val="20BC350C"/>
    <w:rsid w:val="20C15A95"/>
    <w:rsid w:val="20C7732C"/>
    <w:rsid w:val="20D424F1"/>
    <w:rsid w:val="20E34901"/>
    <w:rsid w:val="20E60A0B"/>
    <w:rsid w:val="20F91BA2"/>
    <w:rsid w:val="212474B4"/>
    <w:rsid w:val="21332172"/>
    <w:rsid w:val="21684BD9"/>
    <w:rsid w:val="21817D4A"/>
    <w:rsid w:val="21CC7134"/>
    <w:rsid w:val="21E4684D"/>
    <w:rsid w:val="220E6C78"/>
    <w:rsid w:val="224B1B28"/>
    <w:rsid w:val="226B13AC"/>
    <w:rsid w:val="227E2386"/>
    <w:rsid w:val="22B735BA"/>
    <w:rsid w:val="22BF2AAF"/>
    <w:rsid w:val="22DB6DED"/>
    <w:rsid w:val="22E27535"/>
    <w:rsid w:val="22E973BF"/>
    <w:rsid w:val="22F1290F"/>
    <w:rsid w:val="230F072F"/>
    <w:rsid w:val="232C440D"/>
    <w:rsid w:val="232F57E8"/>
    <w:rsid w:val="23346418"/>
    <w:rsid w:val="233A5F62"/>
    <w:rsid w:val="23664E25"/>
    <w:rsid w:val="236E1CC3"/>
    <w:rsid w:val="2372224F"/>
    <w:rsid w:val="23747B4D"/>
    <w:rsid w:val="239641A2"/>
    <w:rsid w:val="239A5321"/>
    <w:rsid w:val="239E5523"/>
    <w:rsid w:val="239F1225"/>
    <w:rsid w:val="23A350AB"/>
    <w:rsid w:val="23BD35D7"/>
    <w:rsid w:val="23C56311"/>
    <w:rsid w:val="23C60A39"/>
    <w:rsid w:val="23C701E2"/>
    <w:rsid w:val="23DB3721"/>
    <w:rsid w:val="23DB7A50"/>
    <w:rsid w:val="23E9601C"/>
    <w:rsid w:val="23EB3C33"/>
    <w:rsid w:val="23FE379B"/>
    <w:rsid w:val="24102F0B"/>
    <w:rsid w:val="24341CA8"/>
    <w:rsid w:val="244A6E07"/>
    <w:rsid w:val="24583D70"/>
    <w:rsid w:val="24666026"/>
    <w:rsid w:val="246E3236"/>
    <w:rsid w:val="249D29D1"/>
    <w:rsid w:val="24B55F91"/>
    <w:rsid w:val="24C604E6"/>
    <w:rsid w:val="24D20FF9"/>
    <w:rsid w:val="24E20CF6"/>
    <w:rsid w:val="24E63C4F"/>
    <w:rsid w:val="24F938F4"/>
    <w:rsid w:val="25035884"/>
    <w:rsid w:val="253276F1"/>
    <w:rsid w:val="253A2884"/>
    <w:rsid w:val="25751F6E"/>
    <w:rsid w:val="25816ACF"/>
    <w:rsid w:val="258F1886"/>
    <w:rsid w:val="25B36D6E"/>
    <w:rsid w:val="25B53012"/>
    <w:rsid w:val="25DE181C"/>
    <w:rsid w:val="25EC0E8F"/>
    <w:rsid w:val="2601458D"/>
    <w:rsid w:val="26051704"/>
    <w:rsid w:val="26177E28"/>
    <w:rsid w:val="262830E6"/>
    <w:rsid w:val="262A16F4"/>
    <w:rsid w:val="2631258C"/>
    <w:rsid w:val="2653042D"/>
    <w:rsid w:val="26540923"/>
    <w:rsid w:val="26584E79"/>
    <w:rsid w:val="26617F36"/>
    <w:rsid w:val="26806B1F"/>
    <w:rsid w:val="26A050B9"/>
    <w:rsid w:val="26B72623"/>
    <w:rsid w:val="26C53B3E"/>
    <w:rsid w:val="26CB0117"/>
    <w:rsid w:val="26D3254A"/>
    <w:rsid w:val="26E37987"/>
    <w:rsid w:val="26E40BC9"/>
    <w:rsid w:val="272017C3"/>
    <w:rsid w:val="272F1F6A"/>
    <w:rsid w:val="274641DB"/>
    <w:rsid w:val="27656941"/>
    <w:rsid w:val="276D4EDF"/>
    <w:rsid w:val="277132EB"/>
    <w:rsid w:val="277E6541"/>
    <w:rsid w:val="280E38E1"/>
    <w:rsid w:val="282224B3"/>
    <w:rsid w:val="28241777"/>
    <w:rsid w:val="284B06C8"/>
    <w:rsid w:val="28562011"/>
    <w:rsid w:val="285D4C4A"/>
    <w:rsid w:val="2888232E"/>
    <w:rsid w:val="289867C7"/>
    <w:rsid w:val="289C1689"/>
    <w:rsid w:val="28A54732"/>
    <w:rsid w:val="28AE0075"/>
    <w:rsid w:val="28B752DD"/>
    <w:rsid w:val="28C27216"/>
    <w:rsid w:val="28C5358F"/>
    <w:rsid w:val="28C6025A"/>
    <w:rsid w:val="28E84002"/>
    <w:rsid w:val="28F4629F"/>
    <w:rsid w:val="290A196E"/>
    <w:rsid w:val="29130023"/>
    <w:rsid w:val="292909F3"/>
    <w:rsid w:val="29446C8F"/>
    <w:rsid w:val="294F7925"/>
    <w:rsid w:val="29565E4C"/>
    <w:rsid w:val="29586AE9"/>
    <w:rsid w:val="295C1508"/>
    <w:rsid w:val="29646D9D"/>
    <w:rsid w:val="296C4C86"/>
    <w:rsid w:val="29714B54"/>
    <w:rsid w:val="2971751F"/>
    <w:rsid w:val="297C0386"/>
    <w:rsid w:val="298A3A47"/>
    <w:rsid w:val="29EA39BA"/>
    <w:rsid w:val="2A12508A"/>
    <w:rsid w:val="2A1960CE"/>
    <w:rsid w:val="2A210F45"/>
    <w:rsid w:val="2A222E49"/>
    <w:rsid w:val="2A284A8B"/>
    <w:rsid w:val="2A3921C7"/>
    <w:rsid w:val="2A495697"/>
    <w:rsid w:val="2A4B6AB7"/>
    <w:rsid w:val="2A9C2F6C"/>
    <w:rsid w:val="2AA32C78"/>
    <w:rsid w:val="2AAD7FF0"/>
    <w:rsid w:val="2ACE6A61"/>
    <w:rsid w:val="2ADE5D1A"/>
    <w:rsid w:val="2AEE5978"/>
    <w:rsid w:val="2AFB1B6B"/>
    <w:rsid w:val="2AFC2C61"/>
    <w:rsid w:val="2B0E41FD"/>
    <w:rsid w:val="2B2A64FC"/>
    <w:rsid w:val="2B4D0F9B"/>
    <w:rsid w:val="2B614DEE"/>
    <w:rsid w:val="2B6A2A0F"/>
    <w:rsid w:val="2B810714"/>
    <w:rsid w:val="2B8A3CF0"/>
    <w:rsid w:val="2BA574CB"/>
    <w:rsid w:val="2BAB3C30"/>
    <w:rsid w:val="2BB30465"/>
    <w:rsid w:val="2BD56B86"/>
    <w:rsid w:val="2BD87314"/>
    <w:rsid w:val="2BDD4F94"/>
    <w:rsid w:val="2BE053EA"/>
    <w:rsid w:val="2BE32D29"/>
    <w:rsid w:val="2BF02344"/>
    <w:rsid w:val="2BFB2CDD"/>
    <w:rsid w:val="2BFC6147"/>
    <w:rsid w:val="2C1031B5"/>
    <w:rsid w:val="2C153D83"/>
    <w:rsid w:val="2C2D57F3"/>
    <w:rsid w:val="2C330651"/>
    <w:rsid w:val="2C54093B"/>
    <w:rsid w:val="2C6E4C61"/>
    <w:rsid w:val="2C7211DD"/>
    <w:rsid w:val="2C9752E5"/>
    <w:rsid w:val="2CBE216F"/>
    <w:rsid w:val="2CBE469F"/>
    <w:rsid w:val="2CCE3B44"/>
    <w:rsid w:val="2CE104BA"/>
    <w:rsid w:val="2CE54DCF"/>
    <w:rsid w:val="2CEC5E40"/>
    <w:rsid w:val="2CED2AFA"/>
    <w:rsid w:val="2CF2314A"/>
    <w:rsid w:val="2CF65F36"/>
    <w:rsid w:val="2CFC5604"/>
    <w:rsid w:val="2D2069B7"/>
    <w:rsid w:val="2D210E93"/>
    <w:rsid w:val="2D4A656B"/>
    <w:rsid w:val="2D54173C"/>
    <w:rsid w:val="2D666D4D"/>
    <w:rsid w:val="2D783C6D"/>
    <w:rsid w:val="2D91356F"/>
    <w:rsid w:val="2D9A154E"/>
    <w:rsid w:val="2DAC70AF"/>
    <w:rsid w:val="2DBA4F58"/>
    <w:rsid w:val="2E0E1E1C"/>
    <w:rsid w:val="2E18641B"/>
    <w:rsid w:val="2E3378F7"/>
    <w:rsid w:val="2E496385"/>
    <w:rsid w:val="2E4C173C"/>
    <w:rsid w:val="2E5E2545"/>
    <w:rsid w:val="2E627104"/>
    <w:rsid w:val="2E6C3D78"/>
    <w:rsid w:val="2E815114"/>
    <w:rsid w:val="2E8636FD"/>
    <w:rsid w:val="2EB2341A"/>
    <w:rsid w:val="2ECC1E72"/>
    <w:rsid w:val="2ECD2F28"/>
    <w:rsid w:val="2ECF3779"/>
    <w:rsid w:val="2EEB55F2"/>
    <w:rsid w:val="2EEE7B94"/>
    <w:rsid w:val="2EF5097F"/>
    <w:rsid w:val="2F0D5413"/>
    <w:rsid w:val="2F1348C2"/>
    <w:rsid w:val="2F3A7754"/>
    <w:rsid w:val="2F3D50C9"/>
    <w:rsid w:val="2F6227DB"/>
    <w:rsid w:val="2F712F6D"/>
    <w:rsid w:val="2F82576D"/>
    <w:rsid w:val="2FC673F5"/>
    <w:rsid w:val="2FCC6B14"/>
    <w:rsid w:val="2FE732FC"/>
    <w:rsid w:val="2FED6ED2"/>
    <w:rsid w:val="3016338A"/>
    <w:rsid w:val="3023014D"/>
    <w:rsid w:val="302B6545"/>
    <w:rsid w:val="30326D67"/>
    <w:rsid w:val="30444B41"/>
    <w:rsid w:val="305C38E8"/>
    <w:rsid w:val="305F5EDB"/>
    <w:rsid w:val="30D46BA9"/>
    <w:rsid w:val="30E35608"/>
    <w:rsid w:val="31187F60"/>
    <w:rsid w:val="31285238"/>
    <w:rsid w:val="31461573"/>
    <w:rsid w:val="31481BE5"/>
    <w:rsid w:val="31595EBC"/>
    <w:rsid w:val="316C3740"/>
    <w:rsid w:val="316C62BA"/>
    <w:rsid w:val="31825600"/>
    <w:rsid w:val="31FD3BE1"/>
    <w:rsid w:val="3201222B"/>
    <w:rsid w:val="323667A2"/>
    <w:rsid w:val="32413C72"/>
    <w:rsid w:val="32530349"/>
    <w:rsid w:val="3260667C"/>
    <w:rsid w:val="32821FF2"/>
    <w:rsid w:val="32CF09F0"/>
    <w:rsid w:val="32CF7F09"/>
    <w:rsid w:val="32E71801"/>
    <w:rsid w:val="32E82524"/>
    <w:rsid w:val="331E7334"/>
    <w:rsid w:val="33330910"/>
    <w:rsid w:val="333C1C3E"/>
    <w:rsid w:val="333C686E"/>
    <w:rsid w:val="33406F92"/>
    <w:rsid w:val="334E7D83"/>
    <w:rsid w:val="33A85808"/>
    <w:rsid w:val="33BD4CE3"/>
    <w:rsid w:val="33CC6306"/>
    <w:rsid w:val="33D42671"/>
    <w:rsid w:val="33D848D6"/>
    <w:rsid w:val="33DF6B04"/>
    <w:rsid w:val="343654ED"/>
    <w:rsid w:val="34374C1C"/>
    <w:rsid w:val="34482013"/>
    <w:rsid w:val="3451513D"/>
    <w:rsid w:val="34564B87"/>
    <w:rsid w:val="34581B8D"/>
    <w:rsid w:val="34637F70"/>
    <w:rsid w:val="34757FC4"/>
    <w:rsid w:val="34955962"/>
    <w:rsid w:val="34A931E1"/>
    <w:rsid w:val="34AD21C9"/>
    <w:rsid w:val="34BB157F"/>
    <w:rsid w:val="34C87A61"/>
    <w:rsid w:val="34E53DF3"/>
    <w:rsid w:val="35072AE5"/>
    <w:rsid w:val="35077F64"/>
    <w:rsid w:val="351712B6"/>
    <w:rsid w:val="353954A0"/>
    <w:rsid w:val="355E1257"/>
    <w:rsid w:val="35633A7B"/>
    <w:rsid w:val="35640F1C"/>
    <w:rsid w:val="35664026"/>
    <w:rsid w:val="35891C9A"/>
    <w:rsid w:val="358B73E6"/>
    <w:rsid w:val="3596250E"/>
    <w:rsid w:val="3597483E"/>
    <w:rsid w:val="359B74B2"/>
    <w:rsid w:val="35B76544"/>
    <w:rsid w:val="35C67225"/>
    <w:rsid w:val="35CA0BCD"/>
    <w:rsid w:val="35CA5473"/>
    <w:rsid w:val="35D47F19"/>
    <w:rsid w:val="35E63436"/>
    <w:rsid w:val="35FD3F2D"/>
    <w:rsid w:val="36141851"/>
    <w:rsid w:val="361447BD"/>
    <w:rsid w:val="363E240C"/>
    <w:rsid w:val="364823A9"/>
    <w:rsid w:val="364A4742"/>
    <w:rsid w:val="364C4EC8"/>
    <w:rsid w:val="365F3637"/>
    <w:rsid w:val="36630781"/>
    <w:rsid w:val="366C5322"/>
    <w:rsid w:val="367D457C"/>
    <w:rsid w:val="367F1996"/>
    <w:rsid w:val="368C4861"/>
    <w:rsid w:val="36940C3D"/>
    <w:rsid w:val="369D7E96"/>
    <w:rsid w:val="36A160DC"/>
    <w:rsid w:val="36C96797"/>
    <w:rsid w:val="36D4341D"/>
    <w:rsid w:val="36D755E5"/>
    <w:rsid w:val="36E33DD2"/>
    <w:rsid w:val="370007CF"/>
    <w:rsid w:val="37092A4F"/>
    <w:rsid w:val="37135221"/>
    <w:rsid w:val="371A0316"/>
    <w:rsid w:val="37223DE1"/>
    <w:rsid w:val="373833BF"/>
    <w:rsid w:val="374D49A1"/>
    <w:rsid w:val="375A69F9"/>
    <w:rsid w:val="37775D8B"/>
    <w:rsid w:val="378626CE"/>
    <w:rsid w:val="379C7942"/>
    <w:rsid w:val="37AC6A47"/>
    <w:rsid w:val="37AF518A"/>
    <w:rsid w:val="37B273F9"/>
    <w:rsid w:val="37B27A6C"/>
    <w:rsid w:val="37B85777"/>
    <w:rsid w:val="37C30708"/>
    <w:rsid w:val="37CF1F6A"/>
    <w:rsid w:val="37EA09DC"/>
    <w:rsid w:val="381F28AA"/>
    <w:rsid w:val="38215193"/>
    <w:rsid w:val="38364E64"/>
    <w:rsid w:val="38520E0E"/>
    <w:rsid w:val="387129DA"/>
    <w:rsid w:val="388A063F"/>
    <w:rsid w:val="388E4F7A"/>
    <w:rsid w:val="38A354AB"/>
    <w:rsid w:val="38AE640C"/>
    <w:rsid w:val="38B949D8"/>
    <w:rsid w:val="38FB7F57"/>
    <w:rsid w:val="39003B1F"/>
    <w:rsid w:val="39393738"/>
    <w:rsid w:val="395F1CE0"/>
    <w:rsid w:val="39632AB1"/>
    <w:rsid w:val="39652E7F"/>
    <w:rsid w:val="398B5229"/>
    <w:rsid w:val="39AF7F73"/>
    <w:rsid w:val="39B71FE7"/>
    <w:rsid w:val="39BC4CCE"/>
    <w:rsid w:val="39C61D74"/>
    <w:rsid w:val="39F01D5D"/>
    <w:rsid w:val="39F74F2E"/>
    <w:rsid w:val="3A0044DC"/>
    <w:rsid w:val="3A4B0390"/>
    <w:rsid w:val="3A540FBE"/>
    <w:rsid w:val="3A6862DE"/>
    <w:rsid w:val="3A7B2BEB"/>
    <w:rsid w:val="3A7E0E7E"/>
    <w:rsid w:val="3A8F6602"/>
    <w:rsid w:val="3AB9647C"/>
    <w:rsid w:val="3AE63FAA"/>
    <w:rsid w:val="3B036B9E"/>
    <w:rsid w:val="3B283FAF"/>
    <w:rsid w:val="3B5C0C3E"/>
    <w:rsid w:val="3BA135FF"/>
    <w:rsid w:val="3BAD213A"/>
    <w:rsid w:val="3BBE26AC"/>
    <w:rsid w:val="3BC9280A"/>
    <w:rsid w:val="3BEF4CC9"/>
    <w:rsid w:val="3C096DE3"/>
    <w:rsid w:val="3C4068C3"/>
    <w:rsid w:val="3C820B7D"/>
    <w:rsid w:val="3C914146"/>
    <w:rsid w:val="3CE12ED4"/>
    <w:rsid w:val="3CF347BA"/>
    <w:rsid w:val="3CFF09CB"/>
    <w:rsid w:val="3D1731C3"/>
    <w:rsid w:val="3D19216A"/>
    <w:rsid w:val="3D2F18EB"/>
    <w:rsid w:val="3D3B2DF6"/>
    <w:rsid w:val="3D49026B"/>
    <w:rsid w:val="3D5D0A11"/>
    <w:rsid w:val="3D6A3CA9"/>
    <w:rsid w:val="3D6F7A75"/>
    <w:rsid w:val="3D813AEA"/>
    <w:rsid w:val="3D915714"/>
    <w:rsid w:val="3DB611FE"/>
    <w:rsid w:val="3DBE6224"/>
    <w:rsid w:val="3DD4571E"/>
    <w:rsid w:val="3DDA7555"/>
    <w:rsid w:val="3E0214C3"/>
    <w:rsid w:val="3E0E117C"/>
    <w:rsid w:val="3E0F0346"/>
    <w:rsid w:val="3E0F51C4"/>
    <w:rsid w:val="3E1A0E7B"/>
    <w:rsid w:val="3E1C10D5"/>
    <w:rsid w:val="3E1C2CCB"/>
    <w:rsid w:val="3E2101BB"/>
    <w:rsid w:val="3E2F7164"/>
    <w:rsid w:val="3E3320F2"/>
    <w:rsid w:val="3E422922"/>
    <w:rsid w:val="3E6842C3"/>
    <w:rsid w:val="3E8C2AD1"/>
    <w:rsid w:val="3EAF79F4"/>
    <w:rsid w:val="3ED00F77"/>
    <w:rsid w:val="3EEF6981"/>
    <w:rsid w:val="3EF85D7B"/>
    <w:rsid w:val="3F0763C3"/>
    <w:rsid w:val="3F2344D0"/>
    <w:rsid w:val="3F2E4930"/>
    <w:rsid w:val="3F42388A"/>
    <w:rsid w:val="3F46208C"/>
    <w:rsid w:val="3F491EEF"/>
    <w:rsid w:val="3F4C193A"/>
    <w:rsid w:val="3F895187"/>
    <w:rsid w:val="3F9A3F7B"/>
    <w:rsid w:val="3F9E70B6"/>
    <w:rsid w:val="3FAB560F"/>
    <w:rsid w:val="3FDD5B6D"/>
    <w:rsid w:val="400E12DA"/>
    <w:rsid w:val="401C7BCE"/>
    <w:rsid w:val="40316EE6"/>
    <w:rsid w:val="40362289"/>
    <w:rsid w:val="4055185E"/>
    <w:rsid w:val="40575585"/>
    <w:rsid w:val="40597F63"/>
    <w:rsid w:val="407E77BF"/>
    <w:rsid w:val="4081158A"/>
    <w:rsid w:val="408D5F6B"/>
    <w:rsid w:val="408F2DE0"/>
    <w:rsid w:val="40AA70CB"/>
    <w:rsid w:val="40B53FAD"/>
    <w:rsid w:val="40CB32BE"/>
    <w:rsid w:val="40D61132"/>
    <w:rsid w:val="40E608AE"/>
    <w:rsid w:val="412668FE"/>
    <w:rsid w:val="41644522"/>
    <w:rsid w:val="416849C6"/>
    <w:rsid w:val="41D87D7D"/>
    <w:rsid w:val="41D9218C"/>
    <w:rsid w:val="41E35E47"/>
    <w:rsid w:val="41F6090B"/>
    <w:rsid w:val="41FB1D89"/>
    <w:rsid w:val="420E1FEF"/>
    <w:rsid w:val="421336C1"/>
    <w:rsid w:val="421F7C3B"/>
    <w:rsid w:val="422B037F"/>
    <w:rsid w:val="422D159D"/>
    <w:rsid w:val="42420BBB"/>
    <w:rsid w:val="42446634"/>
    <w:rsid w:val="4245288D"/>
    <w:rsid w:val="424601E2"/>
    <w:rsid w:val="42573100"/>
    <w:rsid w:val="429A105D"/>
    <w:rsid w:val="42A167A6"/>
    <w:rsid w:val="42B464A6"/>
    <w:rsid w:val="42BD1C93"/>
    <w:rsid w:val="42C3331C"/>
    <w:rsid w:val="42E237C2"/>
    <w:rsid w:val="42F2208B"/>
    <w:rsid w:val="43034E36"/>
    <w:rsid w:val="43200914"/>
    <w:rsid w:val="433102BE"/>
    <w:rsid w:val="433934D1"/>
    <w:rsid w:val="43397139"/>
    <w:rsid w:val="43542A5F"/>
    <w:rsid w:val="435B0C3C"/>
    <w:rsid w:val="435D2760"/>
    <w:rsid w:val="43783074"/>
    <w:rsid w:val="437C6F99"/>
    <w:rsid w:val="439B42D4"/>
    <w:rsid w:val="43A94C00"/>
    <w:rsid w:val="43D539C8"/>
    <w:rsid w:val="43D85A1D"/>
    <w:rsid w:val="43F76125"/>
    <w:rsid w:val="43FB62A8"/>
    <w:rsid w:val="44261B28"/>
    <w:rsid w:val="44287EB3"/>
    <w:rsid w:val="446F7CAF"/>
    <w:rsid w:val="44807E14"/>
    <w:rsid w:val="449C51DA"/>
    <w:rsid w:val="44D76277"/>
    <w:rsid w:val="450E5424"/>
    <w:rsid w:val="45406F5C"/>
    <w:rsid w:val="4547712C"/>
    <w:rsid w:val="456F0A54"/>
    <w:rsid w:val="45912065"/>
    <w:rsid w:val="45952117"/>
    <w:rsid w:val="45B87775"/>
    <w:rsid w:val="45C56EDA"/>
    <w:rsid w:val="45CC2C3D"/>
    <w:rsid w:val="45D43BED"/>
    <w:rsid w:val="45EC0552"/>
    <w:rsid w:val="45F81DB6"/>
    <w:rsid w:val="45FD55BF"/>
    <w:rsid w:val="46122352"/>
    <w:rsid w:val="46207F3A"/>
    <w:rsid w:val="462B63E5"/>
    <w:rsid w:val="462D1F0E"/>
    <w:rsid w:val="463A5C26"/>
    <w:rsid w:val="464E5C4F"/>
    <w:rsid w:val="4667020E"/>
    <w:rsid w:val="46690AC2"/>
    <w:rsid w:val="4672719F"/>
    <w:rsid w:val="467A5AF4"/>
    <w:rsid w:val="46812B8C"/>
    <w:rsid w:val="468D2A16"/>
    <w:rsid w:val="46932817"/>
    <w:rsid w:val="469A0DD7"/>
    <w:rsid w:val="46A86587"/>
    <w:rsid w:val="46B32502"/>
    <w:rsid w:val="46BF0D82"/>
    <w:rsid w:val="46BF17F4"/>
    <w:rsid w:val="46F17258"/>
    <w:rsid w:val="472337BB"/>
    <w:rsid w:val="474151D0"/>
    <w:rsid w:val="4745281D"/>
    <w:rsid w:val="47492C5B"/>
    <w:rsid w:val="47A83FF0"/>
    <w:rsid w:val="47B9688E"/>
    <w:rsid w:val="47BB58C6"/>
    <w:rsid w:val="47C03F4B"/>
    <w:rsid w:val="47EA0BBB"/>
    <w:rsid w:val="47FA5F55"/>
    <w:rsid w:val="481D171D"/>
    <w:rsid w:val="484419EA"/>
    <w:rsid w:val="48482BA2"/>
    <w:rsid w:val="48496596"/>
    <w:rsid w:val="48497673"/>
    <w:rsid w:val="487D1DBA"/>
    <w:rsid w:val="48857518"/>
    <w:rsid w:val="488B39D9"/>
    <w:rsid w:val="48931C2A"/>
    <w:rsid w:val="48CB67BE"/>
    <w:rsid w:val="48D95A72"/>
    <w:rsid w:val="48FB395E"/>
    <w:rsid w:val="490039F2"/>
    <w:rsid w:val="49066A86"/>
    <w:rsid w:val="490960B8"/>
    <w:rsid w:val="49136DE5"/>
    <w:rsid w:val="49176DF4"/>
    <w:rsid w:val="49205F21"/>
    <w:rsid w:val="49367DDB"/>
    <w:rsid w:val="496C434F"/>
    <w:rsid w:val="49B72ADD"/>
    <w:rsid w:val="49BB05CC"/>
    <w:rsid w:val="49E63D13"/>
    <w:rsid w:val="49EE5E12"/>
    <w:rsid w:val="49F4182A"/>
    <w:rsid w:val="4A046C80"/>
    <w:rsid w:val="4A263EBC"/>
    <w:rsid w:val="4A2A1B94"/>
    <w:rsid w:val="4A4C783C"/>
    <w:rsid w:val="4A5C503F"/>
    <w:rsid w:val="4A616C17"/>
    <w:rsid w:val="4A6A7333"/>
    <w:rsid w:val="4A715DE4"/>
    <w:rsid w:val="4A793860"/>
    <w:rsid w:val="4A811260"/>
    <w:rsid w:val="4A833509"/>
    <w:rsid w:val="4A8414D1"/>
    <w:rsid w:val="4ADE5AD9"/>
    <w:rsid w:val="4AF75036"/>
    <w:rsid w:val="4AFF4210"/>
    <w:rsid w:val="4B162CB0"/>
    <w:rsid w:val="4B464B92"/>
    <w:rsid w:val="4B752B95"/>
    <w:rsid w:val="4B8F4044"/>
    <w:rsid w:val="4B9F1AFF"/>
    <w:rsid w:val="4BB562C1"/>
    <w:rsid w:val="4BD20B6A"/>
    <w:rsid w:val="4BF33600"/>
    <w:rsid w:val="4C036ED8"/>
    <w:rsid w:val="4C0451A9"/>
    <w:rsid w:val="4C0B3778"/>
    <w:rsid w:val="4C1053E4"/>
    <w:rsid w:val="4C2C68EB"/>
    <w:rsid w:val="4C4424A2"/>
    <w:rsid w:val="4C477F5F"/>
    <w:rsid w:val="4C661DE5"/>
    <w:rsid w:val="4C6F5A6E"/>
    <w:rsid w:val="4C787DC7"/>
    <w:rsid w:val="4C816627"/>
    <w:rsid w:val="4C8A062B"/>
    <w:rsid w:val="4C9D2E29"/>
    <w:rsid w:val="4CA47360"/>
    <w:rsid w:val="4CC06612"/>
    <w:rsid w:val="4CDA031B"/>
    <w:rsid w:val="4CDD58D7"/>
    <w:rsid w:val="4D0B67DB"/>
    <w:rsid w:val="4D3A1BBC"/>
    <w:rsid w:val="4D415F4C"/>
    <w:rsid w:val="4D47388E"/>
    <w:rsid w:val="4D4E6C89"/>
    <w:rsid w:val="4D573E80"/>
    <w:rsid w:val="4D621035"/>
    <w:rsid w:val="4D651BF2"/>
    <w:rsid w:val="4D6702CB"/>
    <w:rsid w:val="4D9119C7"/>
    <w:rsid w:val="4DC50E2D"/>
    <w:rsid w:val="4DD62058"/>
    <w:rsid w:val="4DE76E74"/>
    <w:rsid w:val="4DE80ABE"/>
    <w:rsid w:val="4DFC1EF5"/>
    <w:rsid w:val="4E13522F"/>
    <w:rsid w:val="4E1E1016"/>
    <w:rsid w:val="4E5D474D"/>
    <w:rsid w:val="4E634033"/>
    <w:rsid w:val="4E6707FE"/>
    <w:rsid w:val="4E69564D"/>
    <w:rsid w:val="4E7F4BFE"/>
    <w:rsid w:val="4E9A1380"/>
    <w:rsid w:val="4EC14F85"/>
    <w:rsid w:val="4ED57698"/>
    <w:rsid w:val="4F0A7ACE"/>
    <w:rsid w:val="4F1E7890"/>
    <w:rsid w:val="4F2256C3"/>
    <w:rsid w:val="4F487DD3"/>
    <w:rsid w:val="4F6F038B"/>
    <w:rsid w:val="4F73362E"/>
    <w:rsid w:val="4F734F7A"/>
    <w:rsid w:val="4FD66E5B"/>
    <w:rsid w:val="4FEA02D8"/>
    <w:rsid w:val="4FFF344E"/>
    <w:rsid w:val="501A5748"/>
    <w:rsid w:val="5025666E"/>
    <w:rsid w:val="50293E68"/>
    <w:rsid w:val="50447B1B"/>
    <w:rsid w:val="50643A8B"/>
    <w:rsid w:val="50702C23"/>
    <w:rsid w:val="5078248D"/>
    <w:rsid w:val="50CA06D5"/>
    <w:rsid w:val="50DF022F"/>
    <w:rsid w:val="50E152A1"/>
    <w:rsid w:val="51107A6E"/>
    <w:rsid w:val="51162E3E"/>
    <w:rsid w:val="511E731C"/>
    <w:rsid w:val="51215F20"/>
    <w:rsid w:val="512E2BF3"/>
    <w:rsid w:val="51344726"/>
    <w:rsid w:val="51350D08"/>
    <w:rsid w:val="513D0F4F"/>
    <w:rsid w:val="51453DB4"/>
    <w:rsid w:val="514D61D8"/>
    <w:rsid w:val="5159388D"/>
    <w:rsid w:val="51674B75"/>
    <w:rsid w:val="51684B05"/>
    <w:rsid w:val="51934556"/>
    <w:rsid w:val="51C90D9E"/>
    <w:rsid w:val="51E06352"/>
    <w:rsid w:val="51FD32C5"/>
    <w:rsid w:val="521065FB"/>
    <w:rsid w:val="5211490D"/>
    <w:rsid w:val="5218272B"/>
    <w:rsid w:val="52612951"/>
    <w:rsid w:val="52863DD2"/>
    <w:rsid w:val="52B579AA"/>
    <w:rsid w:val="52F0458D"/>
    <w:rsid w:val="5302310B"/>
    <w:rsid w:val="531E21A5"/>
    <w:rsid w:val="531F027C"/>
    <w:rsid w:val="5347731B"/>
    <w:rsid w:val="534E0FFD"/>
    <w:rsid w:val="53582288"/>
    <w:rsid w:val="53861DE7"/>
    <w:rsid w:val="538953EC"/>
    <w:rsid w:val="53903BAB"/>
    <w:rsid w:val="53A40290"/>
    <w:rsid w:val="53A61F99"/>
    <w:rsid w:val="53AC34F8"/>
    <w:rsid w:val="53BD03A6"/>
    <w:rsid w:val="53C21ACB"/>
    <w:rsid w:val="53EB4CBE"/>
    <w:rsid w:val="542F3E25"/>
    <w:rsid w:val="545060CA"/>
    <w:rsid w:val="54564AC0"/>
    <w:rsid w:val="5458489C"/>
    <w:rsid w:val="5464017E"/>
    <w:rsid w:val="54652B02"/>
    <w:rsid w:val="54683808"/>
    <w:rsid w:val="54A32873"/>
    <w:rsid w:val="54C70F97"/>
    <w:rsid w:val="54C76E83"/>
    <w:rsid w:val="54D62892"/>
    <w:rsid w:val="54DC27AD"/>
    <w:rsid w:val="54E2068C"/>
    <w:rsid w:val="54F127DE"/>
    <w:rsid w:val="54F77971"/>
    <w:rsid w:val="55180C2D"/>
    <w:rsid w:val="551D1975"/>
    <w:rsid w:val="553B4A5E"/>
    <w:rsid w:val="55427836"/>
    <w:rsid w:val="55530F2F"/>
    <w:rsid w:val="555A1CAD"/>
    <w:rsid w:val="55743FB1"/>
    <w:rsid w:val="55780AA2"/>
    <w:rsid w:val="55A309FE"/>
    <w:rsid w:val="55BE7B17"/>
    <w:rsid w:val="55CD41F8"/>
    <w:rsid w:val="55DE5C44"/>
    <w:rsid w:val="5618725B"/>
    <w:rsid w:val="564358CE"/>
    <w:rsid w:val="5649736E"/>
    <w:rsid w:val="567171AA"/>
    <w:rsid w:val="569A2085"/>
    <w:rsid w:val="569C3F22"/>
    <w:rsid w:val="56E406A1"/>
    <w:rsid w:val="56ED17E2"/>
    <w:rsid w:val="56F47C7D"/>
    <w:rsid w:val="56F566B4"/>
    <w:rsid w:val="571B482D"/>
    <w:rsid w:val="572440E1"/>
    <w:rsid w:val="57733965"/>
    <w:rsid w:val="578F6CCD"/>
    <w:rsid w:val="57A55826"/>
    <w:rsid w:val="57A625DE"/>
    <w:rsid w:val="57BC4662"/>
    <w:rsid w:val="57C47C72"/>
    <w:rsid w:val="57CB2164"/>
    <w:rsid w:val="57CF6726"/>
    <w:rsid w:val="57D356BD"/>
    <w:rsid w:val="58200C55"/>
    <w:rsid w:val="584C227F"/>
    <w:rsid w:val="58543A4A"/>
    <w:rsid w:val="586777C9"/>
    <w:rsid w:val="58777023"/>
    <w:rsid w:val="58841593"/>
    <w:rsid w:val="58B32F7A"/>
    <w:rsid w:val="58D07711"/>
    <w:rsid w:val="58DB29B1"/>
    <w:rsid w:val="58E46F41"/>
    <w:rsid w:val="590003AB"/>
    <w:rsid w:val="590A13AA"/>
    <w:rsid w:val="593013DA"/>
    <w:rsid w:val="593D594E"/>
    <w:rsid w:val="59401F47"/>
    <w:rsid w:val="59D5190E"/>
    <w:rsid w:val="59E53CFF"/>
    <w:rsid w:val="59E543E9"/>
    <w:rsid w:val="59EE2B3F"/>
    <w:rsid w:val="59EE2B9E"/>
    <w:rsid w:val="59FB5DCD"/>
    <w:rsid w:val="59FC78AD"/>
    <w:rsid w:val="5A0B4F8D"/>
    <w:rsid w:val="5A1623E4"/>
    <w:rsid w:val="5A2D29E1"/>
    <w:rsid w:val="5A35680C"/>
    <w:rsid w:val="5A440C40"/>
    <w:rsid w:val="5A447D1D"/>
    <w:rsid w:val="5A63088C"/>
    <w:rsid w:val="5A7B0054"/>
    <w:rsid w:val="5A824139"/>
    <w:rsid w:val="5ABA72D2"/>
    <w:rsid w:val="5AC64406"/>
    <w:rsid w:val="5AC900FB"/>
    <w:rsid w:val="5ACA23BA"/>
    <w:rsid w:val="5AD73F0A"/>
    <w:rsid w:val="5ADA330B"/>
    <w:rsid w:val="5AE13368"/>
    <w:rsid w:val="5B062B40"/>
    <w:rsid w:val="5B087672"/>
    <w:rsid w:val="5B1668D6"/>
    <w:rsid w:val="5B5E0798"/>
    <w:rsid w:val="5B607FC7"/>
    <w:rsid w:val="5B74768A"/>
    <w:rsid w:val="5B7B562E"/>
    <w:rsid w:val="5B850BD4"/>
    <w:rsid w:val="5BA11F56"/>
    <w:rsid w:val="5BDB0C37"/>
    <w:rsid w:val="5C086ED3"/>
    <w:rsid w:val="5C224B78"/>
    <w:rsid w:val="5C28141E"/>
    <w:rsid w:val="5C58385C"/>
    <w:rsid w:val="5C5D47F3"/>
    <w:rsid w:val="5C6062F1"/>
    <w:rsid w:val="5C695322"/>
    <w:rsid w:val="5C707BE1"/>
    <w:rsid w:val="5C9A6CE5"/>
    <w:rsid w:val="5CB21ED6"/>
    <w:rsid w:val="5CBF158B"/>
    <w:rsid w:val="5CCC6405"/>
    <w:rsid w:val="5CD91D7E"/>
    <w:rsid w:val="5CFB4B0E"/>
    <w:rsid w:val="5D0E298D"/>
    <w:rsid w:val="5D155F5C"/>
    <w:rsid w:val="5D2D01E1"/>
    <w:rsid w:val="5D310349"/>
    <w:rsid w:val="5D4C3F7D"/>
    <w:rsid w:val="5D5D1942"/>
    <w:rsid w:val="5D771053"/>
    <w:rsid w:val="5D83622A"/>
    <w:rsid w:val="5D8803DF"/>
    <w:rsid w:val="5DA91EBF"/>
    <w:rsid w:val="5DD54FEE"/>
    <w:rsid w:val="5DDB01C0"/>
    <w:rsid w:val="5DE94ADF"/>
    <w:rsid w:val="5E11109F"/>
    <w:rsid w:val="5E16770E"/>
    <w:rsid w:val="5E4D6FFF"/>
    <w:rsid w:val="5E8D0F55"/>
    <w:rsid w:val="5E905655"/>
    <w:rsid w:val="5EA77798"/>
    <w:rsid w:val="5ECC3929"/>
    <w:rsid w:val="5ED0131F"/>
    <w:rsid w:val="5EDF38DE"/>
    <w:rsid w:val="5F003554"/>
    <w:rsid w:val="5F3420DE"/>
    <w:rsid w:val="5F4304F3"/>
    <w:rsid w:val="5F52377A"/>
    <w:rsid w:val="5F563764"/>
    <w:rsid w:val="5F5B084D"/>
    <w:rsid w:val="5F642F6E"/>
    <w:rsid w:val="5F731C0F"/>
    <w:rsid w:val="5F8442E2"/>
    <w:rsid w:val="5F934BE9"/>
    <w:rsid w:val="5FA2170A"/>
    <w:rsid w:val="5FCD1AFC"/>
    <w:rsid w:val="5FD80943"/>
    <w:rsid w:val="5FD904BD"/>
    <w:rsid w:val="5FFE049B"/>
    <w:rsid w:val="60352B8B"/>
    <w:rsid w:val="606A6467"/>
    <w:rsid w:val="607314BC"/>
    <w:rsid w:val="60921D00"/>
    <w:rsid w:val="609274EE"/>
    <w:rsid w:val="60A7628A"/>
    <w:rsid w:val="60ED3451"/>
    <w:rsid w:val="60F86D9A"/>
    <w:rsid w:val="6115175A"/>
    <w:rsid w:val="61546197"/>
    <w:rsid w:val="61546615"/>
    <w:rsid w:val="6164647D"/>
    <w:rsid w:val="616842A8"/>
    <w:rsid w:val="618B0449"/>
    <w:rsid w:val="619D3CD8"/>
    <w:rsid w:val="61AA37A6"/>
    <w:rsid w:val="61B017BB"/>
    <w:rsid w:val="61BC410D"/>
    <w:rsid w:val="61BE6F00"/>
    <w:rsid w:val="61C078E7"/>
    <w:rsid w:val="61DA5F9F"/>
    <w:rsid w:val="61DE5D3D"/>
    <w:rsid w:val="61EE69E5"/>
    <w:rsid w:val="61FC431A"/>
    <w:rsid w:val="62273EC8"/>
    <w:rsid w:val="62406164"/>
    <w:rsid w:val="624A0ECB"/>
    <w:rsid w:val="62530C18"/>
    <w:rsid w:val="62590565"/>
    <w:rsid w:val="62625B15"/>
    <w:rsid w:val="626D781A"/>
    <w:rsid w:val="627D0545"/>
    <w:rsid w:val="628E12B0"/>
    <w:rsid w:val="62991F41"/>
    <w:rsid w:val="62B977FD"/>
    <w:rsid w:val="62CB6C58"/>
    <w:rsid w:val="62F02425"/>
    <w:rsid w:val="63034C4A"/>
    <w:rsid w:val="63540E0F"/>
    <w:rsid w:val="63612EC7"/>
    <w:rsid w:val="6381454D"/>
    <w:rsid w:val="63930570"/>
    <w:rsid w:val="6397481A"/>
    <w:rsid w:val="63A12B02"/>
    <w:rsid w:val="63A87734"/>
    <w:rsid w:val="63AB511A"/>
    <w:rsid w:val="63C06DF5"/>
    <w:rsid w:val="63C656B8"/>
    <w:rsid w:val="63DD2A36"/>
    <w:rsid w:val="64064EE5"/>
    <w:rsid w:val="640C72D6"/>
    <w:rsid w:val="641135DF"/>
    <w:rsid w:val="64131B1D"/>
    <w:rsid w:val="641C459E"/>
    <w:rsid w:val="6422421E"/>
    <w:rsid w:val="64347357"/>
    <w:rsid w:val="644B5944"/>
    <w:rsid w:val="647C3650"/>
    <w:rsid w:val="647D616A"/>
    <w:rsid w:val="64824AB8"/>
    <w:rsid w:val="6496699C"/>
    <w:rsid w:val="649672E0"/>
    <w:rsid w:val="64A927A0"/>
    <w:rsid w:val="64B10275"/>
    <w:rsid w:val="64BC5D3C"/>
    <w:rsid w:val="64C62DAD"/>
    <w:rsid w:val="64EC1A5C"/>
    <w:rsid w:val="64FC1ED3"/>
    <w:rsid w:val="65290615"/>
    <w:rsid w:val="65432E6F"/>
    <w:rsid w:val="6549465F"/>
    <w:rsid w:val="655373C0"/>
    <w:rsid w:val="655C7DC8"/>
    <w:rsid w:val="65682824"/>
    <w:rsid w:val="65747142"/>
    <w:rsid w:val="65773F4D"/>
    <w:rsid w:val="65792AD8"/>
    <w:rsid w:val="65891548"/>
    <w:rsid w:val="658F1D68"/>
    <w:rsid w:val="659B210B"/>
    <w:rsid w:val="65AB2E5F"/>
    <w:rsid w:val="65BF2B52"/>
    <w:rsid w:val="65C337CF"/>
    <w:rsid w:val="65C84DE6"/>
    <w:rsid w:val="65D835DB"/>
    <w:rsid w:val="65E7035F"/>
    <w:rsid w:val="662044A0"/>
    <w:rsid w:val="66295467"/>
    <w:rsid w:val="66772DFC"/>
    <w:rsid w:val="668B27F9"/>
    <w:rsid w:val="669B7073"/>
    <w:rsid w:val="66A367FF"/>
    <w:rsid w:val="66AB069D"/>
    <w:rsid w:val="66CF6C74"/>
    <w:rsid w:val="66E94BCB"/>
    <w:rsid w:val="66EA21C9"/>
    <w:rsid w:val="66F12299"/>
    <w:rsid w:val="67172D94"/>
    <w:rsid w:val="67244B49"/>
    <w:rsid w:val="67307581"/>
    <w:rsid w:val="6743565F"/>
    <w:rsid w:val="674A6165"/>
    <w:rsid w:val="675B2D51"/>
    <w:rsid w:val="677F4F66"/>
    <w:rsid w:val="67851AD9"/>
    <w:rsid w:val="67896D54"/>
    <w:rsid w:val="67937BA1"/>
    <w:rsid w:val="679C107D"/>
    <w:rsid w:val="679E3D07"/>
    <w:rsid w:val="679F010C"/>
    <w:rsid w:val="67BA6D1B"/>
    <w:rsid w:val="67C51207"/>
    <w:rsid w:val="67C74C0C"/>
    <w:rsid w:val="67CF6380"/>
    <w:rsid w:val="67D60E41"/>
    <w:rsid w:val="68031402"/>
    <w:rsid w:val="68295BB1"/>
    <w:rsid w:val="68416868"/>
    <w:rsid w:val="684507C9"/>
    <w:rsid w:val="68667021"/>
    <w:rsid w:val="68694773"/>
    <w:rsid w:val="68733672"/>
    <w:rsid w:val="6877145A"/>
    <w:rsid w:val="68913F9F"/>
    <w:rsid w:val="68AE5EC9"/>
    <w:rsid w:val="68B148DC"/>
    <w:rsid w:val="68D3339F"/>
    <w:rsid w:val="68ED3FBA"/>
    <w:rsid w:val="68EE4E49"/>
    <w:rsid w:val="690C1844"/>
    <w:rsid w:val="69120B5D"/>
    <w:rsid w:val="691F31DC"/>
    <w:rsid w:val="6923342A"/>
    <w:rsid w:val="6934557D"/>
    <w:rsid w:val="69391030"/>
    <w:rsid w:val="69586EFA"/>
    <w:rsid w:val="695D1CCE"/>
    <w:rsid w:val="695E4721"/>
    <w:rsid w:val="695F4A08"/>
    <w:rsid w:val="696105B5"/>
    <w:rsid w:val="698A326D"/>
    <w:rsid w:val="699964FE"/>
    <w:rsid w:val="69B43D4B"/>
    <w:rsid w:val="69BD20A0"/>
    <w:rsid w:val="6A0E0F9B"/>
    <w:rsid w:val="6A185562"/>
    <w:rsid w:val="6A245E03"/>
    <w:rsid w:val="6A320212"/>
    <w:rsid w:val="6A321B7E"/>
    <w:rsid w:val="6A3A00DA"/>
    <w:rsid w:val="6A43180F"/>
    <w:rsid w:val="6A5C442C"/>
    <w:rsid w:val="6A6E0296"/>
    <w:rsid w:val="6A830918"/>
    <w:rsid w:val="6A90081B"/>
    <w:rsid w:val="6AF34F25"/>
    <w:rsid w:val="6B117FFD"/>
    <w:rsid w:val="6B1A6B35"/>
    <w:rsid w:val="6B474762"/>
    <w:rsid w:val="6B4B43C5"/>
    <w:rsid w:val="6B4E65F3"/>
    <w:rsid w:val="6B653196"/>
    <w:rsid w:val="6B7D5F16"/>
    <w:rsid w:val="6BA5417D"/>
    <w:rsid w:val="6BB061C5"/>
    <w:rsid w:val="6BBD22DA"/>
    <w:rsid w:val="6BC81DC5"/>
    <w:rsid w:val="6BDC4453"/>
    <w:rsid w:val="6BE91C24"/>
    <w:rsid w:val="6C03732D"/>
    <w:rsid w:val="6C044DC4"/>
    <w:rsid w:val="6C13684A"/>
    <w:rsid w:val="6C1806F3"/>
    <w:rsid w:val="6C2C0EE2"/>
    <w:rsid w:val="6C310A58"/>
    <w:rsid w:val="6C6409E1"/>
    <w:rsid w:val="6C7658FF"/>
    <w:rsid w:val="6C7A0DA1"/>
    <w:rsid w:val="6C7E320B"/>
    <w:rsid w:val="6CAA36BA"/>
    <w:rsid w:val="6CBA3A50"/>
    <w:rsid w:val="6CBB488F"/>
    <w:rsid w:val="6CD07663"/>
    <w:rsid w:val="6CD100F8"/>
    <w:rsid w:val="6CED4A77"/>
    <w:rsid w:val="6D006B4E"/>
    <w:rsid w:val="6D312769"/>
    <w:rsid w:val="6D3221C2"/>
    <w:rsid w:val="6D4572C3"/>
    <w:rsid w:val="6D473640"/>
    <w:rsid w:val="6D637641"/>
    <w:rsid w:val="6D643477"/>
    <w:rsid w:val="6D797E84"/>
    <w:rsid w:val="6D7A19CB"/>
    <w:rsid w:val="6D7E75B1"/>
    <w:rsid w:val="6D8B3AC1"/>
    <w:rsid w:val="6D9C4E34"/>
    <w:rsid w:val="6D9D4948"/>
    <w:rsid w:val="6DB54408"/>
    <w:rsid w:val="6DB70506"/>
    <w:rsid w:val="6E03032C"/>
    <w:rsid w:val="6E5008EF"/>
    <w:rsid w:val="6E5D25DA"/>
    <w:rsid w:val="6E750D79"/>
    <w:rsid w:val="6E8475A8"/>
    <w:rsid w:val="6E8810A4"/>
    <w:rsid w:val="6E90615D"/>
    <w:rsid w:val="6E931D19"/>
    <w:rsid w:val="6EA72BB9"/>
    <w:rsid w:val="6EAE18A2"/>
    <w:rsid w:val="6EBD2EC6"/>
    <w:rsid w:val="6EC27806"/>
    <w:rsid w:val="6ECB6D71"/>
    <w:rsid w:val="6ECF0282"/>
    <w:rsid w:val="6EDD5371"/>
    <w:rsid w:val="6EF67D74"/>
    <w:rsid w:val="6EF94210"/>
    <w:rsid w:val="6F0838B3"/>
    <w:rsid w:val="6F2A0DF2"/>
    <w:rsid w:val="6F474747"/>
    <w:rsid w:val="6F5C6516"/>
    <w:rsid w:val="6F5E3840"/>
    <w:rsid w:val="6F6A4C19"/>
    <w:rsid w:val="6F6B6E15"/>
    <w:rsid w:val="6F771354"/>
    <w:rsid w:val="6F781E7E"/>
    <w:rsid w:val="6F7A4B73"/>
    <w:rsid w:val="6F7F6412"/>
    <w:rsid w:val="6F8610C3"/>
    <w:rsid w:val="6F865AA7"/>
    <w:rsid w:val="6F895A64"/>
    <w:rsid w:val="6F8A6C31"/>
    <w:rsid w:val="6FAE1544"/>
    <w:rsid w:val="6FB07CD1"/>
    <w:rsid w:val="6FBD544F"/>
    <w:rsid w:val="6FD82993"/>
    <w:rsid w:val="6FE438EB"/>
    <w:rsid w:val="6FF71F8D"/>
    <w:rsid w:val="6FFD7B80"/>
    <w:rsid w:val="700C3B06"/>
    <w:rsid w:val="701A3603"/>
    <w:rsid w:val="703B08C2"/>
    <w:rsid w:val="703E2917"/>
    <w:rsid w:val="704D10FC"/>
    <w:rsid w:val="705F1011"/>
    <w:rsid w:val="707A10B0"/>
    <w:rsid w:val="70834E8A"/>
    <w:rsid w:val="70836F35"/>
    <w:rsid w:val="709B45AC"/>
    <w:rsid w:val="70A31FAC"/>
    <w:rsid w:val="70CC55DA"/>
    <w:rsid w:val="70D33BDF"/>
    <w:rsid w:val="70FC28AB"/>
    <w:rsid w:val="70FC37B4"/>
    <w:rsid w:val="712B7773"/>
    <w:rsid w:val="712C7894"/>
    <w:rsid w:val="71331F13"/>
    <w:rsid w:val="7140674B"/>
    <w:rsid w:val="71690AFD"/>
    <w:rsid w:val="71915DA5"/>
    <w:rsid w:val="71D930A0"/>
    <w:rsid w:val="71F62D25"/>
    <w:rsid w:val="72214D72"/>
    <w:rsid w:val="72221272"/>
    <w:rsid w:val="72386443"/>
    <w:rsid w:val="725C7FE2"/>
    <w:rsid w:val="726D2E4B"/>
    <w:rsid w:val="727C0823"/>
    <w:rsid w:val="72991AF5"/>
    <w:rsid w:val="72B677F0"/>
    <w:rsid w:val="72E158BF"/>
    <w:rsid w:val="72EB487D"/>
    <w:rsid w:val="72F33330"/>
    <w:rsid w:val="731457D6"/>
    <w:rsid w:val="7322396C"/>
    <w:rsid w:val="738529F1"/>
    <w:rsid w:val="7398681B"/>
    <w:rsid w:val="73AA5185"/>
    <w:rsid w:val="73DD3076"/>
    <w:rsid w:val="740B6AEA"/>
    <w:rsid w:val="741736EA"/>
    <w:rsid w:val="742F1959"/>
    <w:rsid w:val="743C0B79"/>
    <w:rsid w:val="744B6577"/>
    <w:rsid w:val="74872B0B"/>
    <w:rsid w:val="748D3177"/>
    <w:rsid w:val="748F226A"/>
    <w:rsid w:val="74964F23"/>
    <w:rsid w:val="749E3D41"/>
    <w:rsid w:val="74A9318F"/>
    <w:rsid w:val="74C45262"/>
    <w:rsid w:val="74D36A97"/>
    <w:rsid w:val="74E35FDF"/>
    <w:rsid w:val="74EE1E2E"/>
    <w:rsid w:val="753C025F"/>
    <w:rsid w:val="754E0E47"/>
    <w:rsid w:val="75522E60"/>
    <w:rsid w:val="75531BF8"/>
    <w:rsid w:val="756B17C2"/>
    <w:rsid w:val="75762E31"/>
    <w:rsid w:val="75777652"/>
    <w:rsid w:val="757B2EC5"/>
    <w:rsid w:val="75991785"/>
    <w:rsid w:val="75A13BB8"/>
    <w:rsid w:val="75A210ED"/>
    <w:rsid w:val="75C65BCB"/>
    <w:rsid w:val="75E87805"/>
    <w:rsid w:val="75EB4902"/>
    <w:rsid w:val="76023BA6"/>
    <w:rsid w:val="7612515E"/>
    <w:rsid w:val="76161699"/>
    <w:rsid w:val="76253F30"/>
    <w:rsid w:val="762A5C8C"/>
    <w:rsid w:val="76520442"/>
    <w:rsid w:val="765F7440"/>
    <w:rsid w:val="76752728"/>
    <w:rsid w:val="76772EE1"/>
    <w:rsid w:val="767B686F"/>
    <w:rsid w:val="76851F19"/>
    <w:rsid w:val="769E1EB9"/>
    <w:rsid w:val="76C93208"/>
    <w:rsid w:val="76E42085"/>
    <w:rsid w:val="7704303E"/>
    <w:rsid w:val="771936CC"/>
    <w:rsid w:val="77391171"/>
    <w:rsid w:val="773C6D18"/>
    <w:rsid w:val="773D4114"/>
    <w:rsid w:val="774F6601"/>
    <w:rsid w:val="778D22EF"/>
    <w:rsid w:val="77933E27"/>
    <w:rsid w:val="779A33A9"/>
    <w:rsid w:val="77AA79AC"/>
    <w:rsid w:val="77AB0BCA"/>
    <w:rsid w:val="77BE7EA3"/>
    <w:rsid w:val="780412F0"/>
    <w:rsid w:val="780E4119"/>
    <w:rsid w:val="781A3657"/>
    <w:rsid w:val="783247C6"/>
    <w:rsid w:val="78AD2AE5"/>
    <w:rsid w:val="78B83F15"/>
    <w:rsid w:val="78C17E87"/>
    <w:rsid w:val="78DA0647"/>
    <w:rsid w:val="78FD0321"/>
    <w:rsid w:val="790F7D44"/>
    <w:rsid w:val="79354A2B"/>
    <w:rsid w:val="793C1B71"/>
    <w:rsid w:val="79491F38"/>
    <w:rsid w:val="79710F8C"/>
    <w:rsid w:val="79A575BB"/>
    <w:rsid w:val="79D63F13"/>
    <w:rsid w:val="79E417E2"/>
    <w:rsid w:val="7A187965"/>
    <w:rsid w:val="7A23361D"/>
    <w:rsid w:val="7A9E6D88"/>
    <w:rsid w:val="7ACA6714"/>
    <w:rsid w:val="7AF93D61"/>
    <w:rsid w:val="7B183708"/>
    <w:rsid w:val="7B1D4B13"/>
    <w:rsid w:val="7B420515"/>
    <w:rsid w:val="7B4D2AC7"/>
    <w:rsid w:val="7B6C676F"/>
    <w:rsid w:val="7B983C5A"/>
    <w:rsid w:val="7BBA58E2"/>
    <w:rsid w:val="7BBC3644"/>
    <w:rsid w:val="7BC107CC"/>
    <w:rsid w:val="7BEE6A3E"/>
    <w:rsid w:val="7BF960E9"/>
    <w:rsid w:val="7C06000D"/>
    <w:rsid w:val="7C0E135F"/>
    <w:rsid w:val="7C227B05"/>
    <w:rsid w:val="7C311561"/>
    <w:rsid w:val="7C5D6084"/>
    <w:rsid w:val="7C6F2B30"/>
    <w:rsid w:val="7C9F1EF7"/>
    <w:rsid w:val="7CA46A4E"/>
    <w:rsid w:val="7CAF6FC2"/>
    <w:rsid w:val="7CB94183"/>
    <w:rsid w:val="7CC7331B"/>
    <w:rsid w:val="7CE33A44"/>
    <w:rsid w:val="7CF30484"/>
    <w:rsid w:val="7D01125E"/>
    <w:rsid w:val="7D1128AA"/>
    <w:rsid w:val="7D3D1466"/>
    <w:rsid w:val="7D6C74F2"/>
    <w:rsid w:val="7D856E83"/>
    <w:rsid w:val="7DAB3CC7"/>
    <w:rsid w:val="7DAB76E4"/>
    <w:rsid w:val="7DC70840"/>
    <w:rsid w:val="7DD1250A"/>
    <w:rsid w:val="7DD43C64"/>
    <w:rsid w:val="7DEF22E3"/>
    <w:rsid w:val="7E0D5C79"/>
    <w:rsid w:val="7E17493E"/>
    <w:rsid w:val="7E304D65"/>
    <w:rsid w:val="7E312396"/>
    <w:rsid w:val="7E4871DC"/>
    <w:rsid w:val="7E5A0038"/>
    <w:rsid w:val="7E893256"/>
    <w:rsid w:val="7E941D65"/>
    <w:rsid w:val="7E9E705E"/>
    <w:rsid w:val="7E9F04C6"/>
    <w:rsid w:val="7EBC0E01"/>
    <w:rsid w:val="7EC6495F"/>
    <w:rsid w:val="7EF971E3"/>
    <w:rsid w:val="7EFA2C0C"/>
    <w:rsid w:val="7F04079C"/>
    <w:rsid w:val="7F13097A"/>
    <w:rsid w:val="7F476B6C"/>
    <w:rsid w:val="7F583BE3"/>
    <w:rsid w:val="7F6164BB"/>
    <w:rsid w:val="7F642DA3"/>
    <w:rsid w:val="7F71719B"/>
    <w:rsid w:val="7F791E43"/>
    <w:rsid w:val="7F7C6EE0"/>
    <w:rsid w:val="7F8C2C66"/>
    <w:rsid w:val="7F952832"/>
    <w:rsid w:val="7FA66100"/>
    <w:rsid w:val="7FAD6AB3"/>
    <w:rsid w:val="7FD11846"/>
    <w:rsid w:val="7FD2139C"/>
    <w:rsid w:val="7FD54A5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80" w:firstLineChars="200"/>
    </w:pPr>
    <w:rPr>
      <w:rFonts w:ascii="宋体" w:hAnsi="宋体"/>
      <w:bCs/>
      <w:sz w:val="24"/>
    </w:r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Balloon Text"/>
    <w:basedOn w:val="1"/>
    <w:link w:val="18"/>
    <w:qFormat/>
    <w:uiPriority w:val="0"/>
    <w:rPr>
      <w:rFonts w:ascii="Times New Roman" w:hAnsi="Times New Roman" w:cs="Times New Roman"/>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99"/>
    <w:pPr>
      <w:snapToGrid w:val="0"/>
      <w:jc w:val="left"/>
    </w:pPr>
    <w:rPr>
      <w:rFonts w:ascii="Calibri" w:hAnsi="Calibri" w:eastAsia="宋体" w:cs="Times New Roman"/>
      <w:sz w:val="18"/>
      <w:szCs w:val="18"/>
    </w:rPr>
  </w:style>
  <w:style w:type="paragraph" w:styleId="9">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basedOn w:val="11"/>
    <w:qFormat/>
    <w:uiPriority w:val="99"/>
    <w:rPr>
      <w:vertAlign w:val="superscript"/>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left="720"/>
      <w:contextualSpacing/>
    </w:pPr>
  </w:style>
  <w:style w:type="character" w:customStyle="1" w:styleId="17">
    <w:name w:val="font11"/>
    <w:basedOn w:val="11"/>
    <w:qFormat/>
    <w:uiPriority w:val="0"/>
    <w:rPr>
      <w:rFonts w:hint="eastAsia" w:ascii="宋体" w:hAnsi="宋体" w:eastAsia="宋体" w:cs="宋体"/>
      <w:color w:val="000000"/>
      <w:sz w:val="24"/>
      <w:szCs w:val="24"/>
      <w:u w:val="none"/>
    </w:rPr>
  </w:style>
  <w:style w:type="character" w:customStyle="1" w:styleId="18">
    <w:name w:val="批注框文本 字符"/>
    <w:basedOn w:val="11"/>
    <w:link w:val="5"/>
    <w:qFormat/>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16</Pages>
  <Words>7126</Words>
  <Characters>1098</Characters>
  <Lines>9</Lines>
  <Paragraphs>16</Paragraphs>
  <TotalTime>17</TotalTime>
  <ScaleCrop>false</ScaleCrop>
  <LinksUpToDate>false</LinksUpToDate>
  <CharactersWithSpaces>8208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2021-10-08T12:30:00Z</dcterms:created>
  <dc:creator>zsw</dc:creator>
  <cp:lastModifiedBy>PC</cp:lastModifiedBy>
  <dcterms:modified xsi:type="dcterms:W3CDTF">2021-10-13T02:57:10Z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47A1687058FA44DC935A1AB9177EE3E8</vt:lpwstr>
  </property>
</Properties>
</file>