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E396C" w:rsidP="003E6715">
      <w:pPr>
        <w:tabs>
          <w:tab w:val="left" w:pos="6480"/>
          <w:tab w:val="left" w:pos="7920"/>
        </w:tabs>
        <w:spacing w:line="240" w:lineRule="exact"/>
        <w:rPr>
          <w:rFonts w:eastAsia="黑体"/>
          <w:color w:val="FF000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000000" w:rsidRDefault="002E396C">
      <w:pPr>
        <w:snapToGrid w:val="0"/>
        <w:spacing w:line="360" w:lineRule="auto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</w:t>
      </w:r>
      <w:r>
        <w:rPr>
          <w:rFonts w:ascii="黑体" w:eastAsia="黑体" w:hAnsi="黑体" w:cs="黑体" w:hint="eastAsia"/>
          <w:kern w:val="0"/>
          <w:sz w:val="32"/>
          <w:szCs w:val="32"/>
        </w:rPr>
        <w:t>件</w:t>
      </w:r>
    </w:p>
    <w:p w:rsidR="00000000" w:rsidRDefault="002E396C">
      <w:pPr>
        <w:snapToGrid w:val="0"/>
        <w:spacing w:line="360" w:lineRule="auto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000000" w:rsidRDefault="002E396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化学仿制药参比制剂目录（第七十四批）</w:t>
      </w:r>
    </w:p>
    <w:p w:rsidR="00000000" w:rsidRDefault="002E396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25"/>
        <w:gridCol w:w="1596"/>
        <w:gridCol w:w="3322"/>
        <w:gridCol w:w="2156"/>
        <w:gridCol w:w="15"/>
        <w:gridCol w:w="2190"/>
        <w:gridCol w:w="15"/>
        <w:gridCol w:w="1789"/>
        <w:gridCol w:w="2420"/>
      </w:tblGrid>
      <w:tr w:rsidR="00000000">
        <w:trPr>
          <w:cantSplit/>
          <w:trHeight w:val="435"/>
          <w:tblHeader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药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品通用名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英文名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规格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持证商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2 </w:t>
            </w:r>
          </w:p>
        </w:tc>
      </w:tr>
      <w:tr w:rsidR="00000000">
        <w:trPr>
          <w:cantSplit/>
          <w:trHeight w:val="745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替戈拉生片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Tegoprazan Tablets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山东罗欣药业集团股份有限公司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国内上市原研产品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000000">
        <w:trPr>
          <w:cantSplit/>
          <w:trHeight w:val="763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维奈克拉片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Venetoclax Tablets/</w:t>
            </w:r>
            <w:r>
              <w:rPr>
                <w:rFonts w:eastAsia="仿宋_GB2312"/>
                <w:color w:val="000000"/>
                <w:sz w:val="24"/>
              </w:rPr>
              <w:t>唯可来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AbbVie Inc.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745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维奈克拉片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Venetoclax Tablets/</w:t>
            </w:r>
            <w:r>
              <w:rPr>
                <w:rFonts w:eastAsia="仿宋_GB2312"/>
                <w:color w:val="000000"/>
                <w:sz w:val="24"/>
              </w:rPr>
              <w:t>唯可来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AbbVie Inc.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798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维奈克拉片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Venetoclax Tablets/</w:t>
            </w:r>
            <w:r>
              <w:rPr>
                <w:rFonts w:eastAsia="仿宋_GB2312"/>
                <w:color w:val="000000"/>
                <w:sz w:val="24"/>
              </w:rPr>
              <w:t>唯可来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AbbVie Inc</w:t>
            </w:r>
            <w:r>
              <w:rPr>
                <w:rFonts w:eastAsia="仿宋_GB2312"/>
                <w:color w:val="000000"/>
                <w:sz w:val="24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799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拉替拉韦钾片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Raltegravir Potassium Tablets/ISENTRESS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艾生特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 w:hint="eastAsia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400mg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FN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6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计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Merck Sharp &amp; Dohme B.V.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179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茚达格莫吸入粉雾剂（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Indacaterol Acetate, Glycopyrronium Bromide and Mometasone Furoate Powder for Inhalation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每粒含醋酸茚达特罗</w:t>
            </w:r>
            <w:r>
              <w:rPr>
                <w:rFonts w:eastAsia="仿宋_GB2312"/>
                <w:color w:val="000000"/>
                <w:sz w:val="24"/>
              </w:rPr>
              <w:t>150μg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以</w:t>
            </w:r>
            <w:r>
              <w:rPr>
                <w:rFonts w:eastAsia="仿宋_GB2312"/>
                <w:color w:val="000000"/>
                <w:sz w:val="24"/>
              </w:rPr>
              <w:t>C₂₄H₂</w:t>
            </w:r>
            <w:r>
              <w:rPr>
                <w:rFonts w:eastAsia="MS Mincho"/>
                <w:color w:val="000000"/>
                <w:sz w:val="24"/>
              </w:rPr>
              <w:t>₈</w:t>
            </w:r>
            <w:r>
              <w:rPr>
                <w:rFonts w:eastAsia="仿宋_GB2312"/>
                <w:color w:val="000000"/>
                <w:sz w:val="24"/>
              </w:rPr>
              <w:t>N₂O₃</w:t>
            </w:r>
            <w:r>
              <w:rPr>
                <w:rFonts w:eastAsia="仿宋_GB2312"/>
                <w:color w:val="000000"/>
                <w:sz w:val="24"/>
              </w:rPr>
              <w:t>计）、格隆溴铵</w:t>
            </w:r>
            <w:r>
              <w:rPr>
                <w:rFonts w:eastAsia="仿宋_GB2312"/>
                <w:color w:val="000000"/>
                <w:sz w:val="24"/>
              </w:rPr>
              <w:t>50μg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C₁</w:t>
            </w:r>
            <w:r>
              <w:rPr>
                <w:rFonts w:eastAsia="MS Mincho"/>
                <w:color w:val="000000"/>
                <w:sz w:val="24"/>
              </w:rPr>
              <w:t>₉</w:t>
            </w:r>
            <w:r>
              <w:rPr>
                <w:rFonts w:eastAsia="仿宋_GB2312"/>
                <w:color w:val="000000"/>
                <w:sz w:val="24"/>
              </w:rPr>
              <w:t>H₂</w:t>
            </w:r>
            <w:r>
              <w:rPr>
                <w:rFonts w:eastAsia="MS Mincho"/>
                <w:color w:val="000000"/>
                <w:sz w:val="24"/>
              </w:rPr>
              <w:t>₈</w:t>
            </w:r>
            <w:r>
              <w:rPr>
                <w:rFonts w:eastAsia="仿宋_GB2312"/>
                <w:color w:val="000000"/>
                <w:sz w:val="24"/>
              </w:rPr>
              <w:t>NO₃</w:t>
            </w:r>
            <w:r>
              <w:rPr>
                <w:rFonts w:eastAsia="仿宋_GB2312"/>
                <w:color w:val="000000"/>
                <w:sz w:val="24"/>
              </w:rPr>
              <w:t>计）和糠酸莫米松</w:t>
            </w:r>
            <w:r>
              <w:rPr>
                <w:rFonts w:eastAsia="仿宋_GB2312"/>
                <w:color w:val="000000"/>
                <w:sz w:val="24"/>
              </w:rPr>
              <w:t>160μg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Novartis Pharma AG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茚达格莫吸入粉雾剂（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Indacaterol Acetate, Glycopyrronium Bromide and Mometasone Furoate Powder for Inhalation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每粒含醋酸茚达特罗</w:t>
            </w:r>
            <w:r>
              <w:rPr>
                <w:rFonts w:eastAsia="仿宋_GB2312"/>
                <w:color w:val="000000"/>
                <w:sz w:val="24"/>
              </w:rPr>
              <w:t>150μg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C₂₄H₂</w:t>
            </w:r>
            <w:r>
              <w:rPr>
                <w:rFonts w:eastAsia="MS Mincho"/>
                <w:color w:val="000000"/>
                <w:sz w:val="24"/>
              </w:rPr>
              <w:t>₈</w:t>
            </w:r>
            <w:r>
              <w:rPr>
                <w:rFonts w:eastAsia="仿宋_GB2312"/>
                <w:color w:val="000000"/>
                <w:sz w:val="24"/>
              </w:rPr>
              <w:t>N₂O₃</w:t>
            </w:r>
            <w:r>
              <w:rPr>
                <w:rFonts w:eastAsia="仿宋_GB2312"/>
                <w:color w:val="000000"/>
                <w:sz w:val="24"/>
              </w:rPr>
              <w:t>计）、格隆溴铵</w:t>
            </w:r>
            <w:r>
              <w:rPr>
                <w:rFonts w:eastAsia="仿宋_GB2312"/>
                <w:color w:val="000000"/>
                <w:sz w:val="24"/>
              </w:rPr>
              <w:t>50μg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C₁</w:t>
            </w:r>
            <w:r>
              <w:rPr>
                <w:rFonts w:eastAsia="MS Mincho"/>
                <w:color w:val="000000"/>
                <w:sz w:val="24"/>
              </w:rPr>
              <w:t>₉</w:t>
            </w:r>
            <w:r>
              <w:rPr>
                <w:rFonts w:eastAsia="仿宋_GB2312"/>
                <w:color w:val="000000"/>
                <w:sz w:val="24"/>
              </w:rPr>
              <w:t>H₂</w:t>
            </w:r>
            <w:r>
              <w:rPr>
                <w:rFonts w:eastAsia="MS Mincho"/>
                <w:color w:val="000000"/>
                <w:sz w:val="24"/>
              </w:rPr>
              <w:t>₈</w:t>
            </w:r>
            <w:r>
              <w:rPr>
                <w:rFonts w:eastAsia="仿宋_GB2312"/>
                <w:color w:val="000000"/>
                <w:sz w:val="24"/>
              </w:rPr>
              <w:t>NO₃</w:t>
            </w:r>
            <w:r>
              <w:rPr>
                <w:rFonts w:eastAsia="仿宋_GB2312"/>
                <w:color w:val="000000"/>
                <w:sz w:val="24"/>
              </w:rPr>
              <w:t>计）和糠酸莫米松</w:t>
            </w:r>
            <w:r>
              <w:rPr>
                <w:rFonts w:eastAsia="仿宋_GB2312"/>
                <w:color w:val="000000"/>
                <w:sz w:val="24"/>
              </w:rPr>
              <w:t>80μg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Novarti</w:t>
            </w:r>
            <w:r>
              <w:rPr>
                <w:rFonts w:eastAsia="仿宋_GB2312"/>
                <w:color w:val="000000"/>
                <w:sz w:val="24"/>
              </w:rPr>
              <w:t xml:space="preserve">sPharma AG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复方肝素钠尿囊素凝胶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Compound Heparin Sodium and Allantoin Gel/</w:t>
            </w:r>
            <w:r>
              <w:rPr>
                <w:rFonts w:eastAsia="仿宋_GB2312"/>
                <w:color w:val="000000"/>
                <w:sz w:val="24"/>
              </w:rPr>
              <w:t>康瑞保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每</w:t>
            </w:r>
            <w:r>
              <w:rPr>
                <w:rFonts w:eastAsia="仿宋_GB2312"/>
                <w:color w:val="000000"/>
                <w:sz w:val="24"/>
              </w:rPr>
              <w:t>100g</w:t>
            </w:r>
            <w:r>
              <w:rPr>
                <w:rFonts w:eastAsia="仿宋_GB2312"/>
                <w:color w:val="000000"/>
                <w:sz w:val="24"/>
              </w:rPr>
              <w:t>含</w:t>
            </w:r>
            <w:r>
              <w:rPr>
                <w:rFonts w:eastAsia="仿宋_GB2312"/>
                <w:color w:val="000000"/>
                <w:sz w:val="24"/>
              </w:rPr>
              <w:t>10.0</w:t>
            </w:r>
            <w:r>
              <w:rPr>
                <w:rFonts w:eastAsia="仿宋_GB2312"/>
                <w:color w:val="000000"/>
                <w:sz w:val="24"/>
              </w:rPr>
              <w:t>克洋葱提取物，</w:t>
            </w:r>
            <w:r>
              <w:rPr>
                <w:rFonts w:eastAsia="仿宋_GB2312"/>
                <w:color w:val="000000"/>
                <w:sz w:val="24"/>
              </w:rPr>
              <w:t>5000IU</w:t>
            </w:r>
            <w:r>
              <w:rPr>
                <w:rFonts w:eastAsia="仿宋_GB2312"/>
                <w:color w:val="000000"/>
                <w:sz w:val="24"/>
              </w:rPr>
              <w:t>肝素钠，</w:t>
            </w:r>
            <w:r>
              <w:rPr>
                <w:rFonts w:eastAsia="仿宋_GB2312"/>
                <w:color w:val="000000"/>
                <w:sz w:val="24"/>
              </w:rPr>
              <w:t>1.0</w:t>
            </w:r>
            <w:r>
              <w:rPr>
                <w:rFonts w:eastAsia="仿宋_GB2312"/>
                <w:color w:val="000000"/>
                <w:sz w:val="24"/>
              </w:rPr>
              <w:t>克尿囊素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Merz Pharmaceuticals GmbH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氟</w:t>
            </w:r>
            <w:r>
              <w:rPr>
                <w:rFonts w:eastAsia="仿宋_GB2312"/>
                <w:color w:val="000000"/>
                <w:sz w:val="24"/>
              </w:rPr>
              <w:t>[18F]</w:t>
            </w:r>
            <w:r>
              <w:rPr>
                <w:rFonts w:eastAsia="仿宋_GB2312"/>
                <w:color w:val="000000"/>
                <w:sz w:val="24"/>
              </w:rPr>
              <w:t>妥</w:t>
            </w:r>
            <w:r>
              <w:rPr>
                <w:rFonts w:eastAsia="仿宋_GB2312"/>
                <w:color w:val="000000"/>
                <w:sz w:val="24"/>
              </w:rPr>
              <w:t>司特注射液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Flotufolastat F-18 Gallium Injection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296 -5846 MBq/ml 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8 - 158 mCi/ml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Blue Ear</w:t>
            </w:r>
            <w:r>
              <w:rPr>
                <w:rFonts w:eastAsia="仿宋_GB2312"/>
                <w:color w:val="000000"/>
                <w:sz w:val="24"/>
              </w:rPr>
              <w:t>th Diagnostics Ltd.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维生素</w:t>
            </w:r>
            <w:r>
              <w:rPr>
                <w:rFonts w:eastAsia="仿宋_GB2312"/>
                <w:color w:val="000000"/>
                <w:sz w:val="24"/>
              </w:rPr>
              <w:t>B12</w:t>
            </w:r>
            <w:r>
              <w:rPr>
                <w:rFonts w:eastAsia="仿宋_GB2312"/>
                <w:color w:val="000000"/>
                <w:sz w:val="24"/>
              </w:rPr>
              <w:t>注射液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Cyanocobalamin Injection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1ml</w:t>
            </w:r>
            <w:r>
              <w:rPr>
                <w:rFonts w:eastAsia="仿宋_GB2312" w:hint="eastAsia"/>
                <w:color w:val="000000"/>
                <w:sz w:val="24"/>
              </w:rPr>
              <w:t>:</w:t>
            </w:r>
            <w:r>
              <w:rPr>
                <w:rFonts w:eastAsia="仿宋_GB2312"/>
                <w:color w:val="000000"/>
                <w:sz w:val="24"/>
              </w:rPr>
              <w:t>1mg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AMERICAN REGENT, INC.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盐酸沙丙蝶呤散剂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Sapropterin dihydrochloride power for oral solution/ KUVAN®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BioMarin Pharmaceutical Inc.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硫普罗宁肠溶片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Tiopronin E</w:t>
            </w:r>
            <w:r>
              <w:rPr>
                <w:rFonts w:eastAsia="仿宋_GB2312"/>
                <w:color w:val="000000"/>
                <w:sz w:val="24"/>
              </w:rPr>
              <w:t>nteric-coated Tablets/THIOLA EC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MISSION PHARMACAL CO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苯磺酸氨氯地平口服溶液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Amlodipine besylate oral solution / NORLIQVA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1mg/ml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CMP DEVELOPMENT LLC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氨氯地平缬沙坦氢氯噻嗪片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Amlodipine, Valsartan, and Hydrochlorothiazide Tablets/Exforge HCT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/160/12.5mg</w:t>
            </w:r>
            <w:r>
              <w:rPr>
                <w:rFonts w:eastAsia="仿宋_GB2312"/>
                <w:color w:val="000000"/>
                <w:sz w:val="24"/>
              </w:rPr>
              <w:t>：每片含氨氯地平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/>
                <w:color w:val="000000"/>
                <w:sz w:val="24"/>
              </w:rPr>
              <w:t>、缬沙坦</w:t>
            </w:r>
            <w:r>
              <w:rPr>
                <w:rFonts w:eastAsia="仿宋_GB2312"/>
                <w:color w:val="000000"/>
                <w:sz w:val="24"/>
              </w:rPr>
              <w:t>160mg</w:t>
            </w:r>
            <w:r>
              <w:rPr>
                <w:rFonts w:eastAsia="仿宋_GB2312"/>
                <w:color w:val="000000"/>
                <w:sz w:val="24"/>
              </w:rPr>
              <w:t>与氢氯噻嗪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联苯乙酸贴剂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Felbinac tape</w:t>
            </w:r>
          </w:p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/Seltouch Tapes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3E3E3E"/>
                <w:sz w:val="24"/>
              </w:rPr>
              <w:t>70mg/</w:t>
            </w:r>
            <w:r>
              <w:rPr>
                <w:rFonts w:eastAsia="仿宋_GB2312"/>
                <w:color w:val="3E3E3E"/>
                <w:sz w:val="24"/>
              </w:rPr>
              <w:t>贴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帝國製薬株式会社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缬沙坦口崩片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Valsartan Orally Disintegrating Tablets /DIOVAN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ノバルティスファ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マ株式会社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缬沙坦口崩片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Valsa</w:t>
            </w:r>
            <w:r>
              <w:rPr>
                <w:rFonts w:eastAsia="仿宋_GB2312"/>
                <w:color w:val="000000"/>
                <w:sz w:val="24"/>
              </w:rPr>
              <w:t>rtan Orally Disintegrating Tablets /DIOVAN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ノバルティスファ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マ株式会社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缬沙坦口崩片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Valsartan Orally Disintegrating Tablets /DIOVAN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ノバルティスファ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マ株式会社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缬沙坦口崩片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Valsartan Orally Disintegrating Tablets /DIOVAN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160mg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ノバルティスファ</w:t>
            </w:r>
            <w:r>
              <w:rPr>
                <w:rFonts w:eastAsia="微软雅黑"/>
                <w:color w:val="000000"/>
                <w:sz w:val="24"/>
              </w:rPr>
              <w:t>ー</w:t>
            </w:r>
            <w:r>
              <w:rPr>
                <w:rFonts w:eastAsia="仿宋_GB2312"/>
                <w:color w:val="000000"/>
                <w:sz w:val="24"/>
              </w:rPr>
              <w:t>マ株式会社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匹伐他汀钙口崩片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Pitavastatin Calcium Orally Disintegrating Tablets/Livalo OD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興和株式会社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匹伐他汀钙口崩片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Pitavastatin Calcium Orally Disintegrating Tablets/Livalo OD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興和株式会社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匹伐他汀钙口崩片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Pitavastatin Calcium Orally Disintegrating Tablets/L</w:t>
            </w:r>
            <w:r>
              <w:rPr>
                <w:rFonts w:eastAsia="仿宋_GB2312"/>
                <w:color w:val="000000"/>
                <w:sz w:val="24"/>
              </w:rPr>
              <w:t>ivalo OD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興和株式会社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5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茚达特罗莫米松吸入粉雾剂（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Indacaterol Acetate and Mometasone Furoate Powder for Inhalation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每粒含醋酸茚达特罗</w:t>
            </w:r>
            <w:r>
              <w:rPr>
                <w:rFonts w:eastAsia="仿宋_GB2312"/>
                <w:color w:val="000000"/>
                <w:sz w:val="24"/>
              </w:rPr>
              <w:t>150μg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C₂₄H₂</w:t>
            </w:r>
            <w:r>
              <w:rPr>
                <w:rFonts w:eastAsia="MS Mincho"/>
                <w:color w:val="000000"/>
                <w:sz w:val="24"/>
              </w:rPr>
              <w:t>₈</w:t>
            </w:r>
            <w:r>
              <w:rPr>
                <w:rFonts w:eastAsia="仿宋_GB2312"/>
                <w:color w:val="000000"/>
                <w:sz w:val="24"/>
              </w:rPr>
              <w:t>N₂O₃</w:t>
            </w:r>
            <w:r>
              <w:rPr>
                <w:rFonts w:eastAsia="仿宋_GB2312"/>
                <w:color w:val="000000"/>
                <w:sz w:val="24"/>
              </w:rPr>
              <w:t>计）和糠酸莫米松</w:t>
            </w:r>
            <w:r>
              <w:rPr>
                <w:rFonts w:eastAsia="仿宋_GB2312"/>
                <w:color w:val="000000"/>
                <w:sz w:val="24"/>
              </w:rPr>
              <w:t>80μg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AG/Grand Medical Pty Ltd.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茚达特罗莫米松吸入粉雾剂（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Indacaterol Acetate an</w:t>
            </w:r>
            <w:r>
              <w:rPr>
                <w:rFonts w:eastAsia="仿宋_GB2312"/>
                <w:color w:val="000000"/>
                <w:sz w:val="24"/>
              </w:rPr>
              <w:t>d Mometasone Furoate Powder for Inhalation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每粒含醋酸茚达特罗</w:t>
            </w:r>
            <w:r>
              <w:rPr>
                <w:rFonts w:eastAsia="仿宋_GB2312"/>
                <w:color w:val="000000"/>
                <w:sz w:val="24"/>
              </w:rPr>
              <w:t>150μg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₂₄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₈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₃</w:t>
            </w:r>
            <w:r>
              <w:rPr>
                <w:rFonts w:eastAsia="仿宋_GB2312"/>
                <w:color w:val="000000"/>
                <w:sz w:val="24"/>
              </w:rPr>
              <w:t>计）和糠酸莫米松</w:t>
            </w:r>
            <w:r>
              <w:rPr>
                <w:rFonts w:eastAsia="仿宋_GB2312"/>
                <w:color w:val="000000"/>
                <w:sz w:val="24"/>
              </w:rPr>
              <w:t>160μg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AG/Grand Medical Pty Ltd.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茚达特罗莫米松吸入粉雾剂（</w:t>
            </w:r>
            <w:r>
              <w:rPr>
                <w:rFonts w:eastAsia="仿宋_GB2312"/>
                <w:color w:val="000000"/>
                <w:sz w:val="24"/>
              </w:rPr>
              <w:t>III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Indacaterol Acetate and Mometasone Furoate Powder for Inhalation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每粒含醋酸茚达特罗</w:t>
            </w:r>
            <w:r>
              <w:rPr>
                <w:rFonts w:eastAsia="仿宋_GB2312"/>
                <w:color w:val="000000"/>
                <w:sz w:val="24"/>
              </w:rPr>
              <w:t>150μg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₂₄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ascii="Cambria Math" w:eastAsia="MS Mincho" w:hAnsi="Cambria Math" w:cs="Cambria Math"/>
                <w:color w:val="000000"/>
                <w:sz w:val="24"/>
              </w:rPr>
              <w:t>₈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₂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ascii="Cambria Math" w:eastAsia="仿宋_GB2312" w:hAnsi="Cambria Math" w:cs="Cambria Math"/>
                <w:color w:val="000000"/>
                <w:sz w:val="24"/>
              </w:rPr>
              <w:t>₃</w:t>
            </w:r>
            <w:r>
              <w:rPr>
                <w:rFonts w:eastAsia="仿宋_GB2312"/>
                <w:color w:val="000000"/>
                <w:sz w:val="24"/>
              </w:rPr>
              <w:t>计）和糠酸莫米松</w:t>
            </w:r>
            <w:r>
              <w:rPr>
                <w:rFonts w:eastAsia="仿宋_GB2312"/>
                <w:color w:val="000000"/>
                <w:sz w:val="24"/>
              </w:rPr>
              <w:t>320μg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Pharma AG/Grand Medical Pty Ltd.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二十碳五烯酸乙酯软胶囊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Icosapent Ethyl Soft Capsules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1.0g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Amarin Pharmaceuticals Ireland Ltd.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西罗莫司凝胶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Sirolimus Gel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0.2%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10g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20mg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Nobelpharma Co., Ltd.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注射用两性</w:t>
            </w:r>
            <w:r>
              <w:rPr>
                <w:rFonts w:eastAsia="仿宋_GB2312"/>
                <w:color w:val="000000"/>
                <w:sz w:val="24"/>
              </w:rPr>
              <w:t>霉素</w:t>
            </w:r>
            <w:r>
              <w:rPr>
                <w:rFonts w:eastAsia="仿宋_GB2312"/>
                <w:color w:val="000000"/>
                <w:sz w:val="24"/>
              </w:rPr>
              <w:t>B</w:t>
            </w:r>
            <w:r>
              <w:rPr>
                <w:rFonts w:eastAsia="仿宋_GB2312"/>
                <w:color w:val="000000"/>
                <w:sz w:val="24"/>
              </w:rPr>
              <w:t>脂质体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Amphotericin B Liposome for Injection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万单位）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Gilead Sciences Ireland UC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甲氨蝶呤注射液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Methotrexate Injection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50mg/2ml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Australia Pty Ltd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丙戊酸钠口服溶液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Sodium Valproate Oral Solution/</w:t>
            </w:r>
            <w:r>
              <w:rPr>
                <w:rFonts w:eastAsia="仿宋_GB2312"/>
                <w:color w:val="000000"/>
                <w:sz w:val="24"/>
              </w:rPr>
              <w:t>德巴金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300ml:12g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赛诺菲（杭州）制药有限公司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经审核确定的</w:t>
            </w:r>
            <w:r>
              <w:rPr>
                <w:rFonts w:eastAsia="仿宋_GB2312"/>
                <w:color w:val="000000"/>
                <w:sz w:val="24"/>
              </w:rPr>
              <w:t>国外原研企业在中国境内生产的药品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硝普钠注射液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Sodium Nitroprusside Injection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2ml</w:t>
            </w:r>
            <w:r>
              <w:rPr>
                <w:rFonts w:eastAsia="仿宋_GB2312" w:hint="eastAsia"/>
                <w:color w:val="000000"/>
                <w:sz w:val="24"/>
              </w:rPr>
              <w:t>:</w:t>
            </w:r>
            <w:r>
              <w:rPr>
                <w:rFonts w:eastAsia="仿宋_GB2312"/>
                <w:color w:val="000000"/>
                <w:sz w:val="24"/>
              </w:rPr>
              <w:t>6mg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丸石製薬株式会社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numPr>
                <w:ilvl w:val="0"/>
                <w:numId w:val="1"/>
              </w:numPr>
              <w:tabs>
                <w:tab w:val="left" w:pos="227"/>
              </w:tabs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硝普钠注射液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Sodium Nitroprusside Injection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10ml</w:t>
            </w:r>
            <w:r>
              <w:rPr>
                <w:rFonts w:eastAsia="仿宋_GB2312" w:hint="eastAsia"/>
                <w:color w:val="000000"/>
                <w:sz w:val="24"/>
              </w:rPr>
              <w:t>:</w:t>
            </w:r>
            <w:r>
              <w:rPr>
                <w:rFonts w:eastAsia="仿宋_GB2312"/>
                <w:color w:val="000000"/>
                <w:sz w:val="24"/>
              </w:rPr>
              <w:t>30mg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丸石製薬株式会社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7-90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叶酸片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Folic Acid Tablets/SPECIAFOLDINE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MERUS LABS LUXCO S.à R.L/ MERUS LABS LUXCO </w:t>
            </w:r>
            <w:r>
              <w:rPr>
                <w:rFonts w:eastAsia="仿宋_GB2312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 xml:space="preserve"> S.à R.L.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MERUS LABS LUXCO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 xml:space="preserve"> S.à R.L</w:t>
            </w:r>
            <w:r>
              <w:rPr>
                <w:rFonts w:eastAsia="仿宋_GB2312"/>
                <w:color w:val="000000"/>
                <w:sz w:val="24"/>
              </w:rPr>
              <w:t>，不限定上市国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己酮可可碱缓释片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Pentoxifylline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Modified Release Tablets/Trental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Aventis Pharma Limited/Sanofi/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Sanofi-Produtos Farmaceuticos Lda/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Sanofi-Aventis Deutschland GmbH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Sanofi-Aventis </w:t>
            </w:r>
            <w:r>
              <w:rPr>
                <w:rFonts w:eastAsia="仿宋_GB2312"/>
                <w:color w:val="000000"/>
                <w:sz w:val="24"/>
              </w:rPr>
              <w:t xml:space="preserve">Deutschland GmbH 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8-97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米氮平片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Mirtazapine Tablets/Remeron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ORGANON USA INC/ORGANON USA LLC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ORGANON USA LLC</w:t>
            </w:r>
          </w:p>
        </w:tc>
      </w:tr>
      <w:tr w:rsidR="00000000">
        <w:trPr>
          <w:cantSplit/>
          <w:trHeight w:val="185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8-265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呋喃妥因胶囊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Nitrofurantoin Macrocrystals Capsules/Macrodantin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ALVOGEN MALTA OPERATIONS LTD/Almatica Pharma LLC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</w:t>
            </w:r>
            <w:r>
              <w:rPr>
                <w:rFonts w:eastAsia="仿宋_GB2312"/>
                <w:color w:val="000000"/>
                <w:sz w:val="24"/>
              </w:rPr>
              <w:t>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Almatica Pharma LLC </w:t>
            </w:r>
          </w:p>
        </w:tc>
      </w:tr>
      <w:tr w:rsidR="00000000">
        <w:trPr>
          <w:cantSplit/>
          <w:trHeight w:val="1706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8-266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呋喃妥因胶囊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Nitrofurantoin Macrocrystals Capsules/Macrodantin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ALVOGEN MALTA OPERATIONS LTD/Almatica Pharma LLC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美国橙皮书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Almatica Pharma LLC  </w:t>
            </w:r>
          </w:p>
        </w:tc>
      </w:tr>
      <w:tr w:rsidR="00000000">
        <w:trPr>
          <w:cantSplit/>
          <w:trHeight w:val="131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坎地氢噻片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Candesartan Cilexetil and Hydrochlorothiazide Tablets/Blopres</w:t>
            </w:r>
            <w:r>
              <w:rPr>
                <w:rFonts w:eastAsia="仿宋_GB2312"/>
                <w:color w:val="000000"/>
                <w:sz w:val="24"/>
              </w:rPr>
              <w:t>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每片含坎地沙坦酯</w:t>
            </w:r>
            <w:r>
              <w:rPr>
                <w:rFonts w:eastAsia="仿宋_GB2312"/>
                <w:color w:val="000000"/>
                <w:sz w:val="24"/>
              </w:rPr>
              <w:t>16mg</w:t>
            </w:r>
            <w:r>
              <w:rPr>
                <w:rFonts w:eastAsia="仿宋_GB2312"/>
                <w:color w:val="000000"/>
                <w:sz w:val="24"/>
              </w:rPr>
              <w:t>，氢氯噻嗪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GmbH/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CHEPLAPHARM Arzneimittel GmbH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欧盟上市（上市国家：德国；产地：意大利）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CHEPLAPHARM Arzneimittel GmbH</w:t>
            </w:r>
          </w:p>
        </w:tc>
      </w:tr>
      <w:tr w:rsidR="00000000">
        <w:trPr>
          <w:cantSplit/>
          <w:trHeight w:val="1168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10-72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坎地氢噻片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Candesartan Cilexetil and Hydrochlorothiazide Tablets/Blopress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每片含坎地沙坦酯</w:t>
            </w:r>
            <w:r>
              <w:rPr>
                <w:rFonts w:eastAsia="仿宋_GB2312"/>
                <w:color w:val="000000"/>
                <w:sz w:val="24"/>
              </w:rPr>
              <w:t>8mg</w:t>
            </w:r>
            <w:r>
              <w:rPr>
                <w:rFonts w:eastAsia="仿宋_GB2312"/>
                <w:color w:val="000000"/>
                <w:sz w:val="24"/>
              </w:rPr>
              <w:t>，氢氯噻嗪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GmbH/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CHEPLAPHARM Arz</w:t>
            </w:r>
            <w:r>
              <w:rPr>
                <w:rFonts w:eastAsia="仿宋_GB2312"/>
                <w:color w:val="000000"/>
                <w:sz w:val="24"/>
              </w:rPr>
              <w:t>neimittel GmbH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欧盟上市（上市国家：德国；产地：意大利）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CHEPLAPHARM Arzneimittel GmbH</w:t>
            </w:r>
          </w:p>
        </w:tc>
      </w:tr>
      <w:tr w:rsidR="00000000">
        <w:trPr>
          <w:cantSplit/>
          <w:trHeight w:val="114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17-4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阿莫西林克拉维酸钾干糖浆（</w:t>
            </w:r>
            <w:r>
              <w:rPr>
                <w:rFonts w:eastAsia="仿宋_GB2312"/>
                <w:color w:val="000000"/>
                <w:sz w:val="24"/>
              </w:rPr>
              <w:t>14:1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CLAVAMOX Dry Syrup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642.9mg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1.01g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 Smithkline K.K.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日本橙皮书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修订规格表述为</w:t>
            </w:r>
            <w:r>
              <w:rPr>
                <w:rFonts w:eastAsia="仿宋_GB2312"/>
                <w:color w:val="000000"/>
                <w:sz w:val="24"/>
              </w:rPr>
              <w:t>642.9mg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1.01g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1588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23-161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盐酸林可霉素注射液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Lincomycin Injection/Lincocin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Eq 300mg Base/Ml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18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4</w:t>
            </w:r>
            <w:r>
              <w:rPr>
                <w:rFonts w:eastAsia="仿宋_GB2312"/>
                <w:color w:val="000000"/>
                <w:sz w:val="24"/>
              </w:rPr>
              <w:t>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6</w:t>
            </w:r>
            <w:r>
              <w:rPr>
                <w:rFonts w:eastAsia="仿宋_GB2312"/>
                <w:color w:val="000000"/>
                <w:sz w:val="24"/>
              </w:rPr>
              <w:t>S</w:t>
            </w:r>
            <w:r>
              <w:rPr>
                <w:rFonts w:eastAsia="仿宋_GB2312"/>
                <w:color w:val="000000"/>
                <w:sz w:val="24"/>
              </w:rPr>
              <w:t>计）（</w:t>
            </w:r>
            <w:r>
              <w:rPr>
                <w:rFonts w:eastAsia="仿宋_GB2312"/>
                <w:color w:val="000000"/>
                <w:sz w:val="24"/>
              </w:rPr>
              <w:t>1ml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2ml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10ml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Pharmacia And Upjohn Co/Pfizer Inc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Inc</w:t>
            </w:r>
          </w:p>
        </w:tc>
      </w:tr>
      <w:tr w:rsidR="00000000">
        <w:trPr>
          <w:cantSplit/>
          <w:trHeight w:val="2661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23-285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碳酸镧咀嚼片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Lanthanum Carbonate Chewable Tablets/Fosrenol/Foznol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Shire Pharmaceutical Contracts Ltd/Takeda Pharmaceuticals International AG Ireland Branch/ Tak</w:t>
            </w:r>
            <w:r>
              <w:rPr>
                <w:rFonts w:eastAsia="仿宋_GB2312"/>
                <w:color w:val="000000"/>
                <w:sz w:val="24"/>
              </w:rPr>
              <w:t>eda UK Ltd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Takeda Pharmaceuticals International AG Ireland Branch/</w:t>
            </w:r>
            <w:r>
              <w:rPr>
                <w:rFonts w:eastAsia="仿宋_GB2312"/>
                <w:color w:val="000000"/>
                <w:sz w:val="24"/>
              </w:rPr>
              <w:t>Takeda UK Ltd</w:t>
            </w:r>
          </w:p>
        </w:tc>
      </w:tr>
      <w:tr w:rsidR="00000000">
        <w:trPr>
          <w:cantSplit/>
          <w:trHeight w:val="174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23-323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盐酸左西替利嗪口服溶液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Levocetirizine dihydrochloride Oral Solution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0.05%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75ml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150ml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200ml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UCB Pharma GmbH/ UCB Pharma Limited/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UCB s.r.o./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UCB Pharma Oy Finlan</w:t>
            </w:r>
            <w:r>
              <w:rPr>
                <w:rFonts w:eastAsia="仿宋_GB2312"/>
                <w:color w:val="000000"/>
                <w:sz w:val="24"/>
              </w:rPr>
              <w:t>d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UCB Pharma GmbH/ UCB Pharma Limited/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UCB s.r.o./UCB Pharma Oy Finland</w:t>
            </w:r>
          </w:p>
        </w:tc>
      </w:tr>
      <w:tr w:rsidR="00000000">
        <w:trPr>
          <w:cantSplit/>
          <w:trHeight w:val="2271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24-104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培哚普利氨氯地平片（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Perindopril Arginine And Amlodipine besilate 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开素达（</w:t>
            </w:r>
            <w:r>
              <w:rPr>
                <w:rFonts w:eastAsia="仿宋_GB2312"/>
                <w:color w:val="000000"/>
                <w:sz w:val="24"/>
              </w:rPr>
              <w:t>Coveram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每片含精氨酸培哚普利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/>
                <w:color w:val="000000"/>
                <w:sz w:val="24"/>
              </w:rPr>
              <w:t>和苯磺酸氨氯地平（以氨氯地平计）</w:t>
            </w: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Les Laboratoires Servier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英文名由</w:t>
            </w:r>
            <w:r>
              <w:rPr>
                <w:rFonts w:eastAsia="仿宋_GB2312"/>
                <w:color w:val="000000"/>
                <w:sz w:val="24"/>
              </w:rPr>
              <w:t>Peri</w:t>
            </w:r>
            <w:r>
              <w:rPr>
                <w:rFonts w:eastAsia="仿宋_GB2312"/>
                <w:color w:val="000000"/>
                <w:sz w:val="24"/>
              </w:rPr>
              <w:t>ndopril Arginine And Amlodipine Besylate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）更新为</w:t>
            </w:r>
            <w:r>
              <w:rPr>
                <w:rFonts w:eastAsia="仿宋_GB2312"/>
                <w:color w:val="000000"/>
                <w:sz w:val="24"/>
              </w:rPr>
              <w:t>Perindopril Arginine And Amlodipine besilate 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000000">
        <w:trPr>
          <w:cantSplit/>
          <w:trHeight w:val="229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24-105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培哚普利氨氯地平片（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Perindopril Arginine And Amlodipine besilate 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开素达（</w:t>
            </w:r>
            <w:r>
              <w:rPr>
                <w:rFonts w:eastAsia="仿宋_GB2312"/>
                <w:color w:val="000000"/>
                <w:sz w:val="24"/>
              </w:rPr>
              <w:t>Coveram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每片含精氨酸培哚普利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/>
                <w:color w:val="000000"/>
                <w:sz w:val="24"/>
              </w:rPr>
              <w:t>和苯磺酸氨氯地平（以氨氯地平计）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Les Laboratoires Se</w:t>
            </w:r>
            <w:r>
              <w:rPr>
                <w:rFonts w:eastAsia="仿宋_GB2312"/>
                <w:color w:val="000000"/>
                <w:sz w:val="24"/>
              </w:rPr>
              <w:t>rvier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英文名由</w:t>
            </w:r>
            <w:r>
              <w:rPr>
                <w:rFonts w:eastAsia="仿宋_GB2312"/>
                <w:color w:val="000000"/>
                <w:sz w:val="24"/>
              </w:rPr>
              <w:t>Perindopril Arginine And Amlodipine Besylate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）更新为</w:t>
            </w:r>
            <w:r>
              <w:rPr>
                <w:rFonts w:eastAsia="仿宋_GB2312"/>
                <w:color w:val="000000"/>
                <w:sz w:val="24"/>
              </w:rPr>
              <w:t>Perindopril Arginine And Amlodipine besilate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24-106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培哚普利氨氯地平片（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Perindopril Arginine And Amlodipine besilate 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开素达（</w:t>
            </w:r>
            <w:r>
              <w:rPr>
                <w:rFonts w:eastAsia="仿宋_GB2312"/>
                <w:color w:val="000000"/>
                <w:sz w:val="24"/>
              </w:rPr>
              <w:t>Coveram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每片含精氨酸培哚普利</w:t>
            </w: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/>
                <w:color w:val="000000"/>
                <w:sz w:val="24"/>
              </w:rPr>
              <w:t>和苯磺酸氨氯地平（以氨氯地平计）</w:t>
            </w:r>
            <w:r>
              <w:rPr>
                <w:rFonts w:eastAsia="仿宋_GB2312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z w:val="24"/>
              </w:rPr>
              <w:t>mg</w:t>
            </w:r>
          </w:p>
        </w:tc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Les Laboratoires Servier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英文名由</w:t>
            </w:r>
            <w:r>
              <w:rPr>
                <w:rFonts w:eastAsia="仿宋_GB2312"/>
                <w:color w:val="000000"/>
                <w:sz w:val="24"/>
              </w:rPr>
              <w:t>Perindopril Arginine And Amlodipine Besylate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）更新为</w:t>
            </w:r>
            <w:r>
              <w:rPr>
                <w:rFonts w:eastAsia="仿宋_GB2312"/>
                <w:color w:val="000000"/>
                <w:sz w:val="24"/>
              </w:rPr>
              <w:t>Perindopril Arginine And Amlodipine besilate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24-107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培哚普利氨氯地平片（</w:t>
            </w:r>
            <w:r>
              <w:rPr>
                <w:rFonts w:eastAsia="仿宋_GB2312"/>
                <w:color w:val="000000"/>
                <w:sz w:val="24"/>
              </w:rPr>
              <w:t>III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Perindopril Arginine And Amlodipine besilate 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开素达（</w:t>
            </w:r>
            <w:r>
              <w:rPr>
                <w:rFonts w:eastAsia="仿宋_GB2312"/>
                <w:color w:val="000000"/>
                <w:sz w:val="24"/>
              </w:rPr>
              <w:t>Coveram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每片含精</w:t>
            </w:r>
            <w:r>
              <w:rPr>
                <w:rFonts w:eastAsia="仿宋_GB2312"/>
                <w:color w:val="000000"/>
                <w:sz w:val="24"/>
              </w:rPr>
              <w:t>氨酸培哚普利</w:t>
            </w: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/>
                <w:color w:val="000000"/>
                <w:sz w:val="24"/>
              </w:rPr>
              <w:t>和苯磺酸氨氯地平（以氨氯地平计）</w:t>
            </w:r>
            <w:r>
              <w:rPr>
                <w:rFonts w:eastAsia="仿宋_GB2312"/>
                <w:color w:val="000000"/>
                <w:sz w:val="24"/>
              </w:rPr>
              <w:t>5mg</w:t>
            </w:r>
          </w:p>
        </w:tc>
        <w:tc>
          <w:tcPr>
            <w:tcW w:w="2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Les Laboratoires Servier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国内上市的原研药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英文名由</w:t>
            </w:r>
            <w:r>
              <w:rPr>
                <w:rFonts w:eastAsia="仿宋_GB2312"/>
                <w:color w:val="000000"/>
                <w:sz w:val="24"/>
              </w:rPr>
              <w:t>Perindopril Arginine And Amlodipine Besylate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III</w:t>
            </w:r>
            <w:r>
              <w:rPr>
                <w:rFonts w:eastAsia="仿宋_GB2312"/>
                <w:color w:val="000000"/>
                <w:sz w:val="24"/>
              </w:rPr>
              <w:t>）更新为</w:t>
            </w:r>
            <w:r>
              <w:rPr>
                <w:rFonts w:eastAsia="仿宋_GB2312"/>
                <w:color w:val="000000"/>
                <w:sz w:val="24"/>
              </w:rPr>
              <w:t>Perindopril Arginine And Amlodipine besilate Tablets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III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24-190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阿莫西林胶囊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Amoxicillin Capsules/Clamoxyl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/Gl</w:t>
            </w:r>
            <w:r>
              <w:rPr>
                <w:rFonts w:eastAsia="仿宋_GB2312"/>
                <w:color w:val="000000"/>
                <w:sz w:val="24"/>
              </w:rPr>
              <w:t>axoSmithKline Pharmaceuticals s.a./n.v.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GlaxoSmithKline Pharmaceuticals s.a./n.v. 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26-4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色甘酸钠滴眼液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Sodium Cromoglicate Eye Drops/Opticrom; Lomudal;Alleoptical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2%</w:t>
            </w:r>
            <w:r>
              <w:rPr>
                <w:rFonts w:eastAsia="仿宋_GB2312"/>
                <w:color w:val="000000"/>
                <w:sz w:val="24"/>
              </w:rPr>
              <w:t>或</w:t>
            </w:r>
            <w:r>
              <w:rPr>
                <w:rFonts w:eastAsia="仿宋_GB2312"/>
                <w:color w:val="000000"/>
                <w:sz w:val="24"/>
              </w:rPr>
              <w:t>20mg/ml</w:t>
            </w:r>
            <w:r>
              <w:rPr>
                <w:rFonts w:eastAsia="仿宋_GB2312"/>
                <w:color w:val="000000"/>
                <w:sz w:val="24"/>
              </w:rPr>
              <w:t>（以色甘酸钠计）包装规格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10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13.5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0.3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0.35ml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Sanofi/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Sanofi-Aventis/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Melisana sa/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Op</w:t>
            </w:r>
            <w:r>
              <w:rPr>
                <w:rFonts w:eastAsia="仿宋_GB2312"/>
                <w:sz w:val="24"/>
              </w:rPr>
              <w:t>ella Healthcare France SAST/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A Sanofi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Opella Healthcare France SAS T/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A Sanofi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26-63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氨溴特罗口服溶液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Ambroxol Hydrochloride and Clenbuterol Hydrochloride Oral Solution/Spasmo-Mucosolvan Saft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1ml:</w:t>
            </w:r>
            <w:r>
              <w:rPr>
                <w:rFonts w:eastAsia="仿宋_GB2312"/>
                <w:color w:val="000000"/>
                <w:sz w:val="24"/>
              </w:rPr>
              <w:t>盐酸氨溴索</w:t>
            </w:r>
            <w:r>
              <w:rPr>
                <w:rFonts w:eastAsia="仿宋_GB2312"/>
                <w:color w:val="000000"/>
                <w:sz w:val="24"/>
              </w:rPr>
              <w:t>1.5mg</w:t>
            </w:r>
            <w:r>
              <w:rPr>
                <w:rFonts w:eastAsia="仿宋_GB2312"/>
                <w:color w:val="000000"/>
                <w:sz w:val="24"/>
              </w:rPr>
              <w:t>与盐酸克仑特罗</w:t>
            </w:r>
            <w:r>
              <w:rPr>
                <w:rFonts w:eastAsia="仿宋_GB2312"/>
                <w:color w:val="000000"/>
                <w:sz w:val="24"/>
              </w:rPr>
              <w:t>1μg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Sanofi-Aventis Deutschland </w:t>
            </w:r>
            <w:r>
              <w:rPr>
                <w:rFonts w:eastAsia="仿宋_GB2312"/>
                <w:color w:val="000000"/>
                <w:sz w:val="24"/>
              </w:rPr>
              <w:t>GmbH./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A. Nattermann &amp; Cie. GmbH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A. Nattermann &amp; Cie. GmbH</w:t>
            </w:r>
            <w:r>
              <w:rPr>
                <w:rFonts w:eastAsia="仿宋_GB2312"/>
                <w:color w:val="000000"/>
                <w:sz w:val="24"/>
              </w:rPr>
              <w:t>，不限定包装规格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26-86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盐酸氨溴索滴剂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Ambroxol Hydrochloride Drops/Mucosolvan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30mg/2ml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Sanofi-Aventis Deutschland GmbH/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A. Nattermann &amp; Cie. GmbH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A. Nattermann &amp; Cie. GmbH</w:t>
            </w:r>
            <w:r>
              <w:rPr>
                <w:rFonts w:eastAsia="仿宋_GB2312"/>
                <w:color w:val="000000"/>
                <w:sz w:val="24"/>
              </w:rPr>
              <w:t>，不限定包</w:t>
            </w:r>
            <w:r>
              <w:rPr>
                <w:rFonts w:eastAsia="仿宋_GB2312"/>
                <w:color w:val="000000"/>
                <w:sz w:val="24"/>
              </w:rPr>
              <w:t>装规格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27-319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度他雄胺软胶囊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Dutasteride Soft Capsules/Avodart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GlaxoSmithKline/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Woodward Pharma Services LLC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GlaxoSmithKline/Woodward Pharma Services LLC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38-43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苯磺酸氨氯地平片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Amlodipine Besylate Tablets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20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25</w:t>
            </w:r>
            <w:r>
              <w:rPr>
                <w:rFonts w:eastAsia="仿宋_GB2312"/>
                <w:color w:val="000000"/>
                <w:sz w:val="24"/>
              </w:rPr>
              <w:t>CLN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5</w:t>
            </w:r>
            <w:r>
              <w:rPr>
                <w:rFonts w:eastAsia="仿宋_GB2312"/>
                <w:color w:val="000000"/>
                <w:sz w:val="24"/>
              </w:rPr>
              <w:t>计）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Pfizer/Viatris Netherla</w:t>
            </w:r>
            <w:r>
              <w:rPr>
                <w:rFonts w:eastAsia="仿宋_GB2312"/>
                <w:color w:val="000000"/>
                <w:sz w:val="24"/>
              </w:rPr>
              <w:t>nds bv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增加上市许可持有人</w:t>
            </w:r>
            <w:r>
              <w:rPr>
                <w:rFonts w:eastAsia="仿宋_GB2312"/>
                <w:color w:val="000000"/>
                <w:sz w:val="24"/>
              </w:rPr>
              <w:t>Viatris Netherlands bv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41-14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盐酸达克罗宁局部溶液剂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Dyclonine Hydrochloride Topical Solution/Dyclopro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0.50%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Novocol Inc /SEPTODONT INC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更新英文名为</w:t>
            </w:r>
            <w:r>
              <w:rPr>
                <w:rFonts w:eastAsia="仿宋_GB2312"/>
                <w:color w:val="000000"/>
                <w:sz w:val="24"/>
              </w:rPr>
              <w:t>Dyclonine Hydrochloride Topical Solution</w:t>
            </w:r>
            <w:r>
              <w:rPr>
                <w:rFonts w:eastAsia="仿宋_GB2312"/>
                <w:color w:val="000000"/>
                <w:sz w:val="24"/>
              </w:rPr>
              <w:t>，增加上市许可持有人</w:t>
            </w:r>
            <w:r>
              <w:rPr>
                <w:rFonts w:eastAsia="仿宋_GB2312"/>
                <w:color w:val="000000"/>
                <w:sz w:val="24"/>
              </w:rPr>
              <w:t>SEPTODONT INC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ind w:left="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41-15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盐酸达克罗宁局部溶液剂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Dyclonin</w:t>
            </w:r>
            <w:r>
              <w:rPr>
                <w:rFonts w:eastAsia="仿宋_GB2312"/>
                <w:color w:val="000000"/>
                <w:sz w:val="24"/>
              </w:rPr>
              <w:t>e Hydrochloride Topical Solution/Dyclopro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Novocol Inc /SEPTODONT INC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更新英文名为</w:t>
            </w:r>
            <w:r>
              <w:rPr>
                <w:rFonts w:eastAsia="仿宋_GB2312"/>
                <w:color w:val="000000"/>
                <w:sz w:val="24"/>
              </w:rPr>
              <w:t>Dyclonine Hydrochloride Topical Solution</w:t>
            </w:r>
            <w:r>
              <w:rPr>
                <w:rFonts w:eastAsia="仿宋_GB2312"/>
                <w:color w:val="000000"/>
                <w:sz w:val="24"/>
              </w:rPr>
              <w:t>，增加上市许可持有人</w:t>
            </w:r>
            <w:r>
              <w:rPr>
                <w:rFonts w:eastAsia="仿宋_GB2312"/>
                <w:color w:val="000000"/>
                <w:sz w:val="24"/>
              </w:rPr>
              <w:t xml:space="preserve">SEPTODONT INC 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ind w:left="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49-17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盐酸苯海拉明注射液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Diphenhydramine Hydrochloride Injection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1mL</w:t>
            </w:r>
            <w:r>
              <w:rPr>
                <w:rFonts w:eastAsia="仿宋_GB2312" w:hint="eastAsia"/>
                <w:color w:val="000000"/>
                <w:sz w:val="24"/>
              </w:rPr>
              <w:t>:</w:t>
            </w: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West-Ward Pharmaceuticals Internation</w:t>
            </w:r>
            <w:r>
              <w:rPr>
                <w:rFonts w:eastAsia="仿宋_GB2312"/>
                <w:color w:val="000000"/>
                <w:sz w:val="24"/>
              </w:rPr>
              <w:t>al Ltd/Hikma Pharmaceuticals USA Inc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国际公认的同种药品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Hikma Pharmaceuticals USA Inc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ind w:left="5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54-59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聚甲酚磺醛溶液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Policresulen Solution/Albothyl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36%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w/w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Orifarm Healthcare A/S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Gmb/HOrifarm Healthcare A/S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eastAsia="仿宋_GB2312" w:hint="eastAsia"/>
                <w:color w:val="000000"/>
                <w:sz w:val="24"/>
              </w:rPr>
              <w:t>9</w:t>
            </w:r>
            <w:r>
              <w:rPr>
                <w:rFonts w:eastAsia="仿宋_GB2312"/>
                <w:color w:val="000000"/>
                <w:sz w:val="24"/>
              </w:rPr>
              <w:t>-66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乙酰半胱氨酸注射液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Acetylcysteine Inject</w:t>
            </w:r>
            <w:r>
              <w:rPr>
                <w:rFonts w:eastAsia="仿宋_GB2312"/>
                <w:color w:val="000000"/>
                <w:sz w:val="24"/>
              </w:rPr>
              <w:t>ion/Fluimucil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25ml:5g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Zambon Switzerland Ltd/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Zambon Schweiz AG/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Zambon Suisse SA/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Zambon Svizzera SA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Zambon Schweiz AG/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Zambon Suisse SA/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Zambon Svizzera SA 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62-53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乙酰半胱氨酸注射液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Acetylcysteine Injection/Flumil /Fluimucil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3ml:300mg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Zambon S.</w:t>
            </w:r>
            <w:r>
              <w:rPr>
                <w:rFonts w:eastAsia="仿宋_GB2312"/>
                <w:color w:val="000000"/>
                <w:sz w:val="24"/>
              </w:rPr>
              <w:t>A.U 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Zambon Gmbh/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Zambon Italia S.R.L.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Zambon Italia S.R.L. 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ind w:left="57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66-14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聚乙烯醇滴眼液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Polyvinyl Alcohol Eye Drops/ Liquifilm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1.4%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0.4ml</w:t>
            </w:r>
            <w:r>
              <w:rPr>
                <w:rFonts w:eastAsia="仿宋_GB2312"/>
                <w:color w:val="000000"/>
                <w:sz w:val="24"/>
              </w:rPr>
              <w:t>：</w:t>
            </w:r>
            <w:r>
              <w:rPr>
                <w:rFonts w:eastAsia="仿宋_GB2312"/>
                <w:color w:val="000000"/>
                <w:sz w:val="24"/>
              </w:rPr>
              <w:t>5.6mg</w:t>
            </w:r>
            <w:r>
              <w:rPr>
                <w:rFonts w:eastAsia="仿宋_GB2312"/>
                <w:color w:val="000000"/>
                <w:sz w:val="24"/>
              </w:rPr>
              <w:t>）（以聚乙烯醇计）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ALLERGAN PHARMACEUTICALS INTERNATIONAL LIMITED/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color w:val="000000"/>
                <w:sz w:val="18"/>
                <w:szCs w:val="18"/>
              </w:rPr>
              <w:t>AbbVie Logistics B.V.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未进口原研药品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增加上市许可持有人</w:t>
            </w:r>
          </w:p>
          <w:p w:rsidR="00000000" w:rsidRDefault="002E396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AbbVie L</w:t>
            </w:r>
            <w:r>
              <w:rPr>
                <w:rFonts w:eastAsia="仿宋_GB2312"/>
                <w:color w:val="000000"/>
                <w:sz w:val="24"/>
              </w:rPr>
              <w:t>ogistics B.V.</w:t>
            </w:r>
          </w:p>
        </w:tc>
      </w:tr>
      <w:tr w:rsidR="00000000">
        <w:trPr>
          <w:cantSplit/>
          <w:trHeight w:val="85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E39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  <w:tc>
          <w:tcPr>
            <w:tcW w:w="135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E396C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目录中所列尚未在国内上市品种的通用名、剂型等，以药典委核准的为准。</w:t>
            </w:r>
          </w:p>
          <w:p w:rsidR="00000000" w:rsidRDefault="002E396C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2E396C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欧盟上市的参比制剂包括其在英国上市的同一药品。</w:t>
            </w:r>
          </w:p>
          <w:p w:rsidR="00000000" w:rsidRDefault="002E396C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2E396C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</w:t>
            </w:r>
            <w:r>
              <w:rPr>
                <w:rFonts w:eastAsia="仿宋_GB2312"/>
                <w:sz w:val="24"/>
              </w:rPr>
              <w:t>可获得性进行研究。</w:t>
            </w:r>
          </w:p>
        </w:tc>
      </w:tr>
    </w:tbl>
    <w:p w:rsidR="002E396C" w:rsidRDefault="002E396C" w:rsidP="003E6715">
      <w:pPr>
        <w:spacing w:line="560" w:lineRule="exact"/>
        <w:jc w:val="center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2E396C" w:rsidSect="003E6715">
      <w:footerReference w:type="even" r:id="rId7"/>
      <w:footerReference w:type="default" r:id="rId8"/>
      <w:pgSz w:w="16838" w:h="11906" w:orient="landscape"/>
      <w:pgMar w:top="1134" w:right="1134" w:bottom="1134" w:left="1134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96C" w:rsidRDefault="002E396C">
      <w:r>
        <w:separator/>
      </w:r>
    </w:p>
  </w:endnote>
  <w:endnote w:type="continuationSeparator" w:id="0">
    <w:p w:rsidR="002E396C" w:rsidRDefault="002E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E396C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2E396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E6715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1270" r="63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E396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E6715" w:rsidRPr="003E6715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1.85pt;margin-top:0;width:63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2E396C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E6715" w:rsidRPr="003E6715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96C" w:rsidRDefault="002E396C">
      <w:r>
        <w:separator/>
      </w:r>
    </w:p>
  </w:footnote>
  <w:footnote w:type="continuationSeparator" w:id="0">
    <w:p w:rsidR="002E396C" w:rsidRDefault="002E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EA4001"/>
    <w:multiLevelType w:val="multilevel"/>
    <w:tmpl w:val="DFEA4001"/>
    <w:lvl w:ilvl="0">
      <w:start w:val="1"/>
      <w:numFmt w:val="decimal"/>
      <w:suff w:val="nothing"/>
      <w:lvlText w:val="74-%1"/>
      <w:lvlJc w:val="left"/>
      <w:pPr>
        <w:ind w:left="510" w:hanging="51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E396C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6715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C292B"/>
    <w:rsid w:val="00FD22E5"/>
    <w:rsid w:val="00FD443E"/>
    <w:rsid w:val="00FD754D"/>
    <w:rsid w:val="00FF6452"/>
    <w:rsid w:val="06E4493B"/>
    <w:rsid w:val="12681CD2"/>
    <w:rsid w:val="136E6E3B"/>
    <w:rsid w:val="1616507C"/>
    <w:rsid w:val="19DAB3DB"/>
    <w:rsid w:val="3F7FBEE1"/>
    <w:rsid w:val="3FE93259"/>
    <w:rsid w:val="3FEF112F"/>
    <w:rsid w:val="3FFFA801"/>
    <w:rsid w:val="45386969"/>
    <w:rsid w:val="45492E01"/>
    <w:rsid w:val="466F7F34"/>
    <w:rsid w:val="555B37C5"/>
    <w:rsid w:val="5DEBA160"/>
    <w:rsid w:val="5F8C32F3"/>
    <w:rsid w:val="5FEDC319"/>
    <w:rsid w:val="676F2384"/>
    <w:rsid w:val="6BDD9311"/>
    <w:rsid w:val="6CFB4CBB"/>
    <w:rsid w:val="6FFF267C"/>
    <w:rsid w:val="758F27DE"/>
    <w:rsid w:val="75DF495E"/>
    <w:rsid w:val="779F1CD8"/>
    <w:rsid w:val="7EF18D63"/>
    <w:rsid w:val="7F6F1D00"/>
    <w:rsid w:val="7F7ED5AD"/>
    <w:rsid w:val="7FF9264F"/>
    <w:rsid w:val="7FFBE1DB"/>
    <w:rsid w:val="96B67EC0"/>
    <w:rsid w:val="ABCE7E4A"/>
    <w:rsid w:val="ACFFF5CA"/>
    <w:rsid w:val="B7FD6EA3"/>
    <w:rsid w:val="B7FFDDBE"/>
    <w:rsid w:val="BBD7C56D"/>
    <w:rsid w:val="CFFBB635"/>
    <w:rsid w:val="D5E14CF2"/>
    <w:rsid w:val="DDFA05D0"/>
    <w:rsid w:val="EEFBA2FC"/>
    <w:rsid w:val="EFBD4259"/>
    <w:rsid w:val="EFF613B9"/>
    <w:rsid w:val="F1BE80FD"/>
    <w:rsid w:val="FCD7D237"/>
    <w:rsid w:val="FD5F1724"/>
    <w:rsid w:val="FDFFE493"/>
    <w:rsid w:val="FEFD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314B64-F70C-44DC-A795-1E0FBFCF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1381</Words>
  <Characters>7877</Characters>
  <Application>Microsoft Office Word</Application>
  <DocSecurity>0</DocSecurity>
  <Lines>65</Lines>
  <Paragraphs>18</Paragraphs>
  <ScaleCrop>false</ScaleCrop>
  <Company>Xtzj.Com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2023-12-22T22:52:00Z</cp:lastPrinted>
  <dcterms:created xsi:type="dcterms:W3CDTF">2023-12-26T07:03:00Z</dcterms:created>
  <dcterms:modified xsi:type="dcterms:W3CDTF">2023-12-26T07:03:00Z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201E9BD1BC23C230A3218A65CD85E691</vt:lpwstr>
  </property>
</Properties>
</file>