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广东省基本公卫服务项目职责分工表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601"/>
        <w:gridCol w:w="1"/>
        <w:gridCol w:w="1499"/>
        <w:gridCol w:w="852"/>
        <w:gridCol w:w="853"/>
        <w:gridCol w:w="1281"/>
        <w:gridCol w:w="1011"/>
        <w:gridCol w:w="889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责任处室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导单位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8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、原国家12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类基本公卫服务项目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居民健康档案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020-83828152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省项目办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省公卫院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郝爱华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梁鹏艳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020-34295309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预防接种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疾控局卫生与免疫规划处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蓝韵华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020-89102501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慢病管理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高血压患者健康管理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医疗应急处、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020-83770103、83828152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省心血管病中心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冯颖青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型糖尿病患者健康管理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慢性阻塞性肺疾病患者健康服务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广医附一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020-81566250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020-81567070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医政处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陈浩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020-83813746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省精神卫生中心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020-81908873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结核病患者健康管理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疾控局传染病防控与监测预警处、应急处置处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 xml:space="preserve">安文欣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020-31953679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省结防中心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020-38907211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传染病和突发公共卫生事件报告和处理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传染病报告和处理服务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陈炯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020-31956515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代吉亚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突发公共卫生事件报告和处理服务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饶萍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020-84469692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郭汝宁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儿童健康管理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省妇幼保健院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吴婕翎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孕产妇健康管理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020-83345194、83828152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中医药健康管理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中医药局医政处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020-83848467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省中医院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蔡书宾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020-81887233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35701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020-39318603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疾控局综合监督二处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姚宇盈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020-31954526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8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二、原国家重大公卫服务项目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健康素养促进行动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bidi="ar"/>
              </w:rPr>
              <w:t>鲁志威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020-34295048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基本避孕服务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省事务中心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020-87034661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地方病防治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疾控局卫生与免疫规划处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89102501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83849412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省职防院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020-34063103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人禽流感、SARS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防控项目管理工作规范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疾控局应急处置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020-84469692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鼠疫防治项目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国家卫生应急队伍运维保障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省疾控中心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医疗应急处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020-83770120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省第二人民医院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劳炜东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020-89168018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020-83754185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省职业病防治院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刘晓勇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020-84453342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农村妇女两癌免费检查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省妇幼保健院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马远珠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增补叶酸预防神经管缺陷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缪华章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国家免费孕前优生健康检查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汤柳英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地中海贫血防控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王雄虎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食品安全标准跟踪评价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020-83826210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省公共卫生研究院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谭彦君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医养结合与失能老年人评估指导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老龄处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020-83345194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黄巧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优化生育政策服务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人口家庭处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020-83828636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省计划生育协会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020-87029059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C70D8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eastAsia="宋体" w:cs="Times New Roman"/>
      <w:b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2025-08-22T09:52:23Z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