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pStyle w:val="2"/>
        <w:ind w:firstLine="440" w:firstLineChars="100"/>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西藏</w:t>
      </w:r>
      <w:r>
        <w:rPr>
          <w:rFonts w:hint="eastAsia" w:ascii="方正小标宋简体" w:hAnsi="方正小标宋简体" w:eastAsia="方正小标宋简体" w:cs="方正小标宋简体"/>
          <w:color w:val="auto"/>
        </w:rPr>
        <w:t>自治区药品监督管理局</w:t>
      </w:r>
      <w:r>
        <w:rPr>
          <w:rFonts w:hint="eastAsia" w:ascii="方正小标宋简体" w:hAnsi="方正小标宋简体" w:eastAsia="方正小标宋简体" w:cs="方正小标宋简体"/>
          <w:color w:val="auto"/>
          <w:lang w:eastAsia="zh-CN"/>
        </w:rPr>
        <w:t>药品</w:t>
      </w:r>
      <w:r>
        <w:rPr>
          <w:rFonts w:hint="eastAsia" w:ascii="方正小标宋简体" w:hAnsi="方正小标宋简体" w:eastAsia="方正小标宋简体" w:cs="方正小标宋简体"/>
          <w:color w:val="auto"/>
        </w:rPr>
        <w:t>行政处罚裁量基准（试行）</w:t>
      </w:r>
    </w:p>
    <w:p>
      <w:pPr>
        <w:pStyle w:val="4"/>
        <w:spacing w:before="18"/>
        <w:ind w:left="6360" w:right="6360"/>
        <w:jc w:val="center"/>
        <w:rPr>
          <w:rFonts w:hint="eastAsia" w:ascii="黑体" w:eastAsia="黑体"/>
          <w:color w:val="auto"/>
        </w:rPr>
      </w:pPr>
      <w:r>
        <w:rPr>
          <w:rFonts w:hint="eastAsia" w:ascii="黑体" w:eastAsia="黑体"/>
          <w:color w:val="auto"/>
        </w:rPr>
        <w:t>使用说明</w:t>
      </w:r>
    </w:p>
    <w:p>
      <w:pPr>
        <w:pStyle w:val="4"/>
        <w:rPr>
          <w:rFonts w:ascii="黑体"/>
          <w:color w:val="auto"/>
        </w:rPr>
      </w:pPr>
    </w:p>
    <w:p>
      <w:pPr>
        <w:pStyle w:val="4"/>
        <w:spacing w:before="165"/>
        <w:ind w:left="772"/>
        <w:rPr>
          <w:rFonts w:hint="eastAsia" w:ascii="方正书宋_GBK" w:hAnsi="方正书宋_GBK" w:eastAsia="方正书宋_GBK" w:cs="方正书宋_GBK"/>
          <w:b w:val="0"/>
          <w:bCs w:val="0"/>
          <w:color w:val="auto"/>
          <w:spacing w:val="-12"/>
          <w:w w:val="99"/>
          <w:sz w:val="21"/>
        </w:rPr>
      </w:pPr>
    </w:p>
    <w:p>
      <w:pPr>
        <w:pStyle w:val="4"/>
        <w:spacing w:before="165" w:line="240" w:lineRule="auto"/>
        <w:ind w:left="772" w:right="0" w:firstLine="0"/>
        <w:rPr>
          <w:rFonts w:hint="eastAsia" w:ascii="方正书宋_GBK" w:hAnsi="方正书宋_GBK" w:eastAsia="方正书宋_GBK" w:cs="方正书宋_GBK"/>
          <w:b w:val="0"/>
          <w:bCs w:val="0"/>
          <w:color w:val="auto"/>
          <w:spacing w:val="-13"/>
          <w:w w:val="99"/>
        </w:rPr>
      </w:pPr>
      <w:r>
        <w:rPr>
          <w:rFonts w:hint="eastAsia" w:ascii="方正书宋_GBK" w:hAnsi="方正书宋_GBK" w:eastAsia="方正书宋_GBK" w:cs="方正书宋_GBK"/>
          <w:b w:val="0"/>
          <w:bCs w:val="0"/>
          <w:color w:val="auto"/>
          <w:spacing w:val="-12"/>
          <w:w w:val="99"/>
        </w:rPr>
        <w:t>一</w:t>
      </w:r>
      <w:r>
        <w:rPr>
          <w:rFonts w:hint="eastAsia" w:ascii="方正书宋_GBK" w:hAnsi="方正书宋_GBK" w:eastAsia="方正书宋_GBK" w:cs="方正书宋_GBK"/>
          <w:b w:val="0"/>
          <w:bCs w:val="0"/>
          <w:color w:val="auto"/>
          <w:spacing w:val="-13"/>
          <w:w w:val="99"/>
        </w:rPr>
        <w:t>、</w:t>
      </w:r>
      <w:commentRangeStart w:id="0"/>
      <w:r>
        <w:rPr>
          <w:rFonts w:hint="eastAsia" w:ascii="方正书宋_GBK" w:hAnsi="方正书宋_GBK" w:eastAsia="方正书宋_GBK" w:cs="方正书宋_GBK"/>
          <w:b w:val="0"/>
          <w:bCs w:val="0"/>
          <w:color w:val="auto"/>
          <w:spacing w:val="-13"/>
          <w:w w:val="99"/>
        </w:rPr>
        <w:t>本基准只涉及</w:t>
      </w:r>
      <w:r>
        <w:rPr>
          <w:rFonts w:hint="eastAsia" w:ascii="方正书宋_GBK" w:hAnsi="方正书宋_GBK" w:eastAsia="方正书宋_GBK" w:cs="方正书宋_GBK"/>
          <w:b w:val="0"/>
          <w:bCs w:val="0"/>
          <w:color w:val="auto"/>
          <w:spacing w:val="-13"/>
          <w:w w:val="99"/>
          <w:lang w:eastAsia="zh-CN"/>
        </w:rPr>
        <w:t>药品</w:t>
      </w:r>
      <w:r>
        <w:rPr>
          <w:rFonts w:hint="eastAsia" w:ascii="方正书宋_GBK" w:hAnsi="方正书宋_GBK" w:eastAsia="方正书宋_GBK" w:cs="方正书宋_GBK"/>
          <w:b w:val="0"/>
          <w:bCs w:val="0"/>
          <w:color w:val="FF0000"/>
          <w:spacing w:val="-13"/>
          <w:w w:val="99"/>
        </w:rPr>
        <w:t>政处罚罚款自由裁量适用情形，警告、没收违法物品及违法所得、责令停产停业、吊销许可证件、限制从业等不涉及自由裁量的，按照法律法规的规定进行适用。</w:t>
      </w:r>
      <w:commentRangeEnd w:id="0"/>
      <w:r>
        <w:rPr>
          <w:rFonts w:hint="eastAsia" w:ascii="方正书宋_GBK" w:hAnsi="方正书宋_GBK" w:eastAsia="方正书宋_GBK" w:cs="方正书宋_GBK"/>
          <w:b w:val="0"/>
          <w:bCs w:val="0"/>
          <w:color w:val="auto"/>
          <w:spacing w:val="-13"/>
          <w:w w:val="99"/>
        </w:rPr>
        <w:commentReference w:id="0"/>
      </w:r>
    </w:p>
    <w:p>
      <w:pPr>
        <w:pStyle w:val="4"/>
        <w:spacing w:line="338" w:lineRule="auto"/>
        <w:ind w:left="131" w:right="129" w:firstLine="641"/>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rPr>
        <w:t>二、本基准内容和语言表述与法律、法规、规章规定不一致的应当以法律、法规、规章规定为准。</w:t>
      </w:r>
    </w:p>
    <w:p>
      <w:pPr>
        <w:pStyle w:val="4"/>
        <w:spacing w:line="408" w:lineRule="exact"/>
        <w:ind w:left="772"/>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13"/>
          <w:w w:val="99"/>
        </w:rPr>
        <w:t>三、本裁量基准中“以上”“以下”的含义如下：</w:t>
      </w:r>
      <w:bookmarkStart w:id="0" w:name="_GoBack"/>
      <w:bookmarkEnd w:id="0"/>
    </w:p>
    <w:p>
      <w:pPr>
        <w:pStyle w:val="4"/>
        <w:spacing w:before="165"/>
        <w:ind w:left="772"/>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2"/>
          <w:w w:val="99"/>
        </w:rPr>
        <w:t>（</w:t>
      </w:r>
      <w:r>
        <w:rPr>
          <w:rFonts w:hint="eastAsia" w:ascii="方正书宋_GBK" w:hAnsi="方正书宋_GBK" w:eastAsia="方正书宋_GBK" w:cs="方正书宋_GBK"/>
          <w:b w:val="0"/>
          <w:bCs w:val="0"/>
          <w:color w:val="auto"/>
          <w:w w:val="99"/>
        </w:rPr>
        <w:t>一）</w:t>
      </w:r>
      <w:r>
        <w:rPr>
          <w:rFonts w:hint="eastAsia" w:ascii="方正书宋_GBK" w:hAnsi="方正书宋_GBK" w:eastAsia="方正书宋_GBK" w:cs="方正书宋_GBK"/>
          <w:b w:val="0"/>
          <w:bCs w:val="0"/>
          <w:color w:val="auto"/>
          <w:spacing w:val="-12"/>
          <w:w w:val="99"/>
        </w:rPr>
        <w:t>减轻处罚的“以上”含本数，“以下”不含本数；</w:t>
      </w:r>
    </w:p>
    <w:p>
      <w:pPr>
        <w:pStyle w:val="4"/>
        <w:spacing w:before="168"/>
        <w:ind w:left="772"/>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2"/>
          <w:w w:val="99"/>
        </w:rPr>
        <w:t>（</w:t>
      </w:r>
      <w:r>
        <w:rPr>
          <w:rFonts w:hint="eastAsia" w:ascii="方正书宋_GBK" w:hAnsi="方正书宋_GBK" w:eastAsia="方正书宋_GBK" w:cs="方正书宋_GBK"/>
          <w:b w:val="0"/>
          <w:bCs w:val="0"/>
          <w:color w:val="auto"/>
          <w:w w:val="99"/>
        </w:rPr>
        <w:t>二）</w:t>
      </w:r>
      <w:r>
        <w:rPr>
          <w:rFonts w:hint="eastAsia" w:ascii="方正书宋_GBK" w:hAnsi="方正书宋_GBK" w:eastAsia="方正书宋_GBK" w:cs="方正书宋_GBK"/>
          <w:b w:val="0"/>
          <w:bCs w:val="0"/>
          <w:color w:val="auto"/>
          <w:spacing w:val="-13"/>
          <w:w w:val="99"/>
        </w:rPr>
        <w:t>从轻、从重处罚的“以上”“以下”均含本数；</w:t>
      </w:r>
    </w:p>
    <w:p>
      <w:pPr>
        <w:pStyle w:val="4"/>
        <w:spacing w:before="166"/>
        <w:ind w:left="772"/>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spacing w:val="2"/>
          <w:w w:val="99"/>
        </w:rPr>
        <w:t>（</w:t>
      </w:r>
      <w:r>
        <w:rPr>
          <w:rFonts w:hint="eastAsia" w:ascii="方正书宋_GBK" w:hAnsi="方正书宋_GBK" w:eastAsia="方正书宋_GBK" w:cs="方正书宋_GBK"/>
          <w:b w:val="0"/>
          <w:bCs w:val="0"/>
          <w:color w:val="auto"/>
          <w:w w:val="99"/>
        </w:rPr>
        <w:t>三）</w:t>
      </w:r>
      <w:r>
        <w:rPr>
          <w:rFonts w:hint="eastAsia" w:ascii="方正书宋_GBK" w:hAnsi="方正书宋_GBK" w:eastAsia="方正书宋_GBK" w:cs="方正书宋_GBK"/>
          <w:b w:val="0"/>
          <w:bCs w:val="0"/>
          <w:color w:val="auto"/>
          <w:spacing w:val="-13"/>
          <w:w w:val="99"/>
        </w:rPr>
        <w:t>一般处罚的“以上”“以下”均不含本数。</w:t>
      </w:r>
    </w:p>
    <w:p>
      <w:pPr>
        <w:pStyle w:val="4"/>
        <w:spacing w:before="169" w:line="338" w:lineRule="auto"/>
        <w:ind w:left="131" w:right="129" w:firstLine="641"/>
        <w:rPr>
          <w:rFonts w:hint="eastAsia" w:ascii="方正书宋_GBK" w:hAnsi="方正书宋_GBK" w:eastAsia="方正书宋_GBK" w:cs="方正书宋_GBK"/>
          <w:b w:val="0"/>
          <w:bCs w:val="0"/>
          <w:color w:val="auto"/>
        </w:rPr>
      </w:pPr>
      <w:r>
        <w:rPr>
          <w:rFonts w:hint="eastAsia" w:ascii="方正书宋_GBK" w:hAnsi="方正书宋_GBK" w:eastAsia="方正书宋_GBK" w:cs="方正书宋_GBK"/>
          <w:b w:val="0"/>
          <w:bCs w:val="0"/>
          <w:color w:val="auto"/>
        </w:rPr>
        <w:t>四、裁量基准栏中列明的罚款数据仅供参考。案件查办中涉及罚款的，应当依照《</w:t>
      </w:r>
      <w:r>
        <w:rPr>
          <w:rFonts w:hint="eastAsia" w:ascii="方正书宋_GBK" w:hAnsi="方正书宋_GBK" w:eastAsia="方正书宋_GBK" w:cs="方正书宋_GBK"/>
          <w:b w:val="0"/>
          <w:bCs w:val="0"/>
          <w:color w:val="auto"/>
          <w:lang w:val="en-US" w:eastAsia="zh-CN"/>
        </w:rPr>
        <w:t xml:space="preserve"> 西藏</w:t>
      </w:r>
      <w:r>
        <w:rPr>
          <w:rFonts w:hint="eastAsia" w:ascii="方正书宋_GBK" w:hAnsi="方正书宋_GBK" w:eastAsia="方正书宋_GBK" w:cs="方正书宋_GBK"/>
          <w:b w:val="0"/>
          <w:bCs w:val="0"/>
          <w:color w:val="auto"/>
        </w:rPr>
        <w:t>自治区药品监督管理局行政处罚裁量权适用规定》进行准确计算。</w:t>
      </w:r>
    </w:p>
    <w:p>
      <w:pPr>
        <w:spacing w:after="0" w:line="338" w:lineRule="auto"/>
        <w:rPr>
          <w:rFonts w:hint="eastAsia" w:ascii="方正书宋_GBK" w:hAnsi="方正书宋_GBK" w:eastAsia="方正书宋_GBK" w:cs="方正书宋_GBK"/>
          <w:b w:val="0"/>
          <w:bCs w:val="0"/>
          <w:color w:val="auto"/>
        </w:rPr>
        <w:sectPr>
          <w:footerReference r:id="rId4" w:type="default"/>
          <w:pgSz w:w="16840" w:h="11910" w:orient="landscape"/>
          <w:pgMar w:top="1100" w:right="1400" w:bottom="1760" w:left="1400" w:header="0" w:footer="1572" w:gutter="0"/>
          <w:pgNumType w:fmt="numberInDash" w:start="16"/>
          <w:cols w:space="720" w:num="1"/>
        </w:sectPr>
      </w:pPr>
    </w:p>
    <w:p>
      <w:pPr>
        <w:adjustRightInd w:val="0"/>
        <w:rPr>
          <w:rFonts w:ascii="仿宋" w:hAnsi="Times New Roman" w:eastAsia="仿宋" w:cs="Times New Roman"/>
          <w:color w:val="auto"/>
          <w:sz w:val="32"/>
          <w:szCs w:val="20"/>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83"/>
        <w:gridCol w:w="2714"/>
        <w:gridCol w:w="2715"/>
        <w:gridCol w:w="2715"/>
        <w:gridCol w:w="3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1</w:t>
            </w:r>
          </w:p>
        </w:tc>
        <w:tc>
          <w:tcPr>
            <w:tcW w:w="1183" w:type="dxa"/>
            <w:vAlign w:val="center"/>
          </w:tcPr>
          <w:p>
            <w:pPr>
              <w:widowControl/>
              <w:adjustRightInd w:val="0"/>
              <w:snapToGrid w:val="0"/>
              <w:jc w:val="center"/>
              <w:rPr>
                <w:rFonts w:ascii="仿宋" w:hAnsi="仿宋" w:eastAsia="仿宋" w:cs="Arial"/>
                <w:b/>
                <w:bCs/>
                <w:color w:val="auto"/>
                <w:szCs w:val="21"/>
              </w:rPr>
            </w:pPr>
            <w:r>
              <w:rPr>
                <w:rFonts w:hint="eastAsia" w:ascii="仿宋" w:hAnsi="仿宋" w:eastAsia="仿宋" w:cs="Arial"/>
                <w:b/>
                <w:bCs/>
                <w:color w:val="auto"/>
                <w:szCs w:val="21"/>
              </w:rPr>
              <w:t>违法行为</w:t>
            </w:r>
          </w:p>
        </w:tc>
        <w:tc>
          <w:tcPr>
            <w:tcW w:w="12044"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未取得药品生产许可证、药品经营许可证或者医疗机构制剂许可证生产销售药品的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1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044"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《药品管理法》第一百一十五条：</w:t>
            </w:r>
            <w:r>
              <w:rPr>
                <w:rFonts w:hint="eastAsia" w:ascii="仿宋" w:hAnsi="仿宋" w:eastAsia="仿宋" w:cs="Arial"/>
                <w:color w:val="auto"/>
                <w:szCs w:val="21"/>
              </w:rPr>
              <w:t>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《药品生产监督管理办法》第六十八条：</w:t>
            </w:r>
            <w:r>
              <w:rPr>
                <w:rFonts w:hint="eastAsia" w:ascii="仿宋" w:hAnsi="仿宋" w:eastAsia="仿宋" w:cs="Arial"/>
                <w:color w:val="auto"/>
                <w:szCs w:val="21"/>
              </w:rPr>
              <w:t>有下列情形之一的，按照《药品管理法》第一百一十五条给予处罚：</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（一）药品上市许可持有人和药品生产企业变更生产地址、生产范围应当经批准而未经批准的；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（二）药品生产许可证超过有效期限仍进行生产的。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1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71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71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71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90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1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71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w:t>
            </w:r>
            <w:r>
              <w:rPr>
                <w:rFonts w:hint="eastAsia" w:ascii="仿宋" w:hAnsi="仿宋" w:eastAsia="仿宋" w:cs="Arial"/>
                <w:color w:val="FF0000"/>
                <w:szCs w:val="21"/>
              </w:rPr>
              <w:t>裁量规则</w:t>
            </w:r>
            <w:r>
              <w:rPr>
                <w:rFonts w:hint="eastAsia" w:ascii="仿宋" w:hAnsi="仿宋" w:eastAsia="仿宋" w:cs="Arial"/>
                <w:color w:val="auto"/>
                <w:szCs w:val="21"/>
              </w:rPr>
              <w:t>减轻行政处罚情形的。</w:t>
            </w:r>
          </w:p>
        </w:tc>
        <w:tc>
          <w:tcPr>
            <w:tcW w:w="271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71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90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（一）责令关闭后擅自恢复生产或经营的；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（二）经监管部门责令改正，仍未办理的；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（三）其他符合裁量规则从重行政处罚情形的。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6"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1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2714" w:type="dxa"/>
            <w:vAlign w:val="center"/>
          </w:tcPr>
          <w:p>
            <w:pPr>
              <w:widowControl/>
              <w:adjustRightInd w:val="0"/>
              <w:snapToGrid w:val="0"/>
              <w:rPr>
                <w:rFonts w:ascii="仿宋" w:hAnsi="仿宋" w:eastAsia="仿宋" w:cs="Arial"/>
                <w:b/>
                <w:bCs/>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并处违法生产销售的药品货值金额1.5倍以上至15倍以下的罚款；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c>
          <w:tcPr>
            <w:tcW w:w="271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并处违法生产销售的药品货值金额15倍以上至19.5倍以下的罚款；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c>
          <w:tcPr>
            <w:tcW w:w="271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并处违法生产销售的药品货值金额19.5倍以上至25.5倍以下的罚款；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c>
          <w:tcPr>
            <w:tcW w:w="390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责令关闭；</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没收违法生产、销售的药品和违法所得；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并处违法生产销售的药品货值金额25.5倍以上至30倍以下的罚款；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货值金额不足10万元的，按10万元计算。</w:t>
            </w:r>
          </w:p>
        </w:tc>
      </w:tr>
    </w:tbl>
    <w:p>
      <w:pPr>
        <w:widowControl/>
        <w:tabs>
          <w:tab w:val="left" w:pos="562"/>
          <w:tab w:val="left" w:pos="1745"/>
          <w:tab w:val="left" w:pos="4126"/>
          <w:tab w:val="left" w:pos="6339"/>
          <w:tab w:val="left" w:pos="9146"/>
        </w:tabs>
        <w:adjustRightInd w:val="0"/>
        <w:snapToGrid w:val="0"/>
        <w:jc w:val="left"/>
        <w:rPr>
          <w:rFonts w:ascii="仿宋" w:hAnsi="仿宋" w:eastAsia="仿宋" w:cs="Arial"/>
          <w:b/>
          <w:bCs/>
          <w:color w:val="auto"/>
          <w:szCs w:val="21"/>
        </w:rPr>
      </w:pPr>
    </w:p>
    <w:p>
      <w:pPr>
        <w:widowControl/>
        <w:tabs>
          <w:tab w:val="left" w:pos="562"/>
          <w:tab w:val="left" w:pos="1745"/>
          <w:tab w:val="left" w:pos="4126"/>
          <w:tab w:val="left" w:pos="6339"/>
          <w:tab w:val="left" w:pos="9146"/>
        </w:tabs>
        <w:adjustRightInd w:val="0"/>
        <w:snapToGrid w:val="0"/>
        <w:jc w:val="left"/>
        <w:rPr>
          <w:rFonts w:ascii="仿宋" w:hAnsi="仿宋" w:eastAsia="仿宋" w:cs="Arial"/>
          <w:b/>
          <w:bCs/>
          <w:color w:val="auto"/>
          <w:szCs w:val="21"/>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91"/>
        <w:gridCol w:w="592"/>
        <w:gridCol w:w="3413"/>
        <w:gridCol w:w="2813"/>
        <w:gridCol w:w="2872"/>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62"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2</w:t>
            </w:r>
          </w:p>
        </w:tc>
        <w:tc>
          <w:tcPr>
            <w:tcW w:w="118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044"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生产、销售假药的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18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044"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《药品管理法》第一百一十六条：</w:t>
            </w:r>
            <w:r>
              <w:rPr>
                <w:rFonts w:hint="eastAsia" w:ascii="仿宋" w:hAnsi="仿宋" w:eastAsia="仿宋" w:cs="Arial"/>
                <w:color w:val="auto"/>
                <w:szCs w:val="21"/>
              </w:rPr>
              <w:t>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第一百一十八条第二款：</w:t>
            </w:r>
            <w:r>
              <w:rPr>
                <w:rFonts w:hint="eastAsia" w:ascii="仿宋" w:hAnsi="仿宋" w:eastAsia="仿宋" w:cs="Arial"/>
                <w:color w:val="auto"/>
                <w:szCs w:val="21"/>
              </w:rPr>
              <w:t>对生产者专门用于生产假药、劣药的原料、辅料、包装材料、生产设备予以没收。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18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413"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减轻</w:t>
            </w:r>
          </w:p>
        </w:tc>
        <w:tc>
          <w:tcPr>
            <w:tcW w:w="2813"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从轻</w:t>
            </w:r>
          </w:p>
        </w:tc>
        <w:tc>
          <w:tcPr>
            <w:tcW w:w="2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2946"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591"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592"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一般情</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形</w:t>
            </w:r>
          </w:p>
        </w:tc>
        <w:tc>
          <w:tcPr>
            <w:tcW w:w="341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1.没收违法生产的药品和违法所得；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2.吊销药品批准证明文件；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3.并处违法生产的药品货值金额1.5倍以上15倍以下罚款；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4.对生产者专门用于生产假药的原料、辅料、包装材料、生产设备予以没收；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5.货值金额不足10万元的，按10万元计算。</w:t>
            </w:r>
          </w:p>
        </w:tc>
        <w:tc>
          <w:tcPr>
            <w:tcW w:w="2813" w:type="dxa"/>
            <w:vAlign w:val="center"/>
          </w:tcPr>
          <w:p>
            <w:pPr>
              <w:widowControl/>
              <w:adjustRightInd w:val="0"/>
              <w:snapToGrid w:val="0"/>
              <w:rPr>
                <w:rFonts w:hint="eastAsia" w:ascii="仿宋" w:hAnsi="仿宋" w:eastAsia="仿宋" w:cs="Arial"/>
                <w:color w:val="auto"/>
                <w:szCs w:val="21"/>
              </w:rPr>
            </w:pPr>
            <w:r>
              <w:rPr>
                <w:rFonts w:hint="eastAsia" w:ascii="仿宋" w:hAnsi="仿宋" w:eastAsia="仿宋" w:cs="Arial"/>
                <w:color w:val="auto"/>
                <w:szCs w:val="21"/>
              </w:rPr>
              <w:t>1.没收违法生产的药品和违法所得；</w:t>
            </w:r>
          </w:p>
          <w:p>
            <w:pPr>
              <w:widowControl/>
              <w:adjustRightInd w:val="0"/>
              <w:snapToGrid w:val="0"/>
              <w:rPr>
                <w:rFonts w:hint="eastAsia"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.吊销药品批准证明文件；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.并处违法生产的药品货值金额15倍以上19.5倍以下罚款；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.对生产者专门用于生产假药的原料、辅料、包装材料、生产设备予以没收；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6</w:t>
            </w:r>
            <w:r>
              <w:rPr>
                <w:rFonts w:hint="eastAsia" w:ascii="仿宋" w:hAnsi="仿宋" w:eastAsia="仿宋" w:cs="Arial"/>
                <w:color w:val="auto"/>
                <w:szCs w:val="21"/>
              </w:rPr>
              <w:t>.货值金额不足10万元的，按10万元计算。</w:t>
            </w:r>
          </w:p>
        </w:tc>
        <w:tc>
          <w:tcPr>
            <w:tcW w:w="2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1.没收违法生产的药品和违法所得；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3.吊销药品批准证明文件；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4.并处违法生产的药品货值金额19.5倍以上25.5倍以下罚款；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5.对生产者专门用于生产假药的原料、辅料、包装材料、生产设备予以没收。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6.货值金额不足10万元的，按10万元计算；</w:t>
            </w:r>
          </w:p>
        </w:tc>
        <w:tc>
          <w:tcPr>
            <w:tcW w:w="294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1.没收违法生产的药品和违法所得；</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3.吊销药品批准证明文件；</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4.并处违法生产的药品货值金额25.5倍以上30倍以下罚款；</w:t>
            </w:r>
          </w:p>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.值金额不足10万元的，按10万元计算。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6"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591" w:type="dxa"/>
            <w:vMerge w:val="continue"/>
            <w:vAlign w:val="center"/>
          </w:tcPr>
          <w:p>
            <w:pPr>
              <w:widowControl/>
              <w:adjustRightInd w:val="0"/>
              <w:snapToGrid w:val="0"/>
              <w:jc w:val="center"/>
              <w:rPr>
                <w:rFonts w:ascii="仿宋" w:hAnsi="仿宋" w:eastAsia="仿宋" w:cs="Arial"/>
                <w:color w:val="auto"/>
                <w:szCs w:val="21"/>
              </w:rPr>
            </w:pPr>
          </w:p>
        </w:tc>
        <w:tc>
          <w:tcPr>
            <w:tcW w:w="592"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重</w:t>
            </w:r>
          </w:p>
        </w:tc>
        <w:tc>
          <w:tcPr>
            <w:tcW w:w="3413" w:type="dxa"/>
            <w:vAlign w:val="center"/>
          </w:tcPr>
          <w:p>
            <w:pPr>
              <w:widowControl/>
              <w:adjustRightInd w:val="0"/>
              <w:snapToGrid w:val="0"/>
              <w:rPr>
                <w:rFonts w:ascii="仿宋" w:hAnsi="仿宋" w:eastAsia="仿宋" w:cs="Arial"/>
                <w:color w:val="auto"/>
                <w:szCs w:val="21"/>
              </w:rPr>
            </w:pPr>
          </w:p>
        </w:tc>
        <w:tc>
          <w:tcPr>
            <w:tcW w:w="2813" w:type="dxa"/>
            <w:vAlign w:val="center"/>
          </w:tcPr>
          <w:p>
            <w:pPr>
              <w:widowControl/>
              <w:adjustRightInd w:val="0"/>
              <w:snapToGrid w:val="0"/>
              <w:rPr>
                <w:rFonts w:ascii="仿宋" w:hAnsi="仿宋" w:eastAsia="仿宋" w:cs="Arial"/>
                <w:color w:val="auto"/>
                <w:szCs w:val="21"/>
              </w:rPr>
            </w:pPr>
          </w:p>
        </w:tc>
        <w:tc>
          <w:tcPr>
            <w:tcW w:w="2872" w:type="dxa"/>
            <w:vAlign w:val="center"/>
          </w:tcPr>
          <w:p>
            <w:pPr>
              <w:widowControl/>
              <w:adjustRightInd w:val="0"/>
              <w:snapToGrid w:val="0"/>
              <w:rPr>
                <w:rFonts w:ascii="仿宋" w:hAnsi="仿宋" w:eastAsia="仿宋" w:cs="Arial"/>
                <w:color w:val="auto"/>
                <w:szCs w:val="21"/>
              </w:rPr>
            </w:pPr>
          </w:p>
        </w:tc>
        <w:tc>
          <w:tcPr>
            <w:tcW w:w="2946" w:type="dxa"/>
            <w:vAlign w:val="center"/>
          </w:tcPr>
          <w:p>
            <w:pPr>
              <w:adjustRightInd w:val="0"/>
              <w:snapToGrid w:val="0"/>
              <w:rPr>
                <w:rFonts w:hint="eastAsia" w:ascii="仿宋" w:hAnsi="仿宋" w:eastAsia="仿宋" w:cs="Arial"/>
                <w:color w:val="auto"/>
                <w:szCs w:val="21"/>
              </w:rPr>
            </w:pPr>
            <w:r>
              <w:rPr>
                <w:rFonts w:hint="eastAsia" w:ascii="仿宋" w:hAnsi="仿宋" w:eastAsia="仿宋" w:cs="Arial"/>
                <w:color w:val="auto"/>
                <w:szCs w:val="21"/>
              </w:rPr>
              <w:t>吊销药品生产许可证、药品经营许可证或者医疗机构制剂许可证，十年内不受理其相应申请；药品上市许可持有人为境外企业的，十年内禁止其药品进口。</w:t>
            </w:r>
          </w:p>
          <w:p>
            <w:pPr>
              <w:adjustRightInd w:val="0"/>
              <w:snapToGrid w:val="0"/>
              <w:rPr>
                <w:rFonts w:hint="eastAsia" w:ascii="仿宋" w:hAnsi="仿宋" w:eastAsia="仿宋" w:cs="Arial"/>
                <w:color w:val="auto"/>
                <w:szCs w:val="21"/>
              </w:rPr>
            </w:pPr>
            <w:r>
              <w:rPr>
                <w:rFonts w:hint="eastAsia" w:ascii="仿宋" w:hAnsi="仿宋" w:eastAsia="仿宋" w:cs="Arial"/>
                <w:color w:val="auto"/>
                <w:szCs w:val="21"/>
              </w:rPr>
              <w:t>对生产者专门用于生产假药、劣药的原料、辅料、包装材料、生产设备予以没收。</w:t>
            </w:r>
          </w:p>
        </w:tc>
      </w:tr>
    </w:tbl>
    <w:p>
      <w:pPr>
        <w:widowControl/>
        <w:tabs>
          <w:tab w:val="left" w:pos="562"/>
          <w:tab w:val="left" w:pos="1745"/>
          <w:tab w:val="left" w:pos="2172"/>
          <w:tab w:val="left" w:pos="5158"/>
          <w:tab w:val="left" w:pos="7971"/>
          <w:tab w:val="left" w:pos="10843"/>
        </w:tabs>
        <w:adjustRightInd w:val="0"/>
        <w:snapToGrid w:val="0"/>
        <w:jc w:val="left"/>
        <w:rPr>
          <w:rFonts w:ascii="仿宋" w:hAnsi="仿宋" w:eastAsia="仿宋" w:cs="Arial"/>
          <w:color w:val="auto"/>
          <w:szCs w:val="21"/>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62"/>
        <w:gridCol w:w="623"/>
        <w:gridCol w:w="624"/>
        <w:gridCol w:w="2818"/>
        <w:gridCol w:w="2818"/>
        <w:gridCol w:w="2818"/>
        <w:gridCol w:w="3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 w:hRule="atLeast"/>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3</w:t>
            </w:r>
          </w:p>
        </w:tc>
        <w:tc>
          <w:tcPr>
            <w:tcW w:w="124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980"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生产、销售劣药的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1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24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980" w:type="dxa"/>
            <w:gridSpan w:val="4"/>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《药品管理法》第一百一十七条第一款：</w:t>
            </w:r>
            <w:r>
              <w:rPr>
                <w:rFonts w:hint="eastAsia" w:ascii="仿宋" w:hAnsi="仿宋" w:eastAsia="仿宋" w:cs="Arial"/>
                <w:color w:val="auto"/>
                <w:szCs w:val="21"/>
              </w:rPr>
              <w:t>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第一百一十八条第二款：</w:t>
            </w:r>
            <w:r>
              <w:rPr>
                <w:rFonts w:hint="eastAsia" w:ascii="仿宋" w:hAnsi="仿宋" w:eastAsia="仿宋" w:cs="Arial"/>
                <w:color w:val="auto"/>
                <w:szCs w:val="21"/>
              </w:rPr>
              <w:t>对生产者专门用于生产假药、劣药的原料、辅料、包装材料、生产设备予以没收。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24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81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81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81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5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1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24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81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81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81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52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（一）生产使用的原料、辅料或者直接接触药品的包装材料来源不合法或者不明的；</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（二）购进、销售药品渠道不合法的；</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（三）其他符合裁量规则从重行政处罚情形的。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4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623"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62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2818"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2.并处违法生产、销售的药品货值金额1倍以上10倍以下罚款；</w:t>
            </w:r>
          </w:p>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c>
          <w:tcPr>
            <w:tcW w:w="2818"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2.并处违法生产、销售的药品货值金额10倍以上13倍以下罚款；</w:t>
            </w:r>
          </w:p>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c>
          <w:tcPr>
            <w:tcW w:w="2818"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2.并处违法生产、销售的药品货值金额13倍以上17倍以下罚款；</w:t>
            </w:r>
          </w:p>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c>
          <w:tcPr>
            <w:tcW w:w="3526" w:type="dxa"/>
            <w:vAlign w:val="center"/>
          </w:tcPr>
          <w:p>
            <w:pPr>
              <w:keepNext w:val="0"/>
              <w:keepLines w:val="0"/>
              <w:pageBreakBefore w:val="0"/>
              <w:widowControl/>
              <w:kinsoku/>
              <w:wordWrap/>
              <w:overflowPunct/>
              <w:topLinePunct w:val="0"/>
              <w:autoSpaceDE/>
              <w:autoSpaceDN/>
              <w:bidi w:val="0"/>
              <w:adjustRightInd w:val="0"/>
              <w:snapToGrid w:val="0"/>
              <w:spacing w:line="240" w:lineRule="exact"/>
              <w:textAlignment w:val="auto"/>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pPr>
              <w:keepNext w:val="0"/>
              <w:keepLines w:val="0"/>
              <w:pageBreakBefore w:val="0"/>
              <w:widowControl/>
              <w:kinsoku/>
              <w:wordWrap/>
              <w:overflowPunct/>
              <w:topLinePunct w:val="0"/>
              <w:autoSpaceDE/>
              <w:autoSpaceDN/>
              <w:bidi w:val="0"/>
              <w:adjustRightInd w:val="0"/>
              <w:snapToGrid w:val="0"/>
              <w:spacing w:line="240" w:lineRule="exact"/>
              <w:textAlignment w:val="auto"/>
              <w:rPr>
                <w:rFonts w:ascii="仿宋" w:hAnsi="仿宋" w:eastAsia="仿宋" w:cs="Arial"/>
                <w:color w:val="auto"/>
                <w:szCs w:val="21"/>
              </w:rPr>
            </w:pPr>
            <w:r>
              <w:rPr>
                <w:rFonts w:hint="eastAsia" w:ascii="仿宋" w:hAnsi="仿宋" w:eastAsia="仿宋" w:cs="Arial"/>
                <w:color w:val="auto"/>
                <w:szCs w:val="21"/>
              </w:rPr>
              <w:t>2.并处违法生产、销售的药品货值金额17倍以上20倍以下罚款；</w:t>
            </w:r>
          </w:p>
          <w:p/>
          <w:p>
            <w:pPr>
              <w:keepNext w:val="0"/>
              <w:keepLines w:val="0"/>
              <w:pageBreakBefore w:val="0"/>
              <w:widowControl/>
              <w:kinsoku/>
              <w:wordWrap/>
              <w:overflowPunct/>
              <w:topLinePunct w:val="0"/>
              <w:autoSpaceDE/>
              <w:autoSpaceDN/>
              <w:bidi w:val="0"/>
              <w:adjustRightInd w:val="0"/>
              <w:snapToGrid w:val="0"/>
              <w:spacing w:line="240" w:lineRule="exact"/>
              <w:textAlignment w:val="auto"/>
              <w:rPr>
                <w:rFonts w:ascii="仿宋" w:hAnsi="仿宋" w:eastAsia="仿宋" w:cs="Arial"/>
                <w:color w:val="auto"/>
                <w:szCs w:val="21"/>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5" w:hRule="atLeast"/>
        </w:trPr>
        <w:tc>
          <w:tcPr>
            <w:tcW w:w="562" w:type="dxa"/>
            <w:vMerge w:val="continue"/>
            <w:vAlign w:val="center"/>
          </w:tcPr>
          <w:p>
            <w:pPr>
              <w:widowControl/>
              <w:adjustRightInd w:val="0"/>
              <w:snapToGrid w:val="0"/>
              <w:jc w:val="center"/>
              <w:rPr>
                <w:rFonts w:ascii="仿宋" w:hAnsi="仿宋" w:eastAsia="仿宋" w:cs="宋体"/>
                <w:color w:val="auto"/>
                <w:szCs w:val="21"/>
              </w:rPr>
            </w:pPr>
          </w:p>
        </w:tc>
        <w:tc>
          <w:tcPr>
            <w:tcW w:w="623" w:type="dxa"/>
            <w:vMerge w:val="continue"/>
            <w:vAlign w:val="center"/>
          </w:tcPr>
          <w:p>
            <w:pPr>
              <w:widowControl/>
              <w:adjustRightInd w:val="0"/>
              <w:snapToGrid w:val="0"/>
              <w:jc w:val="center"/>
              <w:rPr>
                <w:rFonts w:ascii="仿宋" w:hAnsi="仿宋" w:eastAsia="仿宋" w:cs="宋体"/>
                <w:color w:val="auto"/>
                <w:szCs w:val="21"/>
              </w:rPr>
            </w:pPr>
          </w:p>
        </w:tc>
        <w:tc>
          <w:tcPr>
            <w:tcW w:w="62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2818" w:type="dxa"/>
            <w:vAlign w:val="center"/>
          </w:tcPr>
          <w:p>
            <w:pPr>
              <w:widowControl/>
              <w:adjustRightInd w:val="0"/>
              <w:snapToGrid w:val="0"/>
              <w:rPr>
                <w:rFonts w:ascii="仿宋" w:hAnsi="仿宋" w:eastAsia="仿宋" w:cs="宋体"/>
                <w:color w:val="auto"/>
                <w:szCs w:val="21"/>
              </w:rPr>
            </w:pPr>
          </w:p>
        </w:tc>
        <w:tc>
          <w:tcPr>
            <w:tcW w:w="2818" w:type="dxa"/>
            <w:vAlign w:val="center"/>
          </w:tcPr>
          <w:p>
            <w:pPr>
              <w:widowControl/>
              <w:adjustRightInd w:val="0"/>
              <w:snapToGrid w:val="0"/>
              <w:rPr>
                <w:rFonts w:ascii="仿宋" w:hAnsi="仿宋" w:eastAsia="仿宋" w:cs="宋体"/>
                <w:color w:val="auto"/>
                <w:szCs w:val="21"/>
              </w:rPr>
            </w:pPr>
          </w:p>
        </w:tc>
        <w:tc>
          <w:tcPr>
            <w:tcW w:w="2818" w:type="dxa"/>
            <w:vAlign w:val="center"/>
          </w:tcPr>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pPr>
              <w:widowControl/>
              <w:adjustRightInd w:val="0"/>
              <w:snapToGrid w:val="0"/>
              <w:spacing w:line="200" w:lineRule="exact"/>
              <w:rPr>
                <w:color w:val="auto"/>
              </w:rPr>
            </w:pPr>
            <w:r>
              <w:rPr>
                <w:rFonts w:hint="eastAsia" w:ascii="仿宋" w:hAnsi="仿宋" w:eastAsia="仿宋" w:cs="Arial"/>
                <w:color w:val="auto"/>
                <w:szCs w:val="21"/>
              </w:rPr>
              <w:t>2.并处违法生产、销售的药品货值金额17倍以上20倍以下罚款；</w:t>
            </w:r>
          </w:p>
          <w:p>
            <w:pPr>
              <w:widowControl/>
              <w:adjustRightInd w:val="0"/>
              <w:snapToGrid w:val="0"/>
              <w:spacing w:line="20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r>
              <w:rPr>
                <w:rFonts w:hint="eastAsia" w:ascii="仿宋" w:hAnsi="仿宋" w:eastAsia="仿宋" w:cs="Arial"/>
                <w:color w:val="auto"/>
                <w:szCs w:val="21"/>
                <w:lang w:eastAsia="zh-CN"/>
              </w:rPr>
              <w:t>；</w:t>
            </w:r>
          </w:p>
          <w:p>
            <w:pPr>
              <w:widowControl/>
              <w:adjustRightInd w:val="0"/>
              <w:snapToGrid w:val="0"/>
              <w:spacing w:line="200" w:lineRule="exact"/>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责令停产停业整顿</w:t>
            </w:r>
            <w:r>
              <w:rPr>
                <w:rFonts w:hint="eastAsia" w:ascii="仿宋" w:hAnsi="仿宋" w:eastAsia="仿宋" w:cs="Arial"/>
                <w:color w:val="auto"/>
                <w:szCs w:val="21"/>
                <w:lang w:eastAsia="zh-CN"/>
              </w:rPr>
              <w:t>；</w:t>
            </w:r>
          </w:p>
          <w:p>
            <w:pPr>
              <w:widowControl/>
              <w:adjustRightInd w:val="0"/>
              <w:snapToGrid w:val="0"/>
              <w:spacing w:line="200" w:lineRule="exact"/>
              <w:rPr>
                <w:rFonts w:hint="eastAsia"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对生产者专门用于生产劣药的原料、辅料、包装材料、生产设备予以没收</w:t>
            </w:r>
            <w:r>
              <w:rPr>
                <w:rFonts w:hint="eastAsia" w:ascii="仿宋" w:hAnsi="仿宋" w:eastAsia="仿宋" w:cs="Arial"/>
                <w:color w:val="auto"/>
                <w:szCs w:val="21"/>
                <w:lang w:eastAsia="zh-CN"/>
              </w:rPr>
              <w:t>。</w:t>
            </w:r>
          </w:p>
        </w:tc>
        <w:tc>
          <w:tcPr>
            <w:tcW w:w="3526" w:type="dxa"/>
            <w:vAlign w:val="center"/>
          </w:tcPr>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1.没收违法生产、销售的药品和违法所得；</w:t>
            </w:r>
          </w:p>
          <w:p>
            <w:pPr>
              <w:widowControl/>
              <w:adjustRightInd w:val="0"/>
              <w:snapToGrid w:val="0"/>
              <w:spacing w:line="200" w:lineRule="exact"/>
              <w:rPr>
                <w:color w:val="auto"/>
              </w:rPr>
            </w:pPr>
            <w:r>
              <w:rPr>
                <w:rFonts w:hint="eastAsia" w:ascii="仿宋" w:hAnsi="仿宋" w:eastAsia="仿宋" w:cs="Arial"/>
                <w:color w:val="auto"/>
                <w:szCs w:val="21"/>
              </w:rPr>
              <w:t>2.并处违法生产、销售的药品货值金额17倍以上20倍以下罚款；</w:t>
            </w:r>
          </w:p>
          <w:p>
            <w:pPr>
              <w:widowControl/>
              <w:adjustRightInd w:val="0"/>
              <w:snapToGrid w:val="0"/>
              <w:spacing w:line="20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.违法生产、批发的药品货值金额不足10万元的，按10万元计算，违法零售的药品货值金额不足1万元的，按1万元计算</w:t>
            </w:r>
            <w:r>
              <w:rPr>
                <w:rFonts w:hint="eastAsia" w:ascii="仿宋" w:hAnsi="仿宋" w:eastAsia="仿宋" w:cs="Arial"/>
                <w:color w:val="auto"/>
                <w:szCs w:val="21"/>
                <w:lang w:eastAsia="zh-CN"/>
              </w:rPr>
              <w:t>；</w:t>
            </w:r>
          </w:p>
          <w:p>
            <w:pPr>
              <w:widowControl/>
              <w:adjustRightInd w:val="0"/>
              <w:snapToGrid w:val="0"/>
              <w:spacing w:line="200" w:lineRule="exact"/>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吊销药品批准证明文件、药品生产许可证、药品经营许可证或者医疗机构制剂许可证</w:t>
            </w:r>
            <w:r>
              <w:rPr>
                <w:rFonts w:hint="eastAsia" w:ascii="仿宋" w:hAnsi="仿宋" w:eastAsia="仿宋" w:cs="Arial"/>
                <w:color w:val="auto"/>
                <w:szCs w:val="21"/>
                <w:lang w:eastAsia="zh-CN"/>
              </w:rPr>
              <w:t>；</w:t>
            </w:r>
          </w:p>
          <w:p>
            <w:pPr>
              <w:widowControl/>
              <w:adjustRightInd w:val="0"/>
              <w:snapToGrid w:val="0"/>
              <w:spacing w:line="200" w:lineRule="exact"/>
              <w:rPr>
                <w:rFonts w:hint="eastAsia" w:ascii="仿宋" w:hAnsi="仿宋" w:eastAsia="仿宋" w:cs="Arial"/>
                <w:color w:val="auto"/>
                <w:szCs w:val="21"/>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对生产者专门用于生产劣药的原料、辅料、包装材料、生产设备予以没收</w:t>
            </w:r>
            <w:r>
              <w:rPr>
                <w:rFonts w:hint="eastAsia" w:ascii="仿宋" w:hAnsi="仿宋" w:eastAsia="仿宋" w:cs="Arial"/>
                <w:color w:val="auto"/>
                <w:szCs w:val="21"/>
                <w:lang w:eastAsia="zh-CN"/>
              </w:rPr>
              <w:t>。</w:t>
            </w:r>
          </w:p>
        </w:tc>
      </w:tr>
    </w:tbl>
    <w:p>
      <w:pPr>
        <w:widowControl/>
        <w:tabs>
          <w:tab w:val="left" w:pos="562"/>
          <w:tab w:val="left" w:pos="1430"/>
          <w:tab w:val="left" w:pos="2172"/>
          <w:tab w:val="left" w:pos="4315"/>
          <w:tab w:val="left" w:pos="7090"/>
          <w:tab w:val="left" w:pos="9801"/>
        </w:tabs>
        <w:adjustRightInd w:val="0"/>
        <w:spacing w:line="160" w:lineRule="exact"/>
        <w:jc w:val="left"/>
        <w:rPr>
          <w:rFonts w:ascii="仿宋" w:hAnsi="仿宋" w:eastAsia="仿宋" w:cs="Arial"/>
          <w:color w:val="auto"/>
          <w:szCs w:val="21"/>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610"/>
        <w:gridCol w:w="2292"/>
        <w:gridCol w:w="2270"/>
        <w:gridCol w:w="3311"/>
        <w:gridCol w:w="3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5" w:hRule="atLeast"/>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4</w:t>
            </w: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61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生产、销售的中药饮片不符合药品标准，尚不影响安全性、有效性的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61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《药品管理法》第一百一十七条第二款：生产、销售的中药饮片不符合药品标准，尚不影响安全性、有效性的，责令限期改正，给予警告；可以处十万元以上五十万元以下的罚款。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2"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29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27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31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74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29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270"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311"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744"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2292" w:type="dxa"/>
            <w:vAlign w:val="center"/>
          </w:tcPr>
          <w:p>
            <w:pPr>
              <w:adjustRightInd w:val="0"/>
              <w:snapToGrid w:val="0"/>
              <w:rPr>
                <w:rFonts w:ascii="仿宋" w:hAnsi="仿宋" w:eastAsia="仿宋" w:cs="Arial"/>
                <w:color w:val="auto"/>
                <w:szCs w:val="21"/>
              </w:rPr>
            </w:pPr>
            <w:commentRangeStart w:id="1"/>
            <w:r>
              <w:rPr>
                <w:rFonts w:hint="eastAsia" w:ascii="仿宋" w:hAnsi="仿宋" w:eastAsia="仿宋" w:cs="Arial"/>
                <w:color w:val="auto"/>
                <w:szCs w:val="21"/>
              </w:rPr>
              <w:t>责令限期改正，给予警告；可以处0元以上10万元以下的罚款。</w:t>
            </w:r>
          </w:p>
        </w:tc>
        <w:tc>
          <w:tcPr>
            <w:tcW w:w="2270"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责令限期改正，给予警告；可以处10万元以上22万元以下的罚款。</w:t>
            </w:r>
          </w:p>
        </w:tc>
        <w:tc>
          <w:tcPr>
            <w:tcW w:w="3311"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责令限期改正，给予警告；可以处22万元以上38万元以下的罚款。</w:t>
            </w:r>
          </w:p>
        </w:tc>
        <w:tc>
          <w:tcPr>
            <w:tcW w:w="3744"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责令限期改正，给予警告；可以处38万元以上50万元以下的罚款。</w:t>
            </w:r>
            <w:commentRangeEnd w:id="1"/>
            <w:r>
              <w:rPr>
                <w:color w:val="auto"/>
              </w:rPr>
              <w:commentReference w:id="1"/>
            </w:r>
          </w:p>
        </w:tc>
      </w:tr>
    </w:tbl>
    <w:p>
      <w:pPr>
        <w:tabs>
          <w:tab w:val="left" w:pos="562"/>
          <w:tab w:val="left" w:pos="2172"/>
          <w:tab w:val="left" w:pos="4540"/>
          <w:tab w:val="left" w:pos="6832"/>
          <w:tab w:val="left" w:pos="9102"/>
          <w:tab w:val="left" w:pos="11363"/>
        </w:tabs>
        <w:adjustRightInd w:val="0"/>
        <w:snapToGrid w:val="0"/>
        <w:jc w:val="left"/>
        <w:rPr>
          <w:rFonts w:ascii="仿宋" w:hAnsi="仿宋" w:eastAsia="仿宋" w:cs="Arial"/>
          <w:color w:val="auto"/>
          <w:szCs w:val="21"/>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610"/>
        <w:gridCol w:w="3962"/>
        <w:gridCol w:w="3795"/>
        <w:gridCol w:w="3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0" w:hRule="atLeast"/>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5</w:t>
            </w: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617"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生产销售假药或者生产销售劣药且情节严重的，对法定代表人、主要负责人、直接负责的主管人员和其他责任人员的处罚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9"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617"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药品管理法》第一百一十八条第一款：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96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79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86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96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参照符合裁量规则中从轻行政处罚情形的规则进行判断。</w:t>
            </w:r>
          </w:p>
        </w:tc>
        <w:tc>
          <w:tcPr>
            <w:tcW w:w="3795"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参照符合裁量规则中一般行政处罚情形的规则进行判断。</w:t>
            </w:r>
          </w:p>
        </w:tc>
        <w:tc>
          <w:tcPr>
            <w:tcW w:w="3860"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参照符合裁量规则中从重行政处罚情形的规则进行判断。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3"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396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2.并处所获收入30%以上1.11倍以下的罚款；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3.终身禁止从事药品生产经营活动。</w:t>
            </w:r>
          </w:p>
        </w:tc>
        <w:tc>
          <w:tcPr>
            <w:tcW w:w="3795"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2.并处所获收入1.11以上2.19倍以下的罚款；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3.终身禁止从事药品生产经营活动。</w:t>
            </w:r>
          </w:p>
        </w:tc>
        <w:tc>
          <w:tcPr>
            <w:tcW w:w="3860"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2.并处所获收入2.19倍以上3倍以下的罚款；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3.终身禁止从事药品生产经营活动。</w:t>
            </w:r>
          </w:p>
        </w:tc>
      </w:tr>
    </w:tbl>
    <w:p>
      <w:pPr>
        <w:tabs>
          <w:tab w:val="left" w:pos="562"/>
          <w:tab w:val="left" w:pos="2172"/>
          <w:tab w:val="left" w:pos="6134"/>
          <w:tab w:val="left" w:pos="9929"/>
        </w:tabs>
        <w:adjustRightInd w:val="0"/>
        <w:spacing w:line="180" w:lineRule="exact"/>
        <w:jc w:val="left"/>
        <w:rPr>
          <w:rFonts w:ascii="仿宋" w:hAnsi="仿宋" w:eastAsia="仿宋" w:cs="Arial"/>
          <w:color w:val="auto"/>
          <w:szCs w:val="21"/>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39"/>
        <w:gridCol w:w="771"/>
        <w:gridCol w:w="3872"/>
        <w:gridCol w:w="3872"/>
        <w:gridCol w:w="3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2" w:hRule="atLeast"/>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宋体"/>
                <w:b/>
                <w:bCs/>
                <w:color w:val="auto"/>
                <w:szCs w:val="21"/>
              </w:rPr>
              <w:t>6</w:t>
            </w:r>
          </w:p>
        </w:tc>
        <w:tc>
          <w:tcPr>
            <w:tcW w:w="161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617"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知道或应当知道属于假药、劣药或者《药品管理法》第一百二十四条第一款第一项至第五项规定的药品，而为其提供储存、运输等便利条件的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617"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药品管理法》第一百二十条：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8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61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87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87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873"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4"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839"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771" w:type="dxa"/>
            <w:vAlign w:val="center"/>
          </w:tcPr>
          <w:p>
            <w:pPr>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一般情形</w:t>
            </w:r>
          </w:p>
        </w:tc>
        <w:tc>
          <w:tcPr>
            <w:tcW w:w="387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1.没收全部储存、运输收入；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2.并处违法收入1倍以上2.2倍以下罚款；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3.违法收入不足5万元的，按5万元计算。</w:t>
            </w:r>
          </w:p>
        </w:tc>
        <w:tc>
          <w:tcPr>
            <w:tcW w:w="387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1.没收全部储存、运输收入；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2.并处违法收入2.2倍以上3.8倍以下罚款；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3.违法收入不足5万元的，按5万元计算。</w:t>
            </w:r>
          </w:p>
        </w:tc>
        <w:tc>
          <w:tcPr>
            <w:tcW w:w="3873"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1.没收全部储存、运输收入；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2.并处违法收入3.8倍以上5倍以下罚款；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3.违法收入不足5万元的，按5万元计算。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2"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839" w:type="dxa"/>
            <w:vMerge w:val="continue"/>
            <w:vAlign w:val="center"/>
          </w:tcPr>
          <w:p>
            <w:pPr>
              <w:widowControl/>
              <w:adjustRightInd w:val="0"/>
              <w:snapToGrid w:val="0"/>
              <w:jc w:val="center"/>
              <w:rPr>
                <w:rFonts w:ascii="仿宋" w:hAnsi="仿宋" w:eastAsia="仿宋" w:cs="Arial"/>
                <w:color w:val="auto"/>
                <w:szCs w:val="21"/>
              </w:rPr>
            </w:pPr>
          </w:p>
        </w:tc>
        <w:tc>
          <w:tcPr>
            <w:tcW w:w="771" w:type="dxa"/>
            <w:vAlign w:val="center"/>
          </w:tcPr>
          <w:p>
            <w:pPr>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情节严重</w:t>
            </w:r>
          </w:p>
        </w:tc>
        <w:tc>
          <w:tcPr>
            <w:tcW w:w="387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1.没收全部储存、运输收入；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1.处违法收入5倍以上8倍以下的罚款。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2.违法收入不足5万元的，按5万元计算。</w:t>
            </w:r>
          </w:p>
        </w:tc>
        <w:tc>
          <w:tcPr>
            <w:tcW w:w="3872"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1.没收全部储存、运输收入；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1.处违法收入8倍以上12倍以下的罚款。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2.违法收入不足5万元的，按5万元计算。</w:t>
            </w:r>
          </w:p>
        </w:tc>
        <w:tc>
          <w:tcPr>
            <w:tcW w:w="3873" w:type="dxa"/>
            <w:vAlign w:val="center"/>
          </w:tcPr>
          <w:p>
            <w:pPr>
              <w:adjustRightInd w:val="0"/>
              <w:snapToGrid w:val="0"/>
              <w:rPr>
                <w:rFonts w:ascii="仿宋" w:hAnsi="仿宋" w:eastAsia="仿宋" w:cs="Arial"/>
                <w:color w:val="auto"/>
                <w:szCs w:val="21"/>
              </w:rPr>
            </w:pPr>
            <w:r>
              <w:rPr>
                <w:rFonts w:hint="eastAsia" w:ascii="仿宋" w:hAnsi="仿宋" w:eastAsia="仿宋" w:cs="Arial"/>
                <w:color w:val="auto"/>
                <w:szCs w:val="21"/>
              </w:rPr>
              <w:t>1.没收全部储存、运输收入；</w:t>
            </w:r>
          </w:p>
          <w:p>
            <w:pPr>
              <w:adjustRightInd w:val="0"/>
              <w:snapToGrid w:val="0"/>
              <w:rPr>
                <w:rFonts w:ascii="仿宋" w:hAnsi="仿宋" w:eastAsia="仿宋" w:cs="Arial"/>
                <w:color w:val="auto"/>
                <w:szCs w:val="21"/>
              </w:rPr>
            </w:pPr>
            <w:r>
              <w:rPr>
                <w:rFonts w:hint="eastAsia" w:ascii="仿宋" w:hAnsi="仿宋" w:eastAsia="仿宋" w:cs="Arial"/>
                <w:color w:val="auto"/>
                <w:szCs w:val="21"/>
              </w:rPr>
              <w:t>1.处违法收入12倍以上15倍以下的罚款。</w:t>
            </w:r>
          </w:p>
          <w:p>
            <w:pPr>
              <w:adjustRightInd w:val="0"/>
              <w:snapToGrid w:val="0"/>
              <w:rPr>
                <w:rFonts w:ascii="仿宋" w:hAnsi="仿宋" w:eastAsia="仿宋" w:cs="Arial"/>
                <w:color w:val="auto"/>
                <w:szCs w:val="21"/>
              </w:rPr>
            </w:pPr>
            <w:r>
              <w:rPr>
                <w:rFonts w:hint="eastAsia" w:ascii="仿宋" w:hAnsi="仿宋" w:eastAsia="仿宋" w:cs="Arial"/>
                <w:color w:val="auto"/>
                <w:szCs w:val="21"/>
              </w:rPr>
              <w:t>2.违法收入不足5万元的，按5万元计算。</w:t>
            </w:r>
          </w:p>
        </w:tc>
      </w:tr>
    </w:tbl>
    <w:p>
      <w:pPr>
        <w:tabs>
          <w:tab w:val="left" w:pos="450"/>
          <w:tab w:val="left" w:pos="2172"/>
          <w:tab w:val="left" w:pos="3375"/>
          <w:tab w:val="left" w:pos="6134"/>
          <w:tab w:val="left" w:pos="9929"/>
        </w:tabs>
        <w:adjustRightInd w:val="0"/>
        <w:snapToGrid w:val="0"/>
        <w:jc w:val="left"/>
        <w:rPr>
          <w:rFonts w:ascii="仿宋" w:hAnsi="仿宋" w:eastAsia="仿宋" w:cs="Arial"/>
          <w:color w:val="auto"/>
          <w:szCs w:val="21"/>
        </w:rPr>
      </w:pPr>
    </w:p>
    <w:tbl>
      <w:tblPr>
        <w:tblStyle w:val="7"/>
        <w:tblW w:w="138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65"/>
        <w:gridCol w:w="766"/>
        <w:gridCol w:w="1276"/>
        <w:gridCol w:w="2976"/>
        <w:gridCol w:w="2977"/>
        <w:gridCol w:w="4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7</w:t>
            </w:r>
          </w:p>
        </w:tc>
        <w:tc>
          <w:tcPr>
            <w:tcW w:w="1531"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806"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伪造、变造、出租、出借、非法买卖许可证或者药品批准证明文件的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jc w:val="center"/>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531"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806" w:type="dxa"/>
            <w:gridSpan w:val="4"/>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药品管理法》第一百二十二条：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531"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4252" w:type="dxa"/>
            <w:gridSpan w:val="2"/>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45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2" w:hRule="atLeast"/>
          <w:jc w:val="center"/>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531"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4252" w:type="dxa"/>
            <w:gridSpan w:val="2"/>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（一）初次出租、出借许可证或者批准证明文件的；</w:t>
            </w:r>
          </w:p>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977"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577"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（一）出租、出借许可证或者批准证明文件3次以上，造成较大社会影响或较大危害后果的；</w:t>
            </w:r>
          </w:p>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（二）通过伪造、变造许可证或者批准证明文件实施违法行为的，造成较大社会影响或较大危害后果的；</w:t>
            </w:r>
          </w:p>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（三）其他符合裁量规则从重行政处罚情形的。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765"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766"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一般情形</w:t>
            </w:r>
          </w:p>
        </w:tc>
        <w:tc>
          <w:tcPr>
            <w:tcW w:w="4252" w:type="dxa"/>
            <w:gridSpan w:val="2"/>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1.没收违法所得；</w:t>
            </w:r>
          </w:p>
          <w:p>
            <w:pPr>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rPr>
              <w:t>2.并处违法所得1倍以上2.2倍以下罚款</w:t>
            </w:r>
            <w:r>
              <w:rPr>
                <w:rFonts w:hint="eastAsia" w:ascii="仿宋" w:hAnsi="仿宋" w:eastAsia="仿宋" w:cs="Arial"/>
                <w:color w:val="auto"/>
                <w:szCs w:val="21"/>
                <w:lang w:eastAsia="zh-CN"/>
              </w:rPr>
              <w:t>；</w:t>
            </w:r>
          </w:p>
          <w:p>
            <w:pPr>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违法所得不足十万元的，按十万元计算。</w:t>
            </w:r>
          </w:p>
        </w:tc>
        <w:tc>
          <w:tcPr>
            <w:tcW w:w="2977"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1.没收违法所得；</w:t>
            </w:r>
          </w:p>
          <w:p>
            <w:pPr>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rPr>
              <w:t>2.并处违法所得2.2倍以上3.8倍以下罚款</w:t>
            </w:r>
            <w:r>
              <w:rPr>
                <w:rFonts w:hint="eastAsia" w:ascii="仿宋" w:hAnsi="仿宋" w:eastAsia="仿宋" w:cs="Arial"/>
                <w:color w:val="auto"/>
                <w:szCs w:val="21"/>
                <w:lang w:eastAsia="zh-CN"/>
              </w:rPr>
              <w:t>；</w:t>
            </w:r>
          </w:p>
          <w:p>
            <w:pPr>
              <w:adjustRightInd w:val="0"/>
              <w:snapToGrid w:val="0"/>
              <w:spacing w:line="240" w:lineRule="exact"/>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违法所得不足十万元的，按十万元计算。</w:t>
            </w:r>
          </w:p>
        </w:tc>
        <w:tc>
          <w:tcPr>
            <w:tcW w:w="4577"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1.没收违法所得；</w:t>
            </w:r>
          </w:p>
          <w:p>
            <w:pPr>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rPr>
              <w:t>2.并处违法所得3.8倍以上5倍以下罚款</w:t>
            </w:r>
            <w:r>
              <w:rPr>
                <w:rFonts w:hint="eastAsia" w:ascii="仿宋" w:hAnsi="仿宋" w:eastAsia="仿宋" w:cs="Arial"/>
                <w:color w:val="auto"/>
                <w:szCs w:val="21"/>
                <w:lang w:eastAsia="zh-CN"/>
              </w:rPr>
              <w:t>；</w:t>
            </w:r>
          </w:p>
          <w:p>
            <w:pPr>
              <w:adjustRightInd w:val="0"/>
              <w:snapToGrid w:val="0"/>
              <w:spacing w:line="240" w:lineRule="exact"/>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违法所得不足十万元的，按十万元计算。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4" w:hRule="atLeast"/>
          <w:jc w:val="center"/>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765" w:type="dxa"/>
            <w:vMerge w:val="continue"/>
            <w:vAlign w:val="center"/>
          </w:tcPr>
          <w:p>
            <w:pPr>
              <w:widowControl/>
              <w:adjustRightInd w:val="0"/>
              <w:snapToGrid w:val="0"/>
              <w:jc w:val="center"/>
              <w:rPr>
                <w:rFonts w:ascii="仿宋" w:hAnsi="仿宋" w:eastAsia="仿宋" w:cs="Arial"/>
                <w:color w:val="auto"/>
                <w:szCs w:val="21"/>
              </w:rPr>
            </w:pPr>
          </w:p>
        </w:tc>
        <w:tc>
          <w:tcPr>
            <w:tcW w:w="766"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情节</w:t>
            </w:r>
          </w:p>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严重</w:t>
            </w:r>
          </w:p>
        </w:tc>
        <w:tc>
          <w:tcPr>
            <w:tcW w:w="127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对单位的处罚</w:t>
            </w:r>
          </w:p>
        </w:tc>
        <w:tc>
          <w:tcPr>
            <w:tcW w:w="2976"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1.没收违法所得；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.并处违法所得5倍以上8倍以下的罚款；</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.吊销药品生产许可证、药品经营许可证、医疗机构制剂许可证或者药品批准证明文件</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违法所得不足十万元的，按十万元计算。</w:t>
            </w:r>
          </w:p>
        </w:tc>
        <w:tc>
          <w:tcPr>
            <w:tcW w:w="2977"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1.没收违法所得；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.并处违法所得8倍以上12倍以下的罚款；</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.吊销药品生产许可证、药品经营许可证、医疗机构制剂许可证或者药品批准证明文件</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违法所得不足十万元的，按十万元计算。</w:t>
            </w:r>
          </w:p>
        </w:tc>
        <w:tc>
          <w:tcPr>
            <w:tcW w:w="4577" w:type="dxa"/>
            <w:vAlign w:val="center"/>
          </w:tcPr>
          <w:p>
            <w:pPr>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1.没收违法所得；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.并处违法所得12倍以上15倍以下的罚款；</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3</w:t>
            </w:r>
            <w:r>
              <w:rPr>
                <w:rFonts w:hint="eastAsia" w:ascii="仿宋" w:hAnsi="仿宋" w:eastAsia="仿宋" w:cs="Arial"/>
                <w:color w:val="auto"/>
                <w:szCs w:val="21"/>
              </w:rPr>
              <w:t>.吊销药品生产许可证、药品经营许可证、医疗机构制剂许可证或者药品批准证明文件</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违法所得不足十万元的，按十万元计算。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5" w:hRule="atLeast"/>
          <w:jc w:val="center"/>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765" w:type="dxa"/>
            <w:vMerge w:val="continue"/>
            <w:vAlign w:val="center"/>
          </w:tcPr>
          <w:p>
            <w:pPr>
              <w:widowControl/>
              <w:adjustRightInd w:val="0"/>
              <w:snapToGrid w:val="0"/>
              <w:jc w:val="center"/>
              <w:rPr>
                <w:rFonts w:ascii="仿宋" w:hAnsi="仿宋" w:eastAsia="仿宋" w:cs="Arial"/>
                <w:color w:val="auto"/>
                <w:szCs w:val="21"/>
              </w:rPr>
            </w:pPr>
          </w:p>
        </w:tc>
        <w:tc>
          <w:tcPr>
            <w:tcW w:w="766" w:type="dxa"/>
            <w:vMerge w:val="continue"/>
            <w:vAlign w:val="center"/>
          </w:tcPr>
          <w:p>
            <w:pPr>
              <w:widowControl/>
              <w:adjustRightInd w:val="0"/>
              <w:snapToGrid w:val="0"/>
              <w:jc w:val="center"/>
              <w:rPr>
                <w:rFonts w:ascii="仿宋" w:hAnsi="仿宋" w:eastAsia="仿宋" w:cs="Arial"/>
                <w:color w:val="auto"/>
                <w:szCs w:val="21"/>
              </w:rPr>
            </w:pPr>
          </w:p>
        </w:tc>
        <w:tc>
          <w:tcPr>
            <w:tcW w:w="127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对责任人的处罚</w:t>
            </w:r>
          </w:p>
        </w:tc>
        <w:tc>
          <w:tcPr>
            <w:tcW w:w="297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1.处2万元以上7.4万元以下的罚款；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2.10年内禁止从事药品生产经营活动。</w:t>
            </w:r>
          </w:p>
        </w:tc>
        <w:tc>
          <w:tcPr>
            <w:tcW w:w="2977"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1.处7.4万元以上14.6万元以下的罚款；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2.10年内禁止从事药品生产经营活动。</w:t>
            </w:r>
          </w:p>
        </w:tc>
        <w:tc>
          <w:tcPr>
            <w:tcW w:w="4577"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1.处14.6万元以上20万元以下的罚款；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2.10年内禁止从事药品生产经营活动。</w:t>
            </w:r>
          </w:p>
        </w:tc>
      </w:tr>
    </w:tbl>
    <w:p>
      <w:pPr>
        <w:widowControl/>
        <w:tabs>
          <w:tab w:val="left" w:pos="562"/>
          <w:tab w:val="left" w:pos="2172"/>
          <w:tab w:val="left" w:pos="2882"/>
          <w:tab w:val="left" w:pos="4142"/>
          <w:tab w:val="left" w:pos="6134"/>
          <w:tab w:val="left" w:pos="9929"/>
        </w:tabs>
        <w:adjustRightInd w:val="0"/>
        <w:spacing w:line="180" w:lineRule="exact"/>
        <w:jc w:val="left"/>
        <w:rPr>
          <w:rFonts w:ascii="仿宋" w:hAnsi="仿宋" w:eastAsia="仿宋" w:cs="Arial"/>
          <w:color w:val="auto"/>
          <w:szCs w:val="21"/>
        </w:rPr>
      </w:pPr>
    </w:p>
    <w:tbl>
      <w:tblPr>
        <w:tblStyle w:val="7"/>
        <w:tblW w:w="13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539"/>
        <w:gridCol w:w="1275"/>
        <w:gridCol w:w="3668"/>
        <w:gridCol w:w="3872"/>
        <w:gridCol w:w="3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56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8</w:t>
            </w:r>
          </w:p>
        </w:tc>
        <w:tc>
          <w:tcPr>
            <w:tcW w:w="181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413" w:type="dxa"/>
            <w:gridSpan w:val="3"/>
            <w:vAlign w:val="center"/>
          </w:tcPr>
          <w:p>
            <w:pPr>
              <w:widowControl/>
              <w:adjustRightInd w:val="0"/>
              <w:snapToGrid w:val="0"/>
              <w:ind w:right="210"/>
              <w:rPr>
                <w:rFonts w:ascii="仿宋" w:hAnsi="仿宋" w:eastAsia="仿宋" w:cs="Arial"/>
                <w:color w:val="auto"/>
                <w:szCs w:val="21"/>
              </w:rPr>
            </w:pPr>
            <w:r>
              <w:rPr>
                <w:rFonts w:hint="eastAsia" w:ascii="仿宋" w:hAnsi="仿宋" w:eastAsia="仿宋" w:cs="Arial"/>
                <w:b/>
                <w:bCs/>
                <w:color w:val="auto"/>
                <w:szCs w:val="21"/>
              </w:rPr>
              <w:t>提供虚假的证明、数据、资料、样品或者采取其他手段骗取临床试验许可、药品生产许可、药品经营许可、医疗机构制剂许可或者药品注册等许可的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81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413"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《药品管理法》第一百二十三条：</w:t>
            </w:r>
            <w:r>
              <w:rPr>
                <w:rFonts w:hint="eastAsia" w:ascii="仿宋" w:hAnsi="仿宋" w:eastAsia="仿宋" w:cs="Arial"/>
                <w:color w:val="auto"/>
                <w:szCs w:val="21"/>
              </w:rPr>
              <w:t>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《药品注册管理办法》第一百一十一条：</w:t>
            </w:r>
            <w:r>
              <w:rPr>
                <w:rFonts w:hint="eastAsia" w:ascii="仿宋" w:hAnsi="仿宋" w:eastAsia="仿宋" w:cs="Arial"/>
                <w:color w:val="auto"/>
                <w:szCs w:val="21"/>
              </w:rPr>
              <w:t>在药品注册过程中，提供虚假的证明、数据、资料、样品或者采取其他手段骗取临床试验许可或者药品注册等许可的，按照《药品管理法》第一百二十三条处理。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81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668"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从轻</w:t>
            </w:r>
          </w:p>
        </w:tc>
        <w:tc>
          <w:tcPr>
            <w:tcW w:w="3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873"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6"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181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66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（一）尚未组织药品临床试验或</w:t>
            </w:r>
            <w:r>
              <w:rPr>
                <w:rFonts w:hint="eastAsia" w:ascii="仿宋" w:hAnsi="仿宋" w:eastAsia="仿宋" w:cs="Arial"/>
                <w:color w:val="auto"/>
                <w:szCs w:val="21"/>
                <w:lang w:eastAsia="zh-CN"/>
              </w:rPr>
              <w:t>尚未</w:t>
            </w:r>
            <w:r>
              <w:rPr>
                <w:rFonts w:hint="eastAsia" w:ascii="仿宋" w:hAnsi="仿宋" w:eastAsia="仿宋" w:cs="Arial"/>
                <w:color w:val="auto"/>
                <w:szCs w:val="21"/>
              </w:rPr>
              <w:t>组织生产、经营、使用药品的；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3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8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4"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539"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127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一般情形</w:t>
            </w:r>
          </w:p>
        </w:tc>
        <w:tc>
          <w:tcPr>
            <w:tcW w:w="366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撤销相关许可；</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10年内不受理其相应申请；</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并处50万元以上185万元以下的罚款。</w:t>
            </w:r>
          </w:p>
        </w:tc>
        <w:tc>
          <w:tcPr>
            <w:tcW w:w="3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撤销相关许可；</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10年内不受理其相应申请；</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并处185万元以上365万元以下的罚款。</w:t>
            </w:r>
          </w:p>
        </w:tc>
        <w:tc>
          <w:tcPr>
            <w:tcW w:w="38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撤销相关许可；</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10年内不受理其相应申请；</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并处365万元以上500万元以下的罚款。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4" w:hRule="atLeast"/>
        </w:trPr>
        <w:tc>
          <w:tcPr>
            <w:tcW w:w="562" w:type="dxa"/>
            <w:vMerge w:val="continue"/>
            <w:vAlign w:val="center"/>
          </w:tcPr>
          <w:p>
            <w:pPr>
              <w:widowControl/>
              <w:adjustRightInd w:val="0"/>
              <w:snapToGrid w:val="0"/>
              <w:jc w:val="center"/>
              <w:rPr>
                <w:rFonts w:ascii="仿宋" w:hAnsi="仿宋" w:eastAsia="仿宋" w:cs="Arial"/>
                <w:color w:val="auto"/>
                <w:szCs w:val="21"/>
              </w:rPr>
            </w:pPr>
          </w:p>
        </w:tc>
        <w:tc>
          <w:tcPr>
            <w:tcW w:w="539"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情节严重的，对责任人的处罚</w:t>
            </w:r>
          </w:p>
        </w:tc>
        <w:tc>
          <w:tcPr>
            <w:tcW w:w="366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处2万元以上7.4万元以下的罚款；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10年内禁止从事药品生产经营活动。</w:t>
            </w:r>
          </w:p>
        </w:tc>
        <w:tc>
          <w:tcPr>
            <w:tcW w:w="387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处7.4万元以上14.6万元以下的罚款。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10年内禁止从事药品生产经营活动。</w:t>
            </w:r>
          </w:p>
        </w:tc>
        <w:tc>
          <w:tcPr>
            <w:tcW w:w="38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处14.6万元以上20万元以下的罚款。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10年内禁止从事药品生产经营活动。</w:t>
            </w:r>
          </w:p>
        </w:tc>
      </w:tr>
    </w:tbl>
    <w:p>
      <w:pPr>
        <w:widowControl/>
        <w:tabs>
          <w:tab w:val="left" w:pos="562"/>
          <w:tab w:val="left" w:pos="1486"/>
          <w:tab w:val="left" w:pos="2172"/>
          <w:tab w:val="left" w:pos="5075"/>
          <w:tab w:val="left" w:pos="8857"/>
        </w:tabs>
        <w:adjustRightInd w:val="0"/>
        <w:snapToGrid w:val="0"/>
        <w:jc w:val="left"/>
        <w:rPr>
          <w:rFonts w:ascii="仿宋" w:hAnsi="仿宋" w:eastAsia="仿宋" w:cs="Arial"/>
          <w:b/>
          <w:bCs/>
          <w:color w:val="auto"/>
          <w:szCs w:val="21"/>
        </w:rPr>
      </w:pPr>
    </w:p>
    <w:tbl>
      <w:tblPr>
        <w:tblStyle w:val="7"/>
        <w:tblW w:w="13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56"/>
        <w:gridCol w:w="427"/>
        <w:gridCol w:w="1043"/>
        <w:gridCol w:w="2805"/>
        <w:gridCol w:w="2806"/>
        <w:gridCol w:w="2805"/>
        <w:gridCol w:w="2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9</w:t>
            </w:r>
          </w:p>
        </w:tc>
        <w:tc>
          <w:tcPr>
            <w:tcW w:w="2126"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222"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违反《药品管理法》第一百二十四条的行为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6"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2126"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222" w:type="dxa"/>
            <w:gridSpan w:val="4"/>
            <w:vAlign w:val="center"/>
          </w:tcPr>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b/>
                <w:bCs/>
                <w:color w:val="auto"/>
                <w:szCs w:val="21"/>
              </w:rPr>
              <w:t>《药品管理法》第一百二十四条第一款：</w:t>
            </w:r>
            <w:r>
              <w:rPr>
                <w:rFonts w:hint="eastAsia" w:ascii="仿宋" w:hAnsi="仿宋" w:eastAsia="仿宋" w:cs="Arial"/>
                <w:color w:val="auto"/>
                <w:szCs w:val="21"/>
              </w:rPr>
              <w:t>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（一）未取得药品批准证明文件生产、进口药品；</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（二）使用采取欺骗手段取得的药品批准证明文件生产、进口药品；</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（三）使用未经审评审批的原料药生产药品；</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（四）应当检验而未经检验即销售药品；</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（五）生产、销售国务院药品监督管理部门禁止使用的药品；</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（六）编造生产、检验记录；</w:t>
            </w:r>
          </w:p>
          <w:p>
            <w:pPr>
              <w:keepNext w:val="0"/>
              <w:keepLines w:val="0"/>
              <w:pageBreakBefore w:val="0"/>
              <w:widowControl/>
              <w:kinsoku/>
              <w:wordWrap/>
              <w:overflowPunct/>
              <w:topLinePunct w:val="0"/>
              <w:autoSpaceDE/>
              <w:autoSpaceDN/>
              <w:bidi w:val="0"/>
              <w:adjustRightInd w:val="0"/>
              <w:snapToGrid w:val="0"/>
              <w:spacing w:line="200" w:lineRule="exact"/>
              <w:textAlignment w:val="auto"/>
              <w:rPr>
                <w:rFonts w:ascii="仿宋" w:hAnsi="仿宋" w:eastAsia="仿宋" w:cs="Arial"/>
                <w:color w:val="auto"/>
                <w:szCs w:val="21"/>
              </w:rPr>
            </w:pPr>
            <w:r>
              <w:rPr>
                <w:rFonts w:hint="eastAsia" w:ascii="仿宋" w:hAnsi="仿宋" w:eastAsia="仿宋" w:cs="Arial"/>
                <w:color w:val="auto"/>
                <w:szCs w:val="21"/>
              </w:rPr>
              <w:t>（七）未经批准在药品生产过程中进行重大变更。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2126"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80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80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80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280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79"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2126"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80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8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（一）涉案药品尚未生产或销售的；</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0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符合裁量规则一般行政处罚情形的。</w:t>
            </w:r>
          </w:p>
          <w:p>
            <w:pPr>
              <w:widowControl/>
              <w:adjustRightInd w:val="0"/>
              <w:snapToGrid w:val="0"/>
              <w:spacing w:line="240" w:lineRule="exact"/>
              <w:rPr>
                <w:rFonts w:ascii="仿宋" w:hAnsi="仿宋" w:eastAsia="仿宋" w:cs="Arial"/>
                <w:color w:val="auto"/>
                <w:szCs w:val="21"/>
              </w:rPr>
            </w:pPr>
          </w:p>
        </w:tc>
        <w:tc>
          <w:tcPr>
            <w:tcW w:w="28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8"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9</w:t>
            </w:r>
          </w:p>
        </w:tc>
        <w:tc>
          <w:tcPr>
            <w:tcW w:w="656"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裁量基准</w:t>
            </w:r>
          </w:p>
        </w:tc>
        <w:tc>
          <w:tcPr>
            <w:tcW w:w="147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一般情形</w:t>
            </w:r>
          </w:p>
        </w:tc>
        <w:tc>
          <w:tcPr>
            <w:tcW w:w="280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没收违法生产、进口、销售的药品和违法所得以及专门用于违法生产的原料、辅料、包装材料和生产设备；</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.并处违法生产、进口、销售的药品货值金额1.5倍以上15倍以下的罚款</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c>
          <w:tcPr>
            <w:tcW w:w="28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3.并处违法生产、进口、销售的药品货值金额15倍以上19.5倍以下的罚款</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c>
          <w:tcPr>
            <w:tcW w:w="280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3.并处违法生产、进口、销售的药品货值金额19.5倍以上25.5倍以下的罚款</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c>
          <w:tcPr>
            <w:tcW w:w="28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3.并处违法生产、进口、销售的药品货值金额25.5倍以上30倍以下的罚款</w:t>
            </w:r>
            <w:r>
              <w:rPr>
                <w:rFonts w:hint="eastAsia" w:ascii="仿宋" w:hAnsi="仿宋" w:eastAsia="仿宋" w:cs="Arial"/>
                <w:color w:val="auto"/>
                <w:szCs w:val="21"/>
                <w:lang w:eastAsia="zh-CN"/>
              </w:rPr>
              <w:t>；</w:t>
            </w:r>
          </w:p>
          <w:p>
            <w:pPr>
              <w:widowControl/>
              <w:adjustRightInd w:val="0"/>
              <w:snapToGrid w:val="0"/>
              <w:spacing w:line="24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5"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56" w:type="dxa"/>
            <w:vMerge w:val="continue"/>
            <w:vAlign w:val="center"/>
          </w:tcPr>
          <w:p>
            <w:pPr>
              <w:widowControl/>
              <w:adjustRightInd w:val="0"/>
              <w:snapToGrid w:val="0"/>
              <w:jc w:val="center"/>
              <w:rPr>
                <w:rFonts w:ascii="仿宋" w:hAnsi="仿宋" w:eastAsia="仿宋" w:cs="Arial"/>
                <w:color w:val="auto"/>
                <w:szCs w:val="21"/>
              </w:rPr>
            </w:pPr>
          </w:p>
        </w:tc>
        <w:tc>
          <w:tcPr>
            <w:tcW w:w="427" w:type="dxa"/>
            <w:vMerge w:val="restart"/>
            <w:vAlign w:val="center"/>
          </w:tcPr>
          <w:p>
            <w:pPr>
              <w:widowControl/>
              <w:adjustRightInd w:val="0"/>
              <w:snapToGrid w:val="0"/>
              <w:jc w:val="center"/>
              <w:rPr>
                <w:rFonts w:hint="eastAsia" w:ascii="仿宋" w:hAnsi="仿宋" w:eastAsia="仿宋" w:cs="Arial"/>
                <w:b/>
                <w:bCs/>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1043" w:type="dxa"/>
            <w:vAlign w:val="center"/>
          </w:tcPr>
          <w:p>
            <w:pPr>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对单位的处罚</w:t>
            </w:r>
          </w:p>
        </w:tc>
        <w:tc>
          <w:tcPr>
            <w:tcW w:w="2805" w:type="dxa"/>
            <w:vAlign w:val="center"/>
          </w:tcPr>
          <w:p>
            <w:pPr>
              <w:widowControl/>
              <w:adjustRightInd w:val="0"/>
              <w:snapToGrid w:val="0"/>
              <w:spacing w:line="240" w:lineRule="exact"/>
              <w:rPr>
                <w:rFonts w:ascii="仿宋" w:hAnsi="仿宋" w:eastAsia="仿宋" w:cs="宋体"/>
                <w:color w:val="auto"/>
                <w:szCs w:val="21"/>
              </w:rPr>
            </w:pPr>
          </w:p>
        </w:tc>
        <w:tc>
          <w:tcPr>
            <w:tcW w:w="2806" w:type="dxa"/>
            <w:vAlign w:val="center"/>
          </w:tcPr>
          <w:p>
            <w:pPr>
              <w:widowControl/>
              <w:adjustRightInd w:val="0"/>
              <w:snapToGrid w:val="0"/>
              <w:spacing w:line="240" w:lineRule="exact"/>
              <w:rPr>
                <w:rFonts w:ascii="仿宋" w:hAnsi="仿宋" w:eastAsia="仿宋" w:cs="Arial"/>
                <w:color w:val="auto"/>
                <w:szCs w:val="21"/>
              </w:rPr>
            </w:pPr>
          </w:p>
        </w:tc>
        <w:tc>
          <w:tcPr>
            <w:tcW w:w="2805" w:type="dxa"/>
            <w:vAlign w:val="center"/>
          </w:tcPr>
          <w:p>
            <w:pPr>
              <w:widowControl/>
              <w:adjustRightInd w:val="0"/>
              <w:snapToGrid w:val="0"/>
              <w:spacing w:line="200" w:lineRule="exact"/>
              <w:rPr>
                <w:rFonts w:ascii="仿宋" w:hAnsi="仿宋" w:eastAsia="仿宋" w:cs="Arial"/>
                <w:color w:val="auto"/>
                <w:szCs w:val="21"/>
              </w:rPr>
            </w:pPr>
            <w:r>
              <w:rPr>
                <w:rFonts w:hint="eastAsia" w:ascii="仿宋" w:hAnsi="仿宋" w:eastAsia="仿宋" w:cs="Arial"/>
                <w:color w:val="auto"/>
                <w:szCs w:val="21"/>
              </w:rPr>
              <w:t>1.没收违法生产、进口、销售的药品和违法所得以及专门用于违法生产的原料、辅料、包装材料和生产设备；</w:t>
            </w:r>
          </w:p>
          <w:p>
            <w:pPr>
              <w:widowControl/>
              <w:adjustRightInd w:val="0"/>
              <w:snapToGrid w:val="0"/>
              <w:spacing w:line="200" w:lineRule="exact"/>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spacing w:line="200" w:lineRule="exact"/>
              <w:rPr>
                <w:rFonts w:hint="eastAsia" w:ascii="仿宋" w:hAnsi="仿宋" w:eastAsia="仿宋" w:cs="Arial"/>
                <w:color w:val="auto"/>
                <w:szCs w:val="21"/>
                <w:lang w:eastAsia="zh-CN"/>
              </w:rPr>
            </w:pPr>
            <w:r>
              <w:rPr>
                <w:rFonts w:hint="eastAsia" w:ascii="仿宋" w:hAnsi="仿宋" w:eastAsia="仿宋" w:cs="Arial"/>
                <w:color w:val="auto"/>
                <w:szCs w:val="21"/>
              </w:rPr>
              <w:t>3.并处违法生产、进口、销售的药品货值金额25.5倍以上30倍以下的罚款</w:t>
            </w:r>
            <w:r>
              <w:rPr>
                <w:rFonts w:hint="eastAsia" w:ascii="仿宋" w:hAnsi="仿宋" w:eastAsia="仿宋" w:cs="Arial"/>
                <w:color w:val="auto"/>
                <w:szCs w:val="21"/>
                <w:lang w:eastAsia="zh-CN"/>
              </w:rPr>
              <w:t>；</w:t>
            </w:r>
          </w:p>
          <w:p>
            <w:pPr>
              <w:widowControl/>
              <w:adjustRightInd w:val="0"/>
              <w:snapToGrid w:val="0"/>
              <w:spacing w:line="20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货值金额不足十万元的，按十万元计算</w:t>
            </w:r>
            <w:r>
              <w:rPr>
                <w:rFonts w:hint="eastAsia" w:ascii="仿宋" w:hAnsi="仿宋" w:eastAsia="仿宋" w:cs="Arial"/>
                <w:color w:val="auto"/>
                <w:szCs w:val="21"/>
                <w:lang w:eastAsia="zh-CN"/>
              </w:rPr>
              <w:t>；</w:t>
            </w:r>
          </w:p>
          <w:p>
            <w:pPr>
              <w:widowControl/>
              <w:adjustRightInd w:val="0"/>
              <w:snapToGrid w:val="0"/>
              <w:spacing w:line="200" w:lineRule="exact"/>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5.</w:t>
            </w:r>
            <w:r>
              <w:rPr>
                <w:rFonts w:hint="eastAsia" w:ascii="仿宋" w:hAnsi="仿宋" w:eastAsia="仿宋" w:cs="Arial"/>
                <w:color w:val="auto"/>
                <w:szCs w:val="21"/>
              </w:rPr>
              <w:t>吊销药品批准证明文件</w:t>
            </w:r>
            <w:r>
              <w:rPr>
                <w:rFonts w:hint="eastAsia" w:ascii="仿宋" w:hAnsi="仿宋" w:eastAsia="仿宋" w:cs="Arial"/>
                <w:color w:val="auto"/>
                <w:szCs w:val="21"/>
                <w:lang w:eastAsia="zh-CN"/>
              </w:rPr>
              <w:t>。</w:t>
            </w:r>
          </w:p>
        </w:tc>
        <w:tc>
          <w:tcPr>
            <w:tcW w:w="28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lang w:eastAsia="zh-CN"/>
              </w:rPr>
              <w:t>并处</w:t>
            </w:r>
            <w:r>
              <w:rPr>
                <w:rFonts w:hint="eastAsia" w:ascii="仿宋" w:hAnsi="仿宋" w:eastAsia="仿宋" w:cs="Arial"/>
                <w:color w:val="auto"/>
                <w:szCs w:val="21"/>
              </w:rPr>
              <w:t>吊销药品生产经营许可证或者医疗机构制剂许可证。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3"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56" w:type="dxa"/>
            <w:vMerge w:val="continue"/>
            <w:vAlign w:val="center"/>
          </w:tcPr>
          <w:p>
            <w:pPr>
              <w:widowControl/>
              <w:adjustRightInd w:val="0"/>
              <w:snapToGrid w:val="0"/>
              <w:jc w:val="center"/>
              <w:rPr>
                <w:rFonts w:ascii="仿宋" w:hAnsi="仿宋" w:eastAsia="仿宋" w:cs="Arial"/>
                <w:color w:val="auto"/>
                <w:szCs w:val="21"/>
              </w:rPr>
            </w:pPr>
          </w:p>
        </w:tc>
        <w:tc>
          <w:tcPr>
            <w:tcW w:w="427" w:type="dxa"/>
            <w:vMerge w:val="continue"/>
            <w:vAlign w:val="center"/>
          </w:tcPr>
          <w:p>
            <w:pPr>
              <w:widowControl/>
              <w:adjustRightInd w:val="0"/>
              <w:snapToGrid w:val="0"/>
              <w:jc w:val="center"/>
              <w:rPr>
                <w:rFonts w:ascii="仿宋" w:hAnsi="仿宋" w:eastAsia="仿宋" w:cs="Arial"/>
                <w:color w:val="auto"/>
                <w:szCs w:val="21"/>
              </w:rPr>
            </w:pPr>
          </w:p>
        </w:tc>
        <w:tc>
          <w:tcPr>
            <w:tcW w:w="104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对责任人的处罚</w:t>
            </w:r>
          </w:p>
        </w:tc>
        <w:tc>
          <w:tcPr>
            <w:tcW w:w="2805" w:type="dxa"/>
            <w:vAlign w:val="center"/>
          </w:tcPr>
          <w:p>
            <w:pPr>
              <w:widowControl/>
              <w:adjustRightInd w:val="0"/>
              <w:snapToGrid w:val="0"/>
              <w:rPr>
                <w:rFonts w:ascii="仿宋" w:hAnsi="仿宋" w:eastAsia="仿宋" w:cs="Arial"/>
                <w:color w:val="auto"/>
                <w:szCs w:val="21"/>
              </w:rPr>
            </w:pPr>
          </w:p>
        </w:tc>
        <w:tc>
          <w:tcPr>
            <w:tcW w:w="280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并处所获收入30%以上1.</w:t>
            </w:r>
            <w:r>
              <w:rPr>
                <w:rFonts w:hint="eastAsia" w:ascii="仿宋" w:hAnsi="仿宋" w:eastAsia="仿宋" w:cs="Arial"/>
                <w:color w:val="auto"/>
                <w:szCs w:val="21"/>
                <w:lang w:val="en-US" w:eastAsia="zh-CN"/>
              </w:rPr>
              <w:t>1</w:t>
            </w:r>
            <w:r>
              <w:rPr>
                <w:rFonts w:hint="eastAsia" w:ascii="仿宋" w:hAnsi="仿宋" w:eastAsia="仿宋" w:cs="Arial"/>
                <w:color w:val="auto"/>
                <w:szCs w:val="21"/>
              </w:rPr>
              <w:t>1倍以下的罚款；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10年内禁止从事药品生产经营活动。</w:t>
            </w:r>
          </w:p>
        </w:tc>
        <w:tc>
          <w:tcPr>
            <w:tcW w:w="280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并处所获收入1.1</w:t>
            </w:r>
            <w:r>
              <w:rPr>
                <w:rFonts w:hint="eastAsia" w:ascii="仿宋" w:hAnsi="仿宋" w:eastAsia="仿宋" w:cs="Arial"/>
                <w:color w:val="auto"/>
                <w:szCs w:val="21"/>
                <w:lang w:val="en-US" w:eastAsia="zh-CN"/>
              </w:rPr>
              <w:t>1</w:t>
            </w:r>
            <w:r>
              <w:rPr>
                <w:rFonts w:hint="eastAsia" w:ascii="仿宋" w:hAnsi="仿宋" w:eastAsia="仿宋" w:cs="Arial"/>
                <w:color w:val="auto"/>
                <w:szCs w:val="21"/>
              </w:rPr>
              <w:t>倍以上2.</w:t>
            </w:r>
            <w:r>
              <w:rPr>
                <w:rFonts w:hint="eastAsia" w:ascii="仿宋" w:hAnsi="仿宋" w:eastAsia="仿宋" w:cs="Arial"/>
                <w:color w:val="auto"/>
                <w:szCs w:val="21"/>
                <w:lang w:val="en-US" w:eastAsia="zh-CN"/>
              </w:rPr>
              <w:t>19</w:t>
            </w:r>
            <w:r>
              <w:rPr>
                <w:rFonts w:hint="eastAsia" w:ascii="仿宋" w:hAnsi="仿宋" w:eastAsia="仿宋" w:cs="Arial"/>
                <w:color w:val="auto"/>
                <w:szCs w:val="21"/>
              </w:rPr>
              <w:t>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10年以上</w:t>
            </w:r>
            <w:r>
              <w:rPr>
                <w:rFonts w:hint="eastAsia" w:ascii="仿宋" w:hAnsi="仿宋" w:eastAsia="仿宋" w:cs="Arial"/>
                <w:color w:val="auto"/>
                <w:szCs w:val="21"/>
                <w:lang w:eastAsia="zh-CN"/>
              </w:rPr>
              <w:t>（不含本数）</w:t>
            </w:r>
            <w:r>
              <w:rPr>
                <w:rFonts w:hint="eastAsia" w:ascii="仿宋" w:hAnsi="仿宋" w:eastAsia="仿宋" w:cs="Arial"/>
                <w:color w:val="auto"/>
                <w:szCs w:val="21"/>
              </w:rPr>
              <w:t>20年以</w:t>
            </w:r>
            <w:r>
              <w:rPr>
                <w:rFonts w:hint="eastAsia" w:ascii="仿宋" w:hAnsi="仿宋" w:eastAsia="仿宋" w:cs="Arial"/>
                <w:color w:val="auto"/>
                <w:szCs w:val="21"/>
                <w:lang w:eastAsia="zh-CN"/>
              </w:rPr>
              <w:t>内（含本数）</w:t>
            </w:r>
            <w:r>
              <w:rPr>
                <w:rFonts w:hint="eastAsia" w:ascii="仿宋" w:hAnsi="仿宋" w:eastAsia="仿宋" w:cs="Arial"/>
                <w:color w:val="auto"/>
                <w:szCs w:val="21"/>
              </w:rPr>
              <w:t>禁止从事药品生产经营活动。</w:t>
            </w:r>
          </w:p>
        </w:tc>
        <w:tc>
          <w:tcPr>
            <w:tcW w:w="280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w:t>
            </w:r>
            <w:r>
              <w:rPr>
                <w:rFonts w:hint="eastAsia" w:ascii="仿宋" w:hAnsi="Times New Roman" w:eastAsia="仿宋" w:cs="Times New Roman"/>
                <w:color w:val="auto"/>
                <w:szCs w:val="21"/>
              </w:rPr>
              <w:t>所获收入</w:t>
            </w:r>
            <w:r>
              <w:rPr>
                <w:rFonts w:hint="eastAsia" w:ascii="仿宋" w:hAnsi="仿宋" w:eastAsia="仿宋" w:cs="Arial"/>
                <w:color w:val="auto"/>
                <w:szCs w:val="21"/>
              </w:rPr>
              <w:t>2.</w:t>
            </w:r>
            <w:r>
              <w:rPr>
                <w:rFonts w:hint="eastAsia" w:ascii="仿宋" w:hAnsi="仿宋" w:eastAsia="仿宋" w:cs="Arial"/>
                <w:color w:val="auto"/>
                <w:szCs w:val="21"/>
                <w:lang w:val="en-US" w:eastAsia="zh-CN"/>
              </w:rPr>
              <w:t>19</w:t>
            </w:r>
            <w:r>
              <w:rPr>
                <w:rFonts w:hint="eastAsia" w:ascii="仿宋" w:hAnsi="仿宋" w:eastAsia="仿宋" w:cs="Arial"/>
                <w:color w:val="auto"/>
                <w:szCs w:val="21"/>
              </w:rPr>
              <w:t>倍以上3倍以下的罚款；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至终身禁止从事药品生产经营活动。</w:t>
            </w:r>
          </w:p>
        </w:tc>
      </w:tr>
    </w:tbl>
    <w:p>
      <w:pPr>
        <w:adjustRightInd w:val="0"/>
        <w:spacing w:line="240" w:lineRule="exact"/>
        <w:rPr>
          <w:rFonts w:ascii="仿宋" w:hAnsi="仿宋" w:eastAsia="仿宋" w:cs="Times New Roman"/>
          <w:color w:val="auto"/>
          <w:szCs w:val="21"/>
        </w:rPr>
      </w:pPr>
    </w:p>
    <w:tbl>
      <w:tblPr>
        <w:tblStyle w:val="7"/>
        <w:tblW w:w="139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33"/>
        <w:gridCol w:w="584"/>
        <w:gridCol w:w="584"/>
        <w:gridCol w:w="2932"/>
        <w:gridCol w:w="7"/>
        <w:gridCol w:w="2926"/>
        <w:gridCol w:w="14"/>
        <w:gridCol w:w="2919"/>
        <w:gridCol w:w="20"/>
        <w:gridCol w:w="2913"/>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7" w:type="dxa"/>
          <w:trHeight w:val="397" w:hRule="atLeast"/>
        </w:trPr>
        <w:tc>
          <w:tcPr>
            <w:tcW w:w="534" w:type="dxa"/>
            <w:vMerge w:val="restart"/>
            <w:vAlign w:val="center"/>
          </w:tcPr>
          <w:p>
            <w:pPr>
              <w:widowControl/>
              <w:adjustRightInd w:val="0"/>
              <w:snapToGrid w:val="0"/>
              <w:jc w:val="center"/>
              <w:rPr>
                <w:rFonts w:ascii="仿宋" w:hAnsi="仿宋" w:eastAsia="仿宋" w:cs="Arial"/>
                <w:b/>
                <w:bCs/>
                <w:color w:val="auto"/>
                <w:kern w:val="0"/>
                <w:szCs w:val="21"/>
              </w:rPr>
            </w:pPr>
            <w:r>
              <w:rPr>
                <w:rFonts w:hint="eastAsia" w:ascii="仿宋" w:hAnsi="仿宋" w:eastAsia="仿宋" w:cs="Arial"/>
                <w:b/>
                <w:bCs/>
                <w:color w:val="auto"/>
                <w:kern w:val="0"/>
                <w:szCs w:val="21"/>
              </w:rPr>
              <w:t>10</w:t>
            </w:r>
          </w:p>
        </w:tc>
        <w:tc>
          <w:tcPr>
            <w:tcW w:w="1701"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违法行为</w:t>
            </w:r>
          </w:p>
        </w:tc>
        <w:tc>
          <w:tcPr>
            <w:tcW w:w="11731" w:type="dxa"/>
            <w:gridSpan w:val="7"/>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违反《药品管理法》第一百二十五条的行为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7" w:type="dxa"/>
          <w:trHeight w:val="1908" w:hRule="atLeast"/>
        </w:trPr>
        <w:tc>
          <w:tcPr>
            <w:tcW w:w="534" w:type="dxa"/>
            <w:vMerge w:val="continue"/>
            <w:vAlign w:val="center"/>
          </w:tcPr>
          <w:p>
            <w:pPr>
              <w:widowControl/>
              <w:adjustRightInd w:val="0"/>
              <w:snapToGrid w:val="0"/>
              <w:jc w:val="center"/>
              <w:rPr>
                <w:rFonts w:ascii="仿宋" w:hAnsi="仿宋" w:eastAsia="仿宋" w:cs="宋体"/>
                <w:color w:val="auto"/>
                <w:kern w:val="0"/>
                <w:szCs w:val="21"/>
              </w:rPr>
            </w:pPr>
          </w:p>
        </w:tc>
        <w:tc>
          <w:tcPr>
            <w:tcW w:w="1701"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处罚依据</w:t>
            </w:r>
          </w:p>
        </w:tc>
        <w:tc>
          <w:tcPr>
            <w:tcW w:w="11731" w:type="dxa"/>
            <w:gridSpan w:val="7"/>
            <w:vAlign w:val="center"/>
          </w:tcPr>
          <w:p>
            <w:pPr>
              <w:widowControl/>
              <w:adjustRightInd w:val="0"/>
              <w:snapToGrid w:val="0"/>
              <w:spacing w:line="240" w:lineRule="exact"/>
              <w:rPr>
                <w:rFonts w:ascii="仿宋" w:hAnsi="仿宋" w:eastAsia="仿宋" w:cs="Arial"/>
                <w:color w:val="auto"/>
                <w:kern w:val="0"/>
                <w:sz w:val="18"/>
                <w:szCs w:val="18"/>
              </w:rPr>
            </w:pPr>
            <w:r>
              <w:rPr>
                <w:rFonts w:hint="eastAsia" w:ascii="仿宋" w:hAnsi="仿宋" w:eastAsia="仿宋" w:cs="Arial"/>
                <w:b/>
                <w:bCs/>
                <w:color w:val="auto"/>
                <w:kern w:val="0"/>
                <w:sz w:val="18"/>
                <w:szCs w:val="18"/>
              </w:rPr>
              <w:t>《药品管理法》第一百二十五条：</w:t>
            </w:r>
            <w:r>
              <w:rPr>
                <w:rFonts w:hint="eastAsia" w:ascii="仿宋" w:hAnsi="仿宋" w:eastAsia="仿宋" w:cs="Arial"/>
                <w:color w:val="auto"/>
                <w:kern w:val="0"/>
                <w:sz w:val="18"/>
                <w:szCs w:val="18"/>
              </w:rPr>
              <w:t>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p>
          <w:p>
            <w:pPr>
              <w:widowControl/>
              <w:adjustRightInd w:val="0"/>
              <w:snapToGrid w:val="0"/>
              <w:spacing w:line="240" w:lineRule="exact"/>
              <w:rPr>
                <w:rFonts w:ascii="仿宋" w:hAnsi="仿宋" w:eastAsia="仿宋" w:cs="Arial"/>
                <w:color w:val="auto"/>
                <w:kern w:val="0"/>
                <w:sz w:val="18"/>
                <w:szCs w:val="18"/>
              </w:rPr>
            </w:pPr>
            <w:r>
              <w:rPr>
                <w:rFonts w:hint="eastAsia" w:ascii="仿宋" w:hAnsi="仿宋" w:eastAsia="仿宋" w:cs="Arial"/>
                <w:color w:val="auto"/>
                <w:kern w:val="0"/>
                <w:sz w:val="18"/>
                <w:szCs w:val="18"/>
              </w:rPr>
              <w:t>（一）未经批准开展药物临床试验；</w:t>
            </w:r>
          </w:p>
          <w:p>
            <w:pPr>
              <w:widowControl/>
              <w:adjustRightInd w:val="0"/>
              <w:snapToGrid w:val="0"/>
              <w:spacing w:line="240" w:lineRule="exact"/>
              <w:rPr>
                <w:rFonts w:ascii="仿宋" w:hAnsi="仿宋" w:eastAsia="仿宋" w:cs="Arial"/>
                <w:color w:val="auto"/>
                <w:kern w:val="0"/>
                <w:sz w:val="18"/>
                <w:szCs w:val="18"/>
              </w:rPr>
            </w:pPr>
            <w:r>
              <w:rPr>
                <w:rFonts w:hint="eastAsia" w:ascii="仿宋" w:hAnsi="仿宋" w:eastAsia="仿宋" w:cs="Arial"/>
                <w:color w:val="auto"/>
                <w:kern w:val="0"/>
                <w:sz w:val="18"/>
                <w:szCs w:val="18"/>
              </w:rPr>
              <w:t>（二）使用未经审评的直接接触药品的包装材料或者容器生产药品，或者销售该类药品；</w:t>
            </w:r>
          </w:p>
          <w:p>
            <w:pPr>
              <w:widowControl/>
              <w:adjustRightInd w:val="0"/>
              <w:snapToGrid w:val="0"/>
              <w:spacing w:line="240" w:lineRule="exact"/>
              <w:rPr>
                <w:rFonts w:ascii="仿宋" w:hAnsi="仿宋" w:eastAsia="仿宋" w:cs="Arial"/>
                <w:color w:val="auto"/>
                <w:kern w:val="0"/>
                <w:sz w:val="18"/>
                <w:szCs w:val="18"/>
              </w:rPr>
            </w:pPr>
            <w:r>
              <w:rPr>
                <w:rFonts w:hint="eastAsia" w:ascii="仿宋" w:hAnsi="仿宋" w:eastAsia="仿宋" w:cs="Arial"/>
                <w:color w:val="auto"/>
                <w:kern w:val="0"/>
                <w:sz w:val="18"/>
                <w:szCs w:val="18"/>
              </w:rPr>
              <w:t>（三）使用未经核准的标签、说明书。</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b/>
                <w:bCs/>
                <w:color w:val="auto"/>
                <w:kern w:val="0"/>
                <w:sz w:val="18"/>
                <w:szCs w:val="18"/>
              </w:rPr>
              <w:t>《药品注册管理办法》第一百一十四条：</w:t>
            </w:r>
            <w:r>
              <w:rPr>
                <w:rFonts w:hint="eastAsia" w:ascii="仿宋" w:hAnsi="仿宋" w:eastAsia="仿宋" w:cs="Arial"/>
                <w:color w:val="auto"/>
                <w:kern w:val="0"/>
                <w:sz w:val="18"/>
                <w:szCs w:val="18"/>
              </w:rPr>
              <w:t>未经批准开展药物临床试验的，按照《药品管理法》第一百二十五条处理；开展生物等效性试验未备案的，按照《药品管理法》第一百二十七条处理。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7" w:type="dxa"/>
          <w:trHeight w:val="369" w:hRule="atLeast"/>
        </w:trPr>
        <w:tc>
          <w:tcPr>
            <w:tcW w:w="534" w:type="dxa"/>
            <w:vMerge w:val="continue"/>
            <w:vAlign w:val="center"/>
          </w:tcPr>
          <w:p>
            <w:pPr>
              <w:widowControl/>
              <w:adjustRightInd w:val="0"/>
              <w:snapToGrid w:val="0"/>
              <w:jc w:val="center"/>
              <w:rPr>
                <w:rFonts w:ascii="仿宋" w:hAnsi="仿宋" w:eastAsia="仿宋" w:cs="Arial"/>
                <w:b/>
                <w:bCs/>
                <w:color w:val="auto"/>
                <w:kern w:val="0"/>
                <w:szCs w:val="21"/>
              </w:rPr>
            </w:pPr>
          </w:p>
        </w:tc>
        <w:tc>
          <w:tcPr>
            <w:tcW w:w="1701"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裁量等级</w:t>
            </w:r>
          </w:p>
        </w:tc>
        <w:tc>
          <w:tcPr>
            <w:tcW w:w="2932"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减轻</w:t>
            </w:r>
          </w:p>
        </w:tc>
        <w:tc>
          <w:tcPr>
            <w:tcW w:w="2933"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从轻</w:t>
            </w:r>
          </w:p>
        </w:tc>
        <w:tc>
          <w:tcPr>
            <w:tcW w:w="2933"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一般</w:t>
            </w:r>
          </w:p>
        </w:tc>
        <w:tc>
          <w:tcPr>
            <w:tcW w:w="2933"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7" w:type="dxa"/>
          <w:trHeight w:val="1016" w:hRule="atLeast"/>
        </w:trPr>
        <w:tc>
          <w:tcPr>
            <w:tcW w:w="534" w:type="dxa"/>
            <w:vMerge w:val="continue"/>
            <w:vAlign w:val="center"/>
          </w:tcPr>
          <w:p>
            <w:pPr>
              <w:widowControl/>
              <w:adjustRightInd w:val="0"/>
              <w:snapToGrid w:val="0"/>
              <w:jc w:val="center"/>
              <w:rPr>
                <w:rFonts w:ascii="仿宋" w:hAnsi="仿宋" w:eastAsia="仿宋" w:cs="Arial"/>
                <w:b/>
                <w:bCs/>
                <w:color w:val="auto"/>
                <w:kern w:val="0"/>
                <w:szCs w:val="21"/>
              </w:rPr>
            </w:pPr>
          </w:p>
        </w:tc>
        <w:tc>
          <w:tcPr>
            <w:tcW w:w="1701"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裁量情节</w:t>
            </w:r>
          </w:p>
        </w:tc>
        <w:tc>
          <w:tcPr>
            <w:tcW w:w="2932" w:type="dxa"/>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初次使用未经核准的标签、说明书的；</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其他符合裁量规则减轻行政处罚情形的。</w:t>
            </w:r>
          </w:p>
        </w:tc>
        <w:tc>
          <w:tcPr>
            <w:tcW w:w="2933" w:type="dxa"/>
            <w:gridSpan w:val="2"/>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符合裁量规则从轻行政处罚情形的。</w:t>
            </w:r>
          </w:p>
        </w:tc>
        <w:tc>
          <w:tcPr>
            <w:tcW w:w="2933" w:type="dxa"/>
            <w:gridSpan w:val="2"/>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符合裁量规则一般行政处罚情形的。</w:t>
            </w:r>
          </w:p>
        </w:tc>
        <w:tc>
          <w:tcPr>
            <w:tcW w:w="2933" w:type="dxa"/>
            <w:gridSpan w:val="2"/>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7" w:type="dxa"/>
          <w:trHeight w:val="1526" w:hRule="atLeast"/>
        </w:trPr>
        <w:tc>
          <w:tcPr>
            <w:tcW w:w="534" w:type="dxa"/>
            <w:vMerge w:val="continue"/>
            <w:vAlign w:val="center"/>
          </w:tcPr>
          <w:p>
            <w:pPr>
              <w:widowControl/>
              <w:adjustRightInd w:val="0"/>
              <w:snapToGrid w:val="0"/>
              <w:jc w:val="center"/>
              <w:rPr>
                <w:rFonts w:ascii="仿宋" w:hAnsi="仿宋" w:eastAsia="仿宋" w:cs="Arial"/>
                <w:color w:val="auto"/>
                <w:kern w:val="0"/>
                <w:szCs w:val="21"/>
              </w:rPr>
            </w:pPr>
          </w:p>
        </w:tc>
        <w:tc>
          <w:tcPr>
            <w:tcW w:w="533" w:type="dxa"/>
            <w:vMerge w:val="restart"/>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裁</w:t>
            </w:r>
          </w:p>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量</w:t>
            </w:r>
          </w:p>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基</w:t>
            </w:r>
          </w:p>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准</w:t>
            </w:r>
          </w:p>
        </w:tc>
        <w:tc>
          <w:tcPr>
            <w:tcW w:w="1168" w:type="dxa"/>
            <w:gridSpan w:val="2"/>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一般</w:t>
            </w:r>
          </w:p>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情形</w:t>
            </w:r>
          </w:p>
        </w:tc>
        <w:tc>
          <w:tcPr>
            <w:tcW w:w="2932" w:type="dxa"/>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3.并处5万元以上50万元以下的罚款。</w:t>
            </w:r>
          </w:p>
        </w:tc>
        <w:tc>
          <w:tcPr>
            <w:tcW w:w="2933" w:type="dxa"/>
            <w:gridSpan w:val="2"/>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3.并处50万元以上185万元以下的罚款。</w:t>
            </w:r>
          </w:p>
        </w:tc>
        <w:tc>
          <w:tcPr>
            <w:tcW w:w="2933" w:type="dxa"/>
            <w:gridSpan w:val="2"/>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3.并处违法收入185万元以上365万元以下的罚款。</w:t>
            </w:r>
          </w:p>
        </w:tc>
        <w:tc>
          <w:tcPr>
            <w:tcW w:w="2933" w:type="dxa"/>
            <w:gridSpan w:val="2"/>
            <w:vAlign w:val="center"/>
          </w:tcPr>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1.没收违法生产、销售的药品和违法所得以及包装材料、容器；</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2.责令停产停业整顿；</w:t>
            </w:r>
          </w:p>
          <w:p>
            <w:pPr>
              <w:widowControl/>
              <w:adjustRightInd w:val="0"/>
              <w:snapToGrid w:val="0"/>
              <w:spacing w:line="240" w:lineRule="exact"/>
              <w:rPr>
                <w:rFonts w:ascii="仿宋" w:hAnsi="仿宋" w:eastAsia="仿宋" w:cs="Arial"/>
                <w:color w:val="auto"/>
                <w:kern w:val="0"/>
                <w:szCs w:val="21"/>
              </w:rPr>
            </w:pPr>
            <w:r>
              <w:rPr>
                <w:rFonts w:hint="eastAsia" w:ascii="仿宋" w:hAnsi="仿宋" w:eastAsia="仿宋" w:cs="Arial"/>
                <w:color w:val="auto"/>
                <w:kern w:val="0"/>
                <w:szCs w:val="21"/>
              </w:rPr>
              <w:t>3.并处365万元以上500万元以下的罚款。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1" w:hRule="atLeast"/>
        </w:trPr>
        <w:tc>
          <w:tcPr>
            <w:tcW w:w="534" w:type="dxa"/>
            <w:vMerge w:val="continue"/>
            <w:vAlign w:val="center"/>
          </w:tcPr>
          <w:p>
            <w:pPr>
              <w:widowControl/>
              <w:adjustRightInd w:val="0"/>
              <w:snapToGrid w:val="0"/>
              <w:jc w:val="center"/>
              <w:rPr>
                <w:rFonts w:ascii="仿宋" w:hAnsi="仿宋" w:eastAsia="仿宋" w:cs="Arial"/>
                <w:color w:val="auto"/>
                <w:kern w:val="0"/>
                <w:szCs w:val="21"/>
              </w:rPr>
            </w:pPr>
          </w:p>
        </w:tc>
        <w:tc>
          <w:tcPr>
            <w:tcW w:w="533" w:type="dxa"/>
            <w:vMerge w:val="continue"/>
            <w:vAlign w:val="center"/>
          </w:tcPr>
          <w:p>
            <w:pPr>
              <w:widowControl/>
              <w:adjustRightInd w:val="0"/>
              <w:snapToGrid w:val="0"/>
              <w:jc w:val="center"/>
              <w:rPr>
                <w:rFonts w:ascii="仿宋" w:hAnsi="仿宋" w:eastAsia="仿宋" w:cs="Arial"/>
                <w:color w:val="auto"/>
                <w:kern w:val="0"/>
                <w:szCs w:val="21"/>
              </w:rPr>
            </w:pPr>
          </w:p>
        </w:tc>
        <w:tc>
          <w:tcPr>
            <w:tcW w:w="584" w:type="dxa"/>
            <w:vMerge w:val="restart"/>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情节严重</w:t>
            </w:r>
          </w:p>
        </w:tc>
        <w:tc>
          <w:tcPr>
            <w:tcW w:w="584" w:type="dxa"/>
            <w:vAlign w:val="center"/>
          </w:tcPr>
          <w:p>
            <w:pPr>
              <w:widowControl/>
              <w:adjustRightInd w:val="0"/>
              <w:snapToGrid w:val="0"/>
              <w:rPr>
                <w:rFonts w:hint="eastAsia" w:ascii="仿宋" w:hAnsi="仿宋" w:eastAsia="仿宋" w:cs="Arial"/>
                <w:b/>
                <w:bCs/>
                <w:color w:val="auto"/>
                <w:kern w:val="0"/>
                <w:sz w:val="18"/>
                <w:szCs w:val="18"/>
                <w:lang w:eastAsia="zh-CN"/>
              </w:rPr>
            </w:pPr>
            <w:r>
              <w:rPr>
                <w:rFonts w:hint="eastAsia" w:ascii="仿宋" w:hAnsi="仿宋" w:eastAsia="仿宋" w:cs="Arial"/>
                <w:b/>
                <w:bCs/>
                <w:color w:val="auto"/>
                <w:kern w:val="0"/>
                <w:sz w:val="18"/>
                <w:szCs w:val="18"/>
                <w:lang w:eastAsia="zh-CN"/>
              </w:rPr>
              <w:t>对单位的处罚</w:t>
            </w:r>
          </w:p>
        </w:tc>
        <w:tc>
          <w:tcPr>
            <w:tcW w:w="2939" w:type="dxa"/>
            <w:gridSpan w:val="2"/>
            <w:vAlign w:val="center"/>
          </w:tcPr>
          <w:p>
            <w:pPr>
              <w:widowControl/>
              <w:adjustRightInd w:val="0"/>
              <w:snapToGrid w:val="0"/>
              <w:spacing w:line="240" w:lineRule="exact"/>
              <w:rPr>
                <w:rFonts w:ascii="仿宋" w:hAnsi="仿宋" w:eastAsia="仿宋" w:cs="Arial"/>
                <w:color w:val="auto"/>
                <w:kern w:val="0"/>
                <w:szCs w:val="21"/>
              </w:rPr>
            </w:pPr>
          </w:p>
        </w:tc>
        <w:tc>
          <w:tcPr>
            <w:tcW w:w="2940" w:type="dxa"/>
            <w:gridSpan w:val="2"/>
            <w:vAlign w:val="center"/>
          </w:tcPr>
          <w:p/>
          <w:p>
            <w:pPr>
              <w:widowControl/>
              <w:adjustRightInd w:val="0"/>
              <w:snapToGrid w:val="0"/>
              <w:spacing w:line="240" w:lineRule="exact"/>
              <w:rPr>
                <w:rFonts w:ascii="仿宋" w:hAnsi="仿宋" w:eastAsia="仿宋" w:cs="Arial"/>
                <w:color w:val="auto"/>
                <w:kern w:val="0"/>
                <w:szCs w:val="21"/>
              </w:rPr>
            </w:pPr>
          </w:p>
        </w:tc>
        <w:tc>
          <w:tcPr>
            <w:tcW w:w="2939" w:type="dxa"/>
            <w:gridSpan w:val="2"/>
            <w:vAlign w:val="center"/>
          </w:tcPr>
          <w:p/>
          <w:p>
            <w:pPr>
              <w:widowControl/>
              <w:adjustRightInd w:val="0"/>
              <w:snapToGrid w:val="0"/>
              <w:spacing w:line="240" w:lineRule="exact"/>
              <w:rPr>
                <w:rFonts w:ascii="仿宋" w:hAnsi="仿宋" w:eastAsia="仿宋" w:cs="Arial"/>
                <w:color w:val="auto"/>
                <w:kern w:val="0"/>
                <w:szCs w:val="21"/>
              </w:rPr>
            </w:pPr>
          </w:p>
        </w:tc>
        <w:tc>
          <w:tcPr>
            <w:tcW w:w="2940" w:type="dxa"/>
            <w:gridSpan w:val="2"/>
            <w:vAlign w:val="center"/>
          </w:tcPr>
          <w:p>
            <w:r>
              <w:rPr>
                <w:rFonts w:hint="eastAsia" w:ascii="仿宋" w:hAnsi="仿宋" w:eastAsia="仿宋" w:cs="Arial"/>
                <w:color w:val="auto"/>
                <w:kern w:val="0"/>
                <w:szCs w:val="21"/>
                <w:lang w:eastAsia="zh-CN"/>
              </w:rPr>
              <w:t>并处</w:t>
            </w:r>
            <w:r>
              <w:rPr>
                <w:rFonts w:hint="eastAsia" w:ascii="仿宋" w:hAnsi="仿宋" w:eastAsia="仿宋" w:cs="Arial"/>
                <w:color w:val="auto"/>
                <w:kern w:val="0"/>
                <w:szCs w:val="21"/>
              </w:rPr>
              <w:t>吊销药品批准证明文件、药品生产许可证、药品经营许可证</w:t>
            </w:r>
            <w:r>
              <w:rPr>
                <w:rFonts w:hint="eastAsia" w:ascii="仿宋" w:hAnsi="仿宋" w:eastAsia="仿宋" w:cs="Arial"/>
                <w:color w:val="auto"/>
                <w:kern w:val="0"/>
                <w:szCs w:val="21"/>
                <w:lang w:eastAsia="zh-CN"/>
              </w:rPr>
              <w:t>。</w:t>
            </w:r>
          </w:p>
          <w:p>
            <w:pPr>
              <w:widowControl/>
              <w:adjustRightInd w:val="0"/>
              <w:snapToGrid w:val="0"/>
              <w:spacing w:line="240" w:lineRule="exact"/>
              <w:rPr>
                <w:rFonts w:ascii="仿宋" w:hAnsi="仿宋" w:eastAsia="仿宋"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6" w:hRule="atLeast"/>
        </w:trPr>
        <w:tc>
          <w:tcPr>
            <w:tcW w:w="534" w:type="dxa"/>
            <w:vAlign w:val="center"/>
          </w:tcPr>
          <w:p>
            <w:pPr>
              <w:widowControl/>
              <w:adjustRightInd w:val="0"/>
              <w:snapToGrid w:val="0"/>
              <w:jc w:val="center"/>
              <w:rPr>
                <w:rFonts w:ascii="仿宋" w:hAnsi="仿宋" w:eastAsia="仿宋" w:cs="Arial"/>
                <w:color w:val="auto"/>
                <w:kern w:val="0"/>
                <w:szCs w:val="21"/>
              </w:rPr>
            </w:pPr>
          </w:p>
        </w:tc>
        <w:tc>
          <w:tcPr>
            <w:tcW w:w="533" w:type="dxa"/>
            <w:vAlign w:val="center"/>
          </w:tcPr>
          <w:p>
            <w:pPr>
              <w:widowControl/>
              <w:adjustRightInd w:val="0"/>
              <w:snapToGrid w:val="0"/>
              <w:jc w:val="center"/>
              <w:rPr>
                <w:rFonts w:ascii="仿宋" w:hAnsi="仿宋" w:eastAsia="仿宋" w:cs="Arial"/>
                <w:color w:val="auto"/>
                <w:kern w:val="0"/>
                <w:szCs w:val="21"/>
              </w:rPr>
            </w:pPr>
          </w:p>
        </w:tc>
        <w:tc>
          <w:tcPr>
            <w:tcW w:w="584" w:type="dxa"/>
            <w:vMerge w:val="continue"/>
            <w:vAlign w:val="center"/>
          </w:tcPr>
          <w:p>
            <w:pPr>
              <w:widowControl/>
              <w:adjustRightInd w:val="0"/>
              <w:snapToGrid w:val="0"/>
              <w:jc w:val="center"/>
              <w:rPr>
                <w:rFonts w:ascii="仿宋" w:hAnsi="仿宋" w:eastAsia="仿宋" w:cs="Arial"/>
                <w:color w:val="auto"/>
                <w:kern w:val="0"/>
                <w:szCs w:val="21"/>
              </w:rPr>
            </w:pPr>
          </w:p>
        </w:tc>
        <w:tc>
          <w:tcPr>
            <w:tcW w:w="584" w:type="dxa"/>
            <w:vAlign w:val="center"/>
          </w:tcPr>
          <w:p>
            <w:pPr>
              <w:widowControl/>
              <w:adjustRightInd w:val="0"/>
              <w:snapToGrid w:val="0"/>
              <w:rPr>
                <w:rFonts w:hint="eastAsia" w:ascii="仿宋" w:hAnsi="仿宋" w:eastAsia="仿宋" w:cs="Arial"/>
                <w:b/>
                <w:bCs/>
                <w:color w:val="auto"/>
                <w:kern w:val="0"/>
                <w:sz w:val="18"/>
                <w:szCs w:val="18"/>
              </w:rPr>
            </w:pPr>
            <w:r>
              <w:rPr>
                <w:rFonts w:hint="eastAsia" w:ascii="仿宋" w:hAnsi="仿宋" w:eastAsia="仿宋" w:cs="Arial"/>
                <w:b/>
                <w:bCs/>
                <w:color w:val="auto"/>
                <w:kern w:val="0"/>
                <w:sz w:val="18"/>
                <w:szCs w:val="18"/>
              </w:rPr>
              <w:t>对</w:t>
            </w:r>
            <w:r>
              <w:rPr>
                <w:rFonts w:hint="eastAsia" w:ascii="仿宋" w:hAnsi="仿宋" w:eastAsia="仿宋" w:cs="Arial"/>
                <w:b/>
                <w:bCs/>
                <w:color w:val="auto"/>
                <w:kern w:val="0"/>
                <w:sz w:val="18"/>
                <w:szCs w:val="18"/>
                <w:lang w:eastAsia="zh-CN"/>
              </w:rPr>
              <w:t>责任人员</w:t>
            </w:r>
            <w:r>
              <w:rPr>
                <w:rFonts w:hint="eastAsia" w:ascii="仿宋" w:hAnsi="仿宋" w:eastAsia="仿宋" w:cs="Arial"/>
                <w:b/>
                <w:bCs/>
                <w:color w:val="auto"/>
                <w:kern w:val="0"/>
                <w:sz w:val="18"/>
                <w:szCs w:val="18"/>
              </w:rPr>
              <w:t>的处罚</w:t>
            </w:r>
          </w:p>
        </w:tc>
        <w:tc>
          <w:tcPr>
            <w:tcW w:w="2939" w:type="dxa"/>
            <w:gridSpan w:val="2"/>
            <w:vAlign w:val="center"/>
          </w:tcPr>
          <w:p>
            <w:pPr>
              <w:widowControl/>
              <w:adjustRightInd w:val="0"/>
              <w:snapToGrid w:val="0"/>
              <w:rPr>
                <w:rFonts w:ascii="仿宋" w:hAnsi="仿宋" w:eastAsia="仿宋" w:cs="Arial"/>
                <w:color w:val="auto"/>
                <w:kern w:val="0"/>
                <w:szCs w:val="21"/>
              </w:rPr>
            </w:pPr>
          </w:p>
        </w:tc>
        <w:tc>
          <w:tcPr>
            <w:tcW w:w="2940"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处2万元以上7.4万元以下的罚款；</w:t>
            </w:r>
          </w:p>
          <w:p>
            <w:pPr>
              <w:adjustRightInd w:val="0"/>
              <w:snapToGrid w:val="0"/>
              <w:rPr>
                <w:rFonts w:hint="eastAsia" w:ascii="仿宋" w:hAnsi="仿宋" w:eastAsia="仿宋" w:cs="Arial"/>
                <w:b/>
                <w:bCs/>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10年内禁止从事药品生经营活动。</w:t>
            </w:r>
          </w:p>
        </w:tc>
        <w:tc>
          <w:tcPr>
            <w:tcW w:w="2939"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处7.4万元以上14.6万元以下的罚款；</w:t>
            </w:r>
          </w:p>
          <w:p>
            <w:pPr>
              <w:adjustRightInd w:val="0"/>
              <w:snapToGrid w:val="0"/>
              <w:rPr>
                <w:rFonts w:hint="eastAsia" w:ascii="仿宋" w:hAnsi="仿宋" w:eastAsia="仿宋" w:cs="Arial"/>
                <w:b/>
                <w:bCs/>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lang w:eastAsia="zh-CN"/>
              </w:rPr>
              <w:t>10年以上（不含本数）20年以内（含本数）</w:t>
            </w:r>
            <w:r>
              <w:rPr>
                <w:rFonts w:hint="eastAsia" w:ascii="仿宋" w:hAnsi="仿宋" w:eastAsia="仿宋" w:cs="Arial"/>
                <w:color w:val="auto"/>
                <w:kern w:val="0"/>
                <w:szCs w:val="21"/>
              </w:rPr>
              <w:t>禁止从事药品生产经营活动。</w:t>
            </w:r>
          </w:p>
        </w:tc>
        <w:tc>
          <w:tcPr>
            <w:tcW w:w="2940"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处14.6万元以上20万元以下的罚款；</w:t>
            </w:r>
          </w:p>
          <w:p>
            <w:pPr>
              <w:adjustRightInd w:val="0"/>
              <w:snapToGrid w:val="0"/>
              <w:rPr>
                <w:rFonts w:hint="eastAsia" w:ascii="仿宋" w:hAnsi="仿宋" w:eastAsia="仿宋" w:cs="Arial"/>
                <w:b/>
                <w:bCs/>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lang w:eastAsia="zh-CN"/>
              </w:rPr>
              <w:t>20年以上（不含本数）</w:t>
            </w:r>
            <w:r>
              <w:rPr>
                <w:rFonts w:hint="eastAsia" w:ascii="仿宋" w:hAnsi="仿宋" w:eastAsia="仿宋" w:cs="Arial"/>
                <w:color w:val="auto"/>
                <w:kern w:val="0"/>
                <w:szCs w:val="21"/>
              </w:rPr>
              <w:t>至终身禁止从事药品生产经营活动。</w:t>
            </w:r>
          </w:p>
        </w:tc>
      </w:tr>
    </w:tbl>
    <w:p>
      <w:pPr>
        <w:widowControl/>
        <w:tabs>
          <w:tab w:val="left" w:pos="1155"/>
          <w:tab w:val="left" w:pos="6776"/>
          <w:tab w:val="left" w:pos="10201"/>
          <w:tab w:val="left" w:pos="13658"/>
          <w:tab w:val="left" w:pos="13894"/>
        </w:tabs>
        <w:adjustRightInd w:val="0"/>
        <w:spacing w:line="180" w:lineRule="exact"/>
        <w:jc w:val="left"/>
        <w:rPr>
          <w:rFonts w:ascii="仿宋" w:hAnsi="仿宋" w:eastAsia="仿宋" w:cs="Arial"/>
          <w:color w:val="auto"/>
          <w:kern w:val="0"/>
          <w:szCs w:val="21"/>
        </w:rPr>
      </w:pPr>
    </w:p>
    <w:tbl>
      <w:tblPr>
        <w:tblStyle w:val="7"/>
        <w:tblW w:w="14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638"/>
        <w:gridCol w:w="639"/>
        <w:gridCol w:w="851"/>
        <w:gridCol w:w="2268"/>
        <w:gridCol w:w="2268"/>
        <w:gridCol w:w="2268"/>
        <w:gridCol w:w="4666"/>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2" w:type="dxa"/>
          <w:trHeight w:val="454" w:hRule="atLeast"/>
        </w:trPr>
        <w:tc>
          <w:tcPr>
            <w:tcW w:w="532" w:type="dxa"/>
            <w:vMerge w:val="restart"/>
            <w:vAlign w:val="center"/>
          </w:tcPr>
          <w:p>
            <w:pPr>
              <w:widowControl/>
              <w:adjustRightInd w:val="0"/>
              <w:snapToGrid w:val="0"/>
              <w:jc w:val="center"/>
              <w:rPr>
                <w:rFonts w:ascii="仿宋" w:hAnsi="仿宋" w:eastAsia="仿宋" w:cs="Arial"/>
                <w:b/>
                <w:color w:val="auto"/>
                <w:kern w:val="0"/>
                <w:szCs w:val="21"/>
              </w:rPr>
            </w:pPr>
            <w:r>
              <w:rPr>
                <w:rFonts w:hint="eastAsia" w:ascii="仿宋" w:hAnsi="仿宋" w:eastAsia="仿宋" w:cs="Arial"/>
                <w:b/>
                <w:color w:val="auto"/>
                <w:kern w:val="0"/>
                <w:szCs w:val="21"/>
              </w:rPr>
              <w:t>11</w:t>
            </w:r>
          </w:p>
        </w:tc>
        <w:tc>
          <w:tcPr>
            <w:tcW w:w="2128"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违法行为</w:t>
            </w:r>
          </w:p>
        </w:tc>
        <w:tc>
          <w:tcPr>
            <w:tcW w:w="11470" w:type="dxa"/>
            <w:gridSpan w:val="4"/>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违反《药品管理法》第一百二十六条的行为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2" w:type="dxa"/>
          <w:trHeight w:val="3395" w:hRule="atLeast"/>
        </w:trPr>
        <w:tc>
          <w:tcPr>
            <w:tcW w:w="532" w:type="dxa"/>
            <w:vMerge w:val="continue"/>
            <w:vAlign w:val="center"/>
          </w:tcPr>
          <w:p>
            <w:pPr>
              <w:widowControl/>
              <w:adjustRightInd w:val="0"/>
              <w:snapToGrid w:val="0"/>
              <w:jc w:val="center"/>
              <w:rPr>
                <w:rFonts w:ascii="仿宋" w:hAnsi="仿宋" w:eastAsia="仿宋" w:cs="Arial"/>
                <w:color w:val="auto"/>
                <w:kern w:val="0"/>
                <w:szCs w:val="21"/>
              </w:rPr>
            </w:pPr>
          </w:p>
        </w:tc>
        <w:tc>
          <w:tcPr>
            <w:tcW w:w="2128"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处罚依据</w:t>
            </w:r>
          </w:p>
        </w:tc>
        <w:tc>
          <w:tcPr>
            <w:tcW w:w="11470" w:type="dxa"/>
            <w:gridSpan w:val="4"/>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《药品管理法》第一百二十六条：</w:t>
            </w:r>
            <w:r>
              <w:rPr>
                <w:rFonts w:hint="eastAsia" w:ascii="仿宋" w:hAnsi="仿宋" w:eastAsia="仿宋" w:cs="Arial"/>
                <w:color w:val="auto"/>
                <w:kern w:val="0"/>
                <w:szCs w:val="21"/>
              </w:rPr>
              <w:t>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p>
          <w:p>
            <w:pPr>
              <w:adjustRightInd w:val="0"/>
              <w:snapToGrid w:val="0"/>
              <w:rPr>
                <w:rFonts w:ascii="仿宋" w:hAnsi="仿宋" w:eastAsia="仿宋" w:cs="Times New Roman"/>
                <w:color w:val="auto"/>
                <w:szCs w:val="21"/>
              </w:rPr>
            </w:pPr>
            <w:r>
              <w:rPr>
                <w:rFonts w:hint="eastAsia" w:ascii="仿宋" w:hAnsi="仿宋" w:eastAsia="仿宋" w:cs="Times New Roman"/>
                <w:color w:val="auto"/>
                <w:szCs w:val="21"/>
              </w:rPr>
              <w:t>《药品注册管理办法》第一百一十三条：在药品注册过程中，药物非临床安全性评价研究机构、药物临床试验机构等，未按照规定遵守药物非临床研究质量管理规范、药物临床试验质量管理规范等的，按照《药品管理法》第一百二十六条处理。</w:t>
            </w:r>
          </w:p>
          <w:p>
            <w:pPr>
              <w:adjustRightInd w:val="0"/>
              <w:snapToGrid w:val="0"/>
              <w:rPr>
                <w:rFonts w:ascii="仿宋" w:hAnsi="仿宋" w:eastAsia="仿宋" w:cs="Arial"/>
                <w:color w:val="auto"/>
                <w:kern w:val="0"/>
                <w:szCs w:val="21"/>
              </w:rPr>
            </w:pPr>
            <w:r>
              <w:rPr>
                <w:rFonts w:hint="eastAsia" w:ascii="仿宋" w:hAnsi="仿宋" w:eastAsia="仿宋" w:cs="Times New Roman"/>
                <w:color w:val="auto"/>
                <w:szCs w:val="21"/>
              </w:rPr>
              <w:t>《药品生产监督管理办法》第七十条：</w:t>
            </w:r>
            <w:r>
              <w:rPr>
                <w:rFonts w:hint="eastAsia" w:ascii="仿宋" w:hAnsi="仿宋" w:eastAsia="仿宋" w:cs="Arial"/>
                <w:color w:val="auto"/>
                <w:kern w:val="0"/>
                <w:szCs w:val="21"/>
              </w:rPr>
              <w:t>辅料、直接接触药品的包装材料和容器的生产企业及供应商未遵守国家药品监督管理局制定的质量管理规范等相关要求，不能确保质量保证体系持续合规的，由所在地省、自治区、直辖市药品监督管理部门按照《药品管理法》第一百二十六条的规定给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2" w:type="dxa"/>
          <w:trHeight w:val="510" w:hRule="atLeast"/>
        </w:trPr>
        <w:tc>
          <w:tcPr>
            <w:tcW w:w="532" w:type="dxa"/>
            <w:vMerge w:val="continue"/>
            <w:vAlign w:val="center"/>
          </w:tcPr>
          <w:p>
            <w:pPr>
              <w:widowControl/>
              <w:adjustRightInd w:val="0"/>
              <w:snapToGrid w:val="0"/>
              <w:jc w:val="center"/>
              <w:rPr>
                <w:rFonts w:ascii="仿宋" w:hAnsi="仿宋" w:eastAsia="仿宋" w:cs="Arial"/>
                <w:color w:val="auto"/>
                <w:kern w:val="0"/>
                <w:szCs w:val="21"/>
              </w:rPr>
            </w:pPr>
          </w:p>
        </w:tc>
        <w:tc>
          <w:tcPr>
            <w:tcW w:w="2128"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裁量等级</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减轻</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从轻</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一般</w:t>
            </w:r>
          </w:p>
        </w:tc>
        <w:tc>
          <w:tcPr>
            <w:tcW w:w="4666"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2" w:type="dxa"/>
          <w:trHeight w:val="3772" w:hRule="atLeast"/>
        </w:trPr>
        <w:tc>
          <w:tcPr>
            <w:tcW w:w="532" w:type="dxa"/>
            <w:vMerge w:val="continue"/>
            <w:vAlign w:val="center"/>
          </w:tcPr>
          <w:p>
            <w:pPr>
              <w:widowControl/>
              <w:adjustRightInd w:val="0"/>
              <w:snapToGrid w:val="0"/>
              <w:jc w:val="center"/>
              <w:rPr>
                <w:rFonts w:ascii="仿宋" w:hAnsi="仿宋" w:eastAsia="仿宋" w:cs="Arial"/>
                <w:color w:val="auto"/>
                <w:kern w:val="0"/>
                <w:szCs w:val="21"/>
              </w:rPr>
            </w:pPr>
          </w:p>
        </w:tc>
        <w:tc>
          <w:tcPr>
            <w:tcW w:w="2128" w:type="dxa"/>
            <w:gridSpan w:val="3"/>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裁量情节</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符合裁量规则减轻行政处罚情形的。</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符合裁量规则从轻行政处罚情形的。</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符合裁量规则一般行政处罚情形的。</w:t>
            </w:r>
          </w:p>
        </w:tc>
        <w:tc>
          <w:tcPr>
            <w:tcW w:w="4666"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（一）不按照法定条件、要求从事生产经营活动或者生产、销售不符合法定要求的产品，造成严重后果的；</w:t>
            </w:r>
          </w:p>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（二）两年内实施同一性质违法行为被行政处罚过的；</w:t>
            </w:r>
          </w:p>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（三）拒不采取改正、应急或者召回等措施，导致后果扩大的；</w:t>
            </w:r>
          </w:p>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（四）许可证或者产品批准证明文件被撤销、吊销或者宣告无效后，仍然从事生产或者经营活动的；</w:t>
            </w:r>
          </w:p>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（五）其他符合裁量规则从重行政处罚情形的。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532" w:type="dxa"/>
            <w:vMerge w:val="restart"/>
            <w:vAlign w:val="center"/>
          </w:tcPr>
          <w:p>
            <w:pPr>
              <w:widowControl/>
              <w:adjustRightInd w:val="0"/>
              <w:snapToGrid w:val="0"/>
              <w:jc w:val="center"/>
              <w:rPr>
                <w:rFonts w:ascii="仿宋" w:hAnsi="仿宋" w:eastAsia="仿宋" w:cs="Arial"/>
                <w:b/>
                <w:color w:val="auto"/>
                <w:kern w:val="0"/>
                <w:szCs w:val="21"/>
              </w:rPr>
            </w:pPr>
            <w:r>
              <w:rPr>
                <w:rFonts w:hint="eastAsia" w:ascii="仿宋" w:hAnsi="仿宋" w:eastAsia="仿宋" w:cs="Arial"/>
                <w:b/>
                <w:color w:val="auto"/>
                <w:kern w:val="0"/>
                <w:szCs w:val="21"/>
              </w:rPr>
              <w:t>11</w:t>
            </w:r>
          </w:p>
        </w:tc>
        <w:tc>
          <w:tcPr>
            <w:tcW w:w="638" w:type="dxa"/>
            <w:vMerge w:val="restart"/>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裁量</w:t>
            </w:r>
          </w:p>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基准</w:t>
            </w:r>
          </w:p>
        </w:tc>
        <w:tc>
          <w:tcPr>
            <w:tcW w:w="1490" w:type="dxa"/>
            <w:gridSpan w:val="2"/>
            <w:vMerge w:val="restart"/>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一般情形</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c>
          <w:tcPr>
            <w:tcW w:w="4678"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责令限期改正，给予警告。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7" w:hRule="atLeast"/>
        </w:trPr>
        <w:tc>
          <w:tcPr>
            <w:tcW w:w="532" w:type="dxa"/>
            <w:vMerge w:val="continue"/>
            <w:vAlign w:val="center"/>
          </w:tcPr>
          <w:p>
            <w:pPr>
              <w:widowControl/>
              <w:adjustRightInd w:val="0"/>
              <w:snapToGrid w:val="0"/>
              <w:jc w:val="center"/>
              <w:rPr>
                <w:rFonts w:ascii="仿宋" w:hAnsi="仿宋" w:eastAsia="仿宋" w:cs="Arial"/>
                <w:color w:val="auto"/>
                <w:kern w:val="0"/>
                <w:szCs w:val="21"/>
              </w:rPr>
            </w:pPr>
          </w:p>
        </w:tc>
        <w:tc>
          <w:tcPr>
            <w:tcW w:w="638" w:type="dxa"/>
            <w:vMerge w:val="continue"/>
            <w:vAlign w:val="center"/>
          </w:tcPr>
          <w:p>
            <w:pPr>
              <w:widowControl/>
              <w:adjustRightInd w:val="0"/>
              <w:snapToGrid w:val="0"/>
              <w:jc w:val="center"/>
              <w:rPr>
                <w:rFonts w:ascii="仿宋" w:hAnsi="仿宋" w:eastAsia="仿宋" w:cs="Arial"/>
                <w:color w:val="auto"/>
                <w:kern w:val="0"/>
                <w:szCs w:val="21"/>
              </w:rPr>
            </w:pPr>
          </w:p>
        </w:tc>
        <w:tc>
          <w:tcPr>
            <w:tcW w:w="1490" w:type="dxa"/>
            <w:gridSpan w:val="2"/>
            <w:vMerge w:val="continue"/>
            <w:vAlign w:val="center"/>
          </w:tcPr>
          <w:p>
            <w:pPr>
              <w:widowControl/>
              <w:adjustRightInd w:val="0"/>
              <w:snapToGrid w:val="0"/>
              <w:jc w:val="center"/>
              <w:rPr>
                <w:rFonts w:ascii="仿宋" w:hAnsi="仿宋" w:eastAsia="仿宋" w:cs="Arial"/>
                <w:color w:val="auto"/>
                <w:kern w:val="0"/>
                <w:szCs w:val="21"/>
              </w:rPr>
            </w:pP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逾期不改正的，处1万元以上10万元以下的罚款。</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逾期不改正的，处10万元以上22万元以下的罚款。</w:t>
            </w:r>
          </w:p>
        </w:tc>
        <w:tc>
          <w:tcPr>
            <w:tcW w:w="2268" w:type="dxa"/>
            <w:vAlign w:val="center"/>
          </w:tcPr>
          <w:p>
            <w:pPr>
              <w:widowControl/>
              <w:adjustRightInd w:val="0"/>
              <w:snapToGrid w:val="0"/>
              <w:ind w:left="105"/>
              <w:rPr>
                <w:rFonts w:ascii="仿宋" w:hAnsi="仿宋" w:eastAsia="仿宋" w:cs="Arial"/>
                <w:color w:val="auto"/>
                <w:kern w:val="0"/>
                <w:szCs w:val="21"/>
              </w:rPr>
            </w:pPr>
            <w:r>
              <w:rPr>
                <w:rFonts w:hint="eastAsia" w:ascii="仿宋" w:hAnsi="仿宋" w:eastAsia="仿宋" w:cs="Arial"/>
                <w:color w:val="auto"/>
                <w:kern w:val="0"/>
                <w:szCs w:val="21"/>
              </w:rPr>
              <w:t>逾期不改正的，处22万元以上38万元以下的罚款。</w:t>
            </w:r>
          </w:p>
        </w:tc>
        <w:tc>
          <w:tcPr>
            <w:tcW w:w="4678"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逾期不改正的，处38万元以上50万元以下的罚款。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5" w:hRule="atLeast"/>
        </w:trPr>
        <w:tc>
          <w:tcPr>
            <w:tcW w:w="532" w:type="dxa"/>
            <w:vMerge w:val="continue"/>
            <w:vAlign w:val="center"/>
          </w:tcPr>
          <w:p>
            <w:pPr>
              <w:widowControl/>
              <w:adjustRightInd w:val="0"/>
              <w:snapToGrid w:val="0"/>
              <w:jc w:val="center"/>
              <w:rPr>
                <w:rFonts w:ascii="仿宋" w:hAnsi="仿宋" w:eastAsia="仿宋" w:cs="Arial"/>
                <w:color w:val="auto"/>
                <w:kern w:val="0"/>
                <w:szCs w:val="21"/>
              </w:rPr>
            </w:pPr>
          </w:p>
        </w:tc>
        <w:tc>
          <w:tcPr>
            <w:tcW w:w="638" w:type="dxa"/>
            <w:vMerge w:val="continue"/>
            <w:vAlign w:val="center"/>
          </w:tcPr>
          <w:p>
            <w:pPr>
              <w:widowControl/>
              <w:adjustRightInd w:val="0"/>
              <w:snapToGrid w:val="0"/>
              <w:jc w:val="center"/>
              <w:rPr>
                <w:rFonts w:ascii="仿宋" w:hAnsi="仿宋" w:eastAsia="仿宋" w:cs="Arial"/>
                <w:color w:val="auto"/>
                <w:kern w:val="0"/>
                <w:szCs w:val="21"/>
              </w:rPr>
            </w:pPr>
          </w:p>
        </w:tc>
        <w:tc>
          <w:tcPr>
            <w:tcW w:w="639" w:type="dxa"/>
            <w:vMerge w:val="restart"/>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情节严重</w:t>
            </w:r>
          </w:p>
        </w:tc>
        <w:tc>
          <w:tcPr>
            <w:tcW w:w="851" w:type="dxa"/>
            <w:vAlign w:val="center"/>
          </w:tcPr>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对单位的处罚</w:t>
            </w:r>
          </w:p>
        </w:tc>
        <w:tc>
          <w:tcPr>
            <w:tcW w:w="2268" w:type="dxa"/>
            <w:vAlign w:val="center"/>
          </w:tcPr>
          <w:p>
            <w:pPr>
              <w:widowControl/>
              <w:adjustRightInd w:val="0"/>
              <w:snapToGrid w:val="0"/>
              <w:rPr>
                <w:rFonts w:ascii="仿宋" w:hAnsi="仿宋" w:eastAsia="仿宋" w:cs="Arial"/>
                <w:color w:val="auto"/>
                <w:kern w:val="0"/>
                <w:szCs w:val="21"/>
              </w:rPr>
            </w:pPr>
          </w:p>
        </w:tc>
        <w:tc>
          <w:tcPr>
            <w:tcW w:w="2268" w:type="dxa"/>
            <w:vAlign w:val="center"/>
          </w:tcPr>
          <w:p>
            <w:pPr>
              <w:widowControl/>
              <w:numPr>
                <w:ilvl w:val="0"/>
                <w:numId w:val="1"/>
              </w:numPr>
              <w:adjustRightInd w:val="0"/>
              <w:snapToGrid w:val="0"/>
              <w:rPr>
                <w:rFonts w:hint="eastAsia" w:ascii="仿宋" w:hAnsi="仿宋" w:eastAsia="仿宋" w:cs="Arial"/>
                <w:color w:val="auto"/>
                <w:kern w:val="0"/>
                <w:szCs w:val="21"/>
                <w:lang w:eastAsia="zh-CN"/>
              </w:rPr>
            </w:pPr>
            <w:r>
              <w:rPr>
                <w:rFonts w:hint="eastAsia" w:ascii="仿宋" w:hAnsi="仿宋" w:eastAsia="仿宋" w:cs="Arial"/>
                <w:color w:val="auto"/>
                <w:kern w:val="0"/>
                <w:szCs w:val="21"/>
              </w:rPr>
              <w:t>责令限期改正，给予警告</w:t>
            </w:r>
            <w:r>
              <w:rPr>
                <w:rFonts w:hint="eastAsia" w:ascii="仿宋" w:hAnsi="仿宋" w:eastAsia="仿宋" w:cs="Arial"/>
                <w:color w:val="auto"/>
                <w:kern w:val="0"/>
                <w:szCs w:val="21"/>
                <w:lang w:eastAsia="zh-CN"/>
              </w:rPr>
              <w:t>；</w:t>
            </w:r>
          </w:p>
          <w:p>
            <w:pPr>
              <w:widowControl/>
              <w:numPr>
                <w:ilvl w:val="0"/>
                <w:numId w:val="1"/>
              </w:numPr>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处50万元以上95万元以下的罚款：</w:t>
            </w:r>
          </w:p>
          <w:p>
            <w:pPr>
              <w:widowControl/>
              <w:numPr>
                <w:ilvl w:val="0"/>
                <w:numId w:val="1"/>
              </w:numPr>
              <w:adjustRightInd w:val="0"/>
              <w:snapToGrid w:val="0"/>
              <w:rPr>
                <w:rFonts w:ascii="仿宋" w:hAnsi="仿宋" w:eastAsia="仿宋" w:cs="Arial"/>
                <w:color w:val="auto"/>
                <w:kern w:val="0"/>
                <w:szCs w:val="21"/>
              </w:rPr>
            </w:pPr>
            <w:r>
              <w:rPr>
                <w:rFonts w:hint="eastAsia" w:ascii="仿宋" w:hAnsi="仿宋" w:eastAsia="仿宋" w:cs="Arial"/>
                <w:color w:val="auto"/>
                <w:kern w:val="0"/>
                <w:szCs w:val="21"/>
              </w:rPr>
              <w:t>责令停产停业整顿；</w:t>
            </w:r>
          </w:p>
          <w:p>
            <w:pPr>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4</w:t>
            </w:r>
            <w:r>
              <w:rPr>
                <w:rFonts w:hint="eastAsia" w:ascii="仿宋" w:hAnsi="仿宋" w:eastAsia="仿宋" w:cs="Arial"/>
                <w:b/>
                <w:bCs/>
                <w:color w:val="auto"/>
                <w:kern w:val="0"/>
                <w:szCs w:val="21"/>
              </w:rPr>
              <w:t>.</w:t>
            </w:r>
            <w:r>
              <w:rPr>
                <w:rFonts w:hint="eastAsia" w:ascii="仿宋" w:hAnsi="仿宋" w:eastAsia="仿宋" w:cs="Arial"/>
                <w:color w:val="auto"/>
                <w:kern w:val="0"/>
                <w:szCs w:val="21"/>
              </w:rPr>
              <w:t>药物非临床安全性评价研究机构、药物临床试验机构等五年内不得开展药物非临床安全性评价研究、药物临床试验。</w:t>
            </w:r>
          </w:p>
        </w:tc>
        <w:tc>
          <w:tcPr>
            <w:tcW w:w="2268" w:type="dxa"/>
            <w:vAlign w:val="center"/>
          </w:tcPr>
          <w:p>
            <w:pPr>
              <w:widowControl/>
              <w:adjustRightInd w:val="0"/>
              <w:snapToGrid w:val="0"/>
              <w:rPr>
                <w:rFonts w:hint="eastAsia" w:ascii="仿宋" w:hAnsi="仿宋" w:eastAsia="仿宋" w:cs="Arial"/>
                <w:color w:val="auto"/>
                <w:kern w:val="0"/>
                <w:szCs w:val="21"/>
                <w:lang w:eastAsia="zh-CN"/>
              </w:rPr>
            </w:pPr>
            <w:r>
              <w:rPr>
                <w:rFonts w:hint="eastAsia" w:ascii="仿宋" w:hAnsi="仿宋" w:eastAsia="仿宋" w:cs="Arial"/>
                <w:color w:val="auto"/>
                <w:kern w:val="0"/>
                <w:szCs w:val="21"/>
                <w:lang w:val="en-US" w:eastAsia="zh-CN"/>
              </w:rPr>
              <w:t>1.</w:t>
            </w:r>
            <w:r>
              <w:rPr>
                <w:rFonts w:hint="eastAsia" w:ascii="仿宋" w:hAnsi="仿宋" w:eastAsia="仿宋" w:cs="Arial"/>
                <w:color w:val="auto"/>
                <w:kern w:val="0"/>
                <w:szCs w:val="21"/>
              </w:rPr>
              <w:t>责令限期改正，给予警告</w:t>
            </w:r>
            <w:r>
              <w:rPr>
                <w:rFonts w:hint="eastAsia" w:ascii="仿宋" w:hAnsi="仿宋" w:eastAsia="仿宋" w:cs="Arial"/>
                <w:color w:val="auto"/>
                <w:kern w:val="0"/>
                <w:szCs w:val="21"/>
                <w:lang w:eastAsia="zh-CN"/>
              </w:rPr>
              <w:t>；</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2</w:t>
            </w:r>
            <w:r>
              <w:rPr>
                <w:rFonts w:hint="eastAsia" w:ascii="仿宋" w:hAnsi="仿宋" w:eastAsia="仿宋" w:cs="Arial"/>
                <w:b/>
                <w:bCs/>
                <w:color w:val="auto"/>
                <w:kern w:val="0"/>
                <w:szCs w:val="21"/>
              </w:rPr>
              <w:t>.</w:t>
            </w:r>
            <w:r>
              <w:rPr>
                <w:rFonts w:hint="eastAsia" w:ascii="仿宋" w:hAnsi="仿宋" w:eastAsia="仿宋" w:cs="Arial"/>
                <w:color w:val="auto"/>
                <w:kern w:val="0"/>
                <w:szCs w:val="21"/>
              </w:rPr>
              <w:t>95万元以上155元以下的罚款；</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3</w:t>
            </w:r>
            <w:r>
              <w:rPr>
                <w:rFonts w:hint="eastAsia" w:ascii="仿宋" w:hAnsi="仿宋" w:eastAsia="仿宋" w:cs="Arial"/>
                <w:b/>
                <w:bCs/>
                <w:color w:val="auto"/>
                <w:kern w:val="0"/>
                <w:szCs w:val="21"/>
              </w:rPr>
              <w:t>.</w:t>
            </w:r>
            <w:r>
              <w:rPr>
                <w:rFonts w:hint="eastAsia" w:ascii="仿宋" w:hAnsi="仿宋" w:eastAsia="仿宋" w:cs="Arial"/>
                <w:color w:val="auto"/>
                <w:kern w:val="0"/>
                <w:szCs w:val="21"/>
              </w:rPr>
              <w:t>责令</w:t>
            </w:r>
            <w:r>
              <w:rPr>
                <w:rFonts w:hint="eastAsia" w:ascii="仿宋" w:hAnsi="仿宋" w:eastAsia="仿宋" w:cs="Arial"/>
                <w:color w:val="auto"/>
                <w:kern w:val="0"/>
                <w:szCs w:val="21"/>
                <w:lang w:eastAsia="zh-CN"/>
              </w:rPr>
              <w:t>关闭、暂扣许可证件等</w:t>
            </w:r>
            <w:r>
              <w:rPr>
                <w:rFonts w:hint="eastAsia" w:ascii="仿宋" w:hAnsi="仿宋" w:eastAsia="仿宋" w:cs="Arial"/>
                <w:color w:val="auto"/>
                <w:kern w:val="0"/>
                <w:szCs w:val="21"/>
              </w:rPr>
              <w:t>；</w:t>
            </w:r>
          </w:p>
          <w:p>
            <w:pPr>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4</w:t>
            </w:r>
            <w:r>
              <w:rPr>
                <w:rFonts w:hint="eastAsia" w:ascii="仿宋" w:hAnsi="仿宋" w:eastAsia="仿宋" w:cs="Arial"/>
                <w:b/>
                <w:bCs/>
                <w:color w:val="auto"/>
                <w:kern w:val="0"/>
                <w:szCs w:val="21"/>
              </w:rPr>
              <w:t>.</w:t>
            </w:r>
            <w:r>
              <w:rPr>
                <w:rFonts w:hint="eastAsia" w:ascii="仿宋" w:hAnsi="仿宋" w:eastAsia="仿宋" w:cs="Arial"/>
                <w:color w:val="auto"/>
                <w:kern w:val="0"/>
                <w:szCs w:val="21"/>
              </w:rPr>
              <w:t>药物非临床安全性评价研究机构、药物临床试验机构等五年内不得开展药物非临床安全性评价研究、药物临床试验。</w:t>
            </w:r>
          </w:p>
        </w:tc>
        <w:tc>
          <w:tcPr>
            <w:tcW w:w="4678" w:type="dxa"/>
            <w:gridSpan w:val="2"/>
            <w:vAlign w:val="center"/>
          </w:tcPr>
          <w:p>
            <w:pPr>
              <w:widowControl/>
              <w:adjustRightInd w:val="0"/>
              <w:snapToGrid w:val="0"/>
              <w:rPr>
                <w:rFonts w:hint="eastAsia" w:ascii="仿宋" w:hAnsi="仿宋" w:eastAsia="仿宋" w:cs="Arial"/>
                <w:color w:val="auto"/>
                <w:kern w:val="0"/>
                <w:szCs w:val="21"/>
                <w:lang w:eastAsia="zh-CN"/>
              </w:rPr>
            </w:pPr>
            <w:r>
              <w:rPr>
                <w:rFonts w:hint="eastAsia" w:ascii="仿宋" w:hAnsi="仿宋" w:eastAsia="仿宋" w:cs="Arial"/>
                <w:color w:val="auto"/>
                <w:kern w:val="0"/>
                <w:szCs w:val="21"/>
                <w:lang w:val="en-US" w:eastAsia="zh-CN"/>
              </w:rPr>
              <w:t>1.</w:t>
            </w:r>
            <w:r>
              <w:rPr>
                <w:rFonts w:hint="eastAsia" w:ascii="仿宋" w:hAnsi="仿宋" w:eastAsia="仿宋" w:cs="Arial"/>
                <w:color w:val="auto"/>
                <w:kern w:val="0"/>
                <w:szCs w:val="21"/>
              </w:rPr>
              <w:t>责令限期改正，给予警告</w:t>
            </w:r>
            <w:r>
              <w:rPr>
                <w:rFonts w:hint="eastAsia" w:ascii="仿宋" w:hAnsi="仿宋" w:eastAsia="仿宋" w:cs="Arial"/>
                <w:color w:val="auto"/>
                <w:kern w:val="0"/>
                <w:szCs w:val="21"/>
                <w:lang w:eastAsia="zh-CN"/>
              </w:rPr>
              <w:t>；</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lang w:val="en-US" w:eastAsia="zh-CN"/>
              </w:rPr>
              <w:t>2</w:t>
            </w:r>
            <w:r>
              <w:rPr>
                <w:rFonts w:hint="eastAsia" w:ascii="仿宋" w:hAnsi="仿宋" w:eastAsia="仿宋" w:cs="Arial"/>
                <w:b/>
                <w:bCs/>
                <w:color w:val="auto"/>
                <w:kern w:val="0"/>
                <w:szCs w:val="21"/>
              </w:rPr>
              <w:t>.</w:t>
            </w:r>
            <w:r>
              <w:rPr>
                <w:rFonts w:hint="eastAsia" w:ascii="仿宋" w:hAnsi="仿宋" w:eastAsia="仿宋" w:cs="Arial"/>
                <w:color w:val="auto"/>
                <w:kern w:val="0"/>
                <w:szCs w:val="21"/>
              </w:rPr>
              <w:t>处1</w:t>
            </w:r>
            <w:r>
              <w:rPr>
                <w:rFonts w:hint="eastAsia" w:ascii="仿宋" w:hAnsi="仿宋" w:eastAsia="仿宋" w:cs="Arial"/>
                <w:color w:val="auto"/>
                <w:kern w:val="0"/>
                <w:szCs w:val="21"/>
                <w:lang w:val="en-US" w:eastAsia="zh-CN"/>
              </w:rPr>
              <w:t>55</w:t>
            </w:r>
            <w:r>
              <w:rPr>
                <w:rFonts w:hint="eastAsia" w:ascii="仿宋" w:hAnsi="仿宋" w:eastAsia="仿宋" w:cs="Arial"/>
                <w:color w:val="auto"/>
                <w:kern w:val="0"/>
                <w:szCs w:val="21"/>
              </w:rPr>
              <w:t>万元以上200万元以下的罚款，</w:t>
            </w:r>
          </w:p>
          <w:p>
            <w:pPr>
              <w:adjustRightInd w:val="0"/>
              <w:snapToGrid w:val="0"/>
              <w:rPr>
                <w:rFonts w:hint="eastAsia"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吊销药品批准证明文件、药品生产许可证、药品经营许可证；</w:t>
            </w:r>
          </w:p>
          <w:p>
            <w:pPr>
              <w:adjustRightInd w:val="0"/>
              <w:snapToGrid w:val="0"/>
              <w:rPr>
                <w:rFonts w:ascii="仿宋" w:hAnsi="仿宋" w:eastAsia="仿宋" w:cs="Arial"/>
                <w:color w:val="auto"/>
                <w:kern w:val="0"/>
                <w:szCs w:val="21"/>
              </w:rPr>
            </w:pPr>
            <w:r>
              <w:rPr>
                <w:rFonts w:hint="eastAsia" w:ascii="仿宋" w:hAnsi="仿宋" w:eastAsia="仿宋" w:cs="Arial"/>
                <w:color w:val="auto"/>
                <w:kern w:val="0"/>
                <w:szCs w:val="21"/>
                <w:lang w:val="en-US" w:eastAsia="zh-CN"/>
              </w:rPr>
              <w:t>4.</w:t>
            </w:r>
            <w:r>
              <w:rPr>
                <w:rFonts w:hint="eastAsia" w:ascii="仿宋" w:hAnsi="仿宋" w:eastAsia="仿宋" w:cs="Arial"/>
                <w:color w:val="auto"/>
                <w:kern w:val="0"/>
                <w:szCs w:val="21"/>
              </w:rPr>
              <w:t>药物非临床安全性评价研究机构、药物临床试验机构等五年内不得开展药物非临床安全性评价研究、药物临床试验。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2" w:hRule="atLeast"/>
        </w:trPr>
        <w:tc>
          <w:tcPr>
            <w:tcW w:w="532" w:type="dxa"/>
            <w:vMerge w:val="continue"/>
            <w:vAlign w:val="center"/>
          </w:tcPr>
          <w:p>
            <w:pPr>
              <w:widowControl/>
              <w:adjustRightInd w:val="0"/>
              <w:snapToGrid w:val="0"/>
              <w:jc w:val="center"/>
              <w:rPr>
                <w:rFonts w:ascii="仿宋" w:hAnsi="仿宋" w:eastAsia="仿宋" w:cs="宋体"/>
                <w:color w:val="auto"/>
                <w:kern w:val="0"/>
                <w:szCs w:val="21"/>
              </w:rPr>
            </w:pPr>
          </w:p>
        </w:tc>
        <w:tc>
          <w:tcPr>
            <w:tcW w:w="638" w:type="dxa"/>
            <w:vMerge w:val="continue"/>
            <w:vAlign w:val="center"/>
          </w:tcPr>
          <w:p>
            <w:pPr>
              <w:widowControl/>
              <w:adjustRightInd w:val="0"/>
              <w:snapToGrid w:val="0"/>
              <w:jc w:val="center"/>
              <w:rPr>
                <w:rFonts w:ascii="仿宋" w:hAnsi="仿宋" w:eastAsia="仿宋" w:cs="宋体"/>
                <w:color w:val="auto"/>
                <w:kern w:val="0"/>
                <w:szCs w:val="21"/>
              </w:rPr>
            </w:pPr>
          </w:p>
        </w:tc>
        <w:tc>
          <w:tcPr>
            <w:tcW w:w="639" w:type="dxa"/>
            <w:vMerge w:val="continue"/>
            <w:vAlign w:val="center"/>
          </w:tcPr>
          <w:p>
            <w:pPr>
              <w:widowControl/>
              <w:adjustRightInd w:val="0"/>
              <w:snapToGrid w:val="0"/>
              <w:jc w:val="center"/>
              <w:rPr>
                <w:rFonts w:ascii="仿宋" w:hAnsi="仿宋" w:eastAsia="仿宋" w:cs="Arial"/>
                <w:color w:val="auto"/>
                <w:kern w:val="0"/>
                <w:szCs w:val="21"/>
              </w:rPr>
            </w:pPr>
          </w:p>
        </w:tc>
        <w:tc>
          <w:tcPr>
            <w:tcW w:w="851" w:type="dxa"/>
            <w:vAlign w:val="center"/>
          </w:tcPr>
          <w:p>
            <w:pPr>
              <w:widowControl/>
              <w:adjustRightInd w:val="0"/>
              <w:snapToGrid w:val="0"/>
              <w:rPr>
                <w:rFonts w:ascii="仿宋" w:hAnsi="仿宋" w:eastAsia="仿宋" w:cs="Arial"/>
                <w:b/>
                <w:bCs/>
                <w:color w:val="auto"/>
                <w:kern w:val="0"/>
                <w:szCs w:val="21"/>
              </w:rPr>
            </w:pPr>
            <w:r>
              <w:rPr>
                <w:rFonts w:hint="eastAsia" w:ascii="仿宋" w:hAnsi="仿宋" w:eastAsia="仿宋" w:cs="Arial"/>
                <w:b/>
                <w:bCs/>
                <w:color w:val="auto"/>
                <w:kern w:val="0"/>
                <w:szCs w:val="21"/>
              </w:rPr>
              <w:t>对责任人的</w:t>
            </w:r>
          </w:p>
          <w:p>
            <w:pPr>
              <w:widowControl/>
              <w:adjustRightInd w:val="0"/>
              <w:snapToGrid w:val="0"/>
              <w:jc w:val="center"/>
              <w:rPr>
                <w:rFonts w:ascii="仿宋" w:hAnsi="仿宋" w:eastAsia="仿宋" w:cs="Arial"/>
                <w:color w:val="auto"/>
                <w:kern w:val="0"/>
                <w:szCs w:val="21"/>
              </w:rPr>
            </w:pPr>
            <w:r>
              <w:rPr>
                <w:rFonts w:hint="eastAsia" w:ascii="仿宋" w:hAnsi="仿宋" w:eastAsia="仿宋" w:cs="Arial"/>
                <w:b/>
                <w:bCs/>
                <w:color w:val="auto"/>
                <w:kern w:val="0"/>
                <w:szCs w:val="21"/>
              </w:rPr>
              <w:t>处罚</w:t>
            </w:r>
          </w:p>
        </w:tc>
        <w:tc>
          <w:tcPr>
            <w:tcW w:w="2268" w:type="dxa"/>
            <w:vAlign w:val="center"/>
          </w:tcPr>
          <w:p>
            <w:pPr>
              <w:widowControl/>
              <w:adjustRightInd w:val="0"/>
              <w:snapToGrid w:val="0"/>
              <w:rPr>
                <w:rFonts w:ascii="仿宋" w:hAnsi="仿宋" w:eastAsia="仿宋" w:cs="Arial"/>
                <w:color w:val="auto"/>
                <w:kern w:val="0"/>
                <w:szCs w:val="21"/>
              </w:rPr>
            </w:pP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没收违法行为发生期间自本单位所获收入；</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并处</w:t>
            </w:r>
            <w:r>
              <w:rPr>
                <w:rFonts w:hint="eastAsia" w:ascii="仿宋" w:hAnsi="Times New Roman" w:eastAsia="仿宋" w:cs="Times New Roman"/>
                <w:color w:val="auto"/>
                <w:szCs w:val="21"/>
              </w:rPr>
              <w:t>所获收入10%以上22%以下的罚款</w:t>
            </w:r>
            <w:r>
              <w:rPr>
                <w:rFonts w:hint="eastAsia" w:ascii="仿宋" w:hAnsi="仿宋" w:eastAsia="仿宋" w:cs="Arial"/>
                <w:color w:val="auto"/>
                <w:kern w:val="0"/>
                <w:szCs w:val="21"/>
              </w:rPr>
              <w:t>；</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3</w:t>
            </w:r>
            <w:r>
              <w:rPr>
                <w:rFonts w:hint="eastAsia" w:ascii="仿宋" w:hAnsi="仿宋" w:eastAsia="仿宋" w:cs="Arial"/>
                <w:color w:val="auto"/>
                <w:kern w:val="0"/>
                <w:szCs w:val="21"/>
              </w:rPr>
              <w:t>.10年内禁止从事药品生产经营活动。</w:t>
            </w:r>
          </w:p>
        </w:tc>
        <w:tc>
          <w:tcPr>
            <w:tcW w:w="2268" w:type="dxa"/>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没收违法行为发生期间自本单位所获收入；</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并处所获收入22%以上38%以下的罚款；</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3.</w:t>
            </w:r>
            <w:r>
              <w:rPr>
                <w:rFonts w:hint="eastAsia" w:ascii="仿宋" w:hAnsi="仿宋" w:eastAsia="仿宋" w:cs="Arial"/>
                <w:color w:val="auto"/>
                <w:kern w:val="0"/>
                <w:szCs w:val="21"/>
                <w:lang w:eastAsia="zh-CN"/>
              </w:rPr>
              <w:t>10年以上（不含本数）20年以内（含本数）</w:t>
            </w:r>
            <w:r>
              <w:rPr>
                <w:rFonts w:hint="eastAsia" w:ascii="仿宋" w:hAnsi="仿宋" w:eastAsia="仿宋" w:cs="Arial"/>
                <w:color w:val="auto"/>
                <w:kern w:val="0"/>
                <w:szCs w:val="21"/>
              </w:rPr>
              <w:t>禁止从事药品生产经营活动。</w:t>
            </w:r>
          </w:p>
        </w:tc>
        <w:tc>
          <w:tcPr>
            <w:tcW w:w="4678" w:type="dxa"/>
            <w:gridSpan w:val="2"/>
            <w:vAlign w:val="center"/>
          </w:tcPr>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1.</w:t>
            </w:r>
            <w:r>
              <w:rPr>
                <w:rFonts w:hint="eastAsia" w:ascii="仿宋" w:hAnsi="仿宋" w:eastAsia="仿宋" w:cs="Arial"/>
                <w:color w:val="auto"/>
                <w:kern w:val="0"/>
                <w:szCs w:val="21"/>
              </w:rPr>
              <w:t>没收违法行为发生期间自本单位所获收入；</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2.</w:t>
            </w:r>
            <w:r>
              <w:rPr>
                <w:rFonts w:hint="eastAsia" w:ascii="仿宋" w:hAnsi="仿宋" w:eastAsia="仿宋" w:cs="Arial"/>
                <w:color w:val="auto"/>
                <w:kern w:val="0"/>
                <w:szCs w:val="21"/>
              </w:rPr>
              <w:t>并处</w:t>
            </w:r>
            <w:r>
              <w:rPr>
                <w:rFonts w:hint="eastAsia" w:ascii="仿宋" w:hAnsi="Times New Roman" w:eastAsia="仿宋" w:cs="Times New Roman"/>
                <w:color w:val="auto"/>
                <w:szCs w:val="21"/>
              </w:rPr>
              <w:t>所获收入38%以上50%以下的罚款；</w:t>
            </w:r>
          </w:p>
          <w:p>
            <w:pPr>
              <w:widowControl/>
              <w:adjustRightInd w:val="0"/>
              <w:snapToGrid w:val="0"/>
              <w:rPr>
                <w:rFonts w:ascii="仿宋" w:hAnsi="仿宋" w:eastAsia="仿宋" w:cs="Arial"/>
                <w:color w:val="auto"/>
                <w:kern w:val="0"/>
                <w:szCs w:val="21"/>
              </w:rPr>
            </w:pPr>
            <w:r>
              <w:rPr>
                <w:rFonts w:hint="eastAsia" w:ascii="仿宋" w:hAnsi="仿宋" w:eastAsia="仿宋" w:cs="Arial"/>
                <w:b/>
                <w:bCs/>
                <w:color w:val="auto"/>
                <w:kern w:val="0"/>
                <w:szCs w:val="21"/>
              </w:rPr>
              <w:t>3.</w:t>
            </w:r>
            <w:r>
              <w:rPr>
                <w:rFonts w:hint="eastAsia" w:ascii="仿宋" w:hAnsi="仿宋" w:eastAsia="仿宋" w:cs="Arial"/>
                <w:color w:val="auto"/>
                <w:kern w:val="0"/>
                <w:szCs w:val="21"/>
                <w:lang w:eastAsia="zh-CN"/>
              </w:rPr>
              <w:t>20年以上（不含本数）</w:t>
            </w:r>
            <w:r>
              <w:rPr>
                <w:rFonts w:hint="eastAsia" w:ascii="仿宋" w:hAnsi="仿宋" w:eastAsia="仿宋" w:cs="Arial"/>
                <w:color w:val="auto"/>
                <w:kern w:val="0"/>
                <w:szCs w:val="21"/>
              </w:rPr>
              <w:t>至终身禁止从事药品生产经营等活动。</w:t>
            </w:r>
          </w:p>
        </w:tc>
      </w:tr>
    </w:tbl>
    <w:p>
      <w:pPr>
        <w:widowControl/>
        <w:tabs>
          <w:tab w:val="left" w:pos="534"/>
          <w:tab w:val="left" w:pos="1020"/>
          <w:tab w:val="left" w:pos="1801"/>
          <w:tab w:val="left" w:pos="7103"/>
          <w:tab w:val="left" w:pos="10770"/>
        </w:tabs>
        <w:adjustRightInd w:val="0"/>
        <w:snapToGrid w:val="0"/>
        <w:jc w:val="left"/>
        <w:rPr>
          <w:rFonts w:ascii="仿宋" w:hAnsi="仿宋" w:eastAsia="仿宋" w:cs="Arial"/>
          <w:b/>
          <w:bCs/>
          <w:color w:val="auto"/>
          <w:kern w:val="0"/>
          <w:szCs w:val="21"/>
        </w:rPr>
      </w:pPr>
    </w:p>
    <w:p>
      <w:pPr>
        <w:widowControl/>
        <w:tabs>
          <w:tab w:val="left" w:pos="534"/>
          <w:tab w:val="left" w:pos="1020"/>
          <w:tab w:val="left" w:pos="1801"/>
          <w:tab w:val="left" w:pos="7103"/>
          <w:tab w:val="left" w:pos="10770"/>
        </w:tabs>
        <w:adjustRightInd w:val="0"/>
        <w:snapToGrid w:val="0"/>
        <w:jc w:val="left"/>
        <w:rPr>
          <w:rFonts w:ascii="仿宋" w:hAnsi="仿宋" w:eastAsia="仿宋" w:cs="Arial"/>
          <w:b/>
          <w:bCs/>
          <w:color w:val="auto"/>
          <w:kern w:val="0"/>
          <w:szCs w:val="21"/>
        </w:rPr>
      </w:pPr>
    </w:p>
    <w:p>
      <w:pPr>
        <w:widowControl/>
        <w:tabs>
          <w:tab w:val="left" w:pos="534"/>
          <w:tab w:val="left" w:pos="1020"/>
          <w:tab w:val="left" w:pos="1801"/>
          <w:tab w:val="left" w:pos="7103"/>
          <w:tab w:val="left" w:pos="10770"/>
        </w:tabs>
        <w:adjustRightInd w:val="0"/>
        <w:snapToGrid w:val="0"/>
        <w:jc w:val="left"/>
        <w:rPr>
          <w:rFonts w:ascii="仿宋" w:hAnsi="仿宋" w:eastAsia="仿宋" w:cs="Arial"/>
          <w:b/>
          <w:bCs/>
          <w:color w:val="auto"/>
          <w:kern w:val="0"/>
          <w:szCs w:val="21"/>
        </w:rPr>
      </w:pP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373"/>
        <w:gridCol w:w="2080"/>
        <w:gridCol w:w="1935"/>
        <w:gridCol w:w="3003"/>
        <w:gridCol w:w="5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8"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12</w:t>
            </w:r>
          </w:p>
        </w:tc>
        <w:tc>
          <w:tcPr>
            <w:tcW w:w="137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049"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违反《药品管理法》第一百二十七条的行为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2" w:hRule="atLeast"/>
        </w:trPr>
        <w:tc>
          <w:tcPr>
            <w:tcW w:w="578" w:type="dxa"/>
            <w:vMerge w:val="continue"/>
            <w:vAlign w:val="center"/>
          </w:tcPr>
          <w:p>
            <w:pPr>
              <w:widowControl/>
              <w:adjustRightInd w:val="0"/>
              <w:snapToGrid w:val="0"/>
              <w:jc w:val="center"/>
              <w:rPr>
                <w:rFonts w:ascii="仿宋" w:hAnsi="仿宋" w:eastAsia="仿宋" w:cs="Arial"/>
                <w:color w:val="auto"/>
                <w:szCs w:val="21"/>
              </w:rPr>
            </w:pPr>
          </w:p>
        </w:tc>
        <w:tc>
          <w:tcPr>
            <w:tcW w:w="1373" w:type="dxa"/>
            <w:vAlign w:val="center"/>
          </w:tcPr>
          <w:p>
            <w:pPr>
              <w:widowControl/>
              <w:adjustRightInd w:val="0"/>
              <w:snapToGrid w:val="0"/>
              <w:ind w:firstLine="24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049"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《药品管理法》第一百二十七条：</w:t>
            </w:r>
            <w:r>
              <w:rPr>
                <w:rFonts w:hint="eastAsia" w:ascii="仿宋" w:hAnsi="仿宋" w:eastAsia="仿宋" w:cs="Arial"/>
                <w:color w:val="auto"/>
                <w:szCs w:val="21"/>
              </w:rPr>
              <w:t>违反本法规定，有下列行为之一的，责令限期改正，给予警告；逾期不改正的，处十万元以上五十万元以下的罚款：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（一）开展生物等效性试验未备案；</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（二）药物临床试验期间，发现存在安全性问题或者其他风险，临床试验申办者未及时调整临床试验方案、暂停或者终止临床试验，或者未向国务院药品监督管理部门报告；</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（三）未按照规定建立并实施药品追溯制度；</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（四）未按照规定提交年度报告；</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（五）未按照规定对药品生产过程中的变更进行备案或者报告；</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（六）未制定药品上市后风险管理计划；</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（七）未按照规定开展药品上市后研究或者上市后评价。</w:t>
            </w:r>
          </w:p>
          <w:p>
            <w:pPr>
              <w:adjustRightInd w:val="0"/>
              <w:snapToGrid w:val="0"/>
              <w:rPr>
                <w:rFonts w:ascii="仿宋" w:hAnsi="仿宋" w:eastAsia="仿宋" w:cs="Times New Roman"/>
                <w:color w:val="auto"/>
                <w:szCs w:val="21"/>
              </w:rPr>
            </w:pPr>
            <w:r>
              <w:rPr>
                <w:rFonts w:hint="eastAsia" w:ascii="仿宋" w:hAnsi="仿宋" w:eastAsia="仿宋" w:cs="Times New Roman"/>
                <w:color w:val="auto"/>
                <w:szCs w:val="21"/>
              </w:rPr>
              <w:t>《药品注册管理办法》第一百一十四条：未经批准开展药物临床试验的，按照《药品管理法》第一百二十五条处理；开展生物等效性试验未备案的，按照《药品管理法》第一百二十七条处理。</w:t>
            </w:r>
          </w:p>
          <w:p>
            <w:pPr>
              <w:adjustRightInd w:val="0"/>
              <w:snapToGrid w:val="0"/>
              <w:rPr>
                <w:rFonts w:ascii="仿宋" w:hAnsi="仿宋" w:eastAsia="仿宋" w:cs="Times New Roman"/>
                <w:color w:val="auto"/>
                <w:szCs w:val="21"/>
              </w:rPr>
            </w:pPr>
            <w:r>
              <w:rPr>
                <w:rFonts w:hint="eastAsia" w:ascii="仿宋" w:hAnsi="仿宋" w:eastAsia="仿宋" w:cs="Times New Roman"/>
                <w:color w:val="auto"/>
                <w:szCs w:val="21"/>
              </w:rPr>
              <w:t>《药品注册管理办法》第一百一十五条：药物临床试验期间，发现存在安全性问题或者其他风险，临床试验申办者未及时调整临床试验方案、暂停或者终止临床试验，或者未向国家药品监督管理局报告的，按照《药品管理法》第一百二十七条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8" w:type="dxa"/>
            <w:vMerge w:val="continue"/>
            <w:vAlign w:val="center"/>
          </w:tcPr>
          <w:p>
            <w:pPr>
              <w:widowControl/>
              <w:adjustRightInd w:val="0"/>
              <w:snapToGrid w:val="0"/>
              <w:jc w:val="center"/>
              <w:rPr>
                <w:rFonts w:ascii="仿宋" w:hAnsi="仿宋" w:eastAsia="仿宋" w:cs="Arial"/>
                <w:color w:val="auto"/>
                <w:szCs w:val="21"/>
              </w:rPr>
            </w:pPr>
          </w:p>
        </w:tc>
        <w:tc>
          <w:tcPr>
            <w:tcW w:w="137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08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19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00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503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8" w:type="dxa"/>
            <w:vMerge w:val="continue"/>
            <w:vAlign w:val="center"/>
          </w:tcPr>
          <w:p>
            <w:pPr>
              <w:widowControl/>
              <w:adjustRightInd w:val="0"/>
              <w:snapToGrid w:val="0"/>
              <w:jc w:val="center"/>
              <w:rPr>
                <w:rFonts w:ascii="仿宋" w:hAnsi="仿宋" w:eastAsia="仿宋" w:cs="Arial"/>
                <w:color w:val="auto"/>
                <w:szCs w:val="21"/>
              </w:rPr>
            </w:pPr>
          </w:p>
        </w:tc>
        <w:tc>
          <w:tcPr>
            <w:tcW w:w="137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08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19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00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03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78" w:type="dxa"/>
            <w:vMerge w:val="continue"/>
            <w:vAlign w:val="center"/>
          </w:tcPr>
          <w:p>
            <w:pPr>
              <w:widowControl/>
              <w:adjustRightInd w:val="0"/>
              <w:snapToGrid w:val="0"/>
              <w:jc w:val="center"/>
              <w:rPr>
                <w:rFonts w:ascii="仿宋" w:hAnsi="仿宋" w:eastAsia="仿宋" w:cs="Arial"/>
                <w:color w:val="auto"/>
                <w:szCs w:val="21"/>
              </w:rPr>
            </w:pPr>
          </w:p>
        </w:tc>
        <w:tc>
          <w:tcPr>
            <w:tcW w:w="1373"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208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19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300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503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5" w:hRule="atLeast"/>
        </w:trPr>
        <w:tc>
          <w:tcPr>
            <w:tcW w:w="578" w:type="dxa"/>
            <w:vMerge w:val="continue"/>
            <w:vAlign w:val="center"/>
          </w:tcPr>
          <w:p>
            <w:pPr>
              <w:widowControl/>
              <w:adjustRightInd w:val="0"/>
              <w:snapToGrid w:val="0"/>
              <w:jc w:val="center"/>
              <w:rPr>
                <w:rFonts w:ascii="仿宋" w:hAnsi="仿宋" w:eastAsia="仿宋" w:cs="Arial"/>
                <w:color w:val="auto"/>
                <w:szCs w:val="21"/>
              </w:rPr>
            </w:pPr>
          </w:p>
        </w:tc>
        <w:tc>
          <w:tcPr>
            <w:tcW w:w="1373" w:type="dxa"/>
            <w:vMerge w:val="continue"/>
            <w:vAlign w:val="center"/>
          </w:tcPr>
          <w:p>
            <w:pPr>
              <w:widowControl/>
              <w:adjustRightInd w:val="0"/>
              <w:snapToGrid w:val="0"/>
              <w:jc w:val="center"/>
              <w:rPr>
                <w:rFonts w:ascii="仿宋" w:hAnsi="仿宋" w:eastAsia="仿宋" w:cs="Arial"/>
                <w:color w:val="auto"/>
                <w:szCs w:val="21"/>
              </w:rPr>
            </w:pPr>
          </w:p>
        </w:tc>
        <w:tc>
          <w:tcPr>
            <w:tcW w:w="208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逾期不改正的，处1万元以上10万元以下的罚款。</w:t>
            </w:r>
          </w:p>
        </w:tc>
        <w:tc>
          <w:tcPr>
            <w:tcW w:w="19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逾期不改正的，处10万元以上22万元以下的罚款。</w:t>
            </w:r>
          </w:p>
        </w:tc>
        <w:tc>
          <w:tcPr>
            <w:tcW w:w="300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逾期不改正的，处22万元以上38万元以下的罚款。</w:t>
            </w:r>
          </w:p>
        </w:tc>
        <w:tc>
          <w:tcPr>
            <w:tcW w:w="503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w:t>
            </w:r>
            <w:r>
              <w:rPr>
                <w:rFonts w:hint="eastAsia" w:ascii="仿宋" w:hAnsi="Times New Roman" w:eastAsia="仿宋" w:cs="Times New Roman"/>
                <w:color w:val="auto"/>
                <w:szCs w:val="21"/>
              </w:rPr>
              <w:t>38万元</w:t>
            </w:r>
            <w:r>
              <w:rPr>
                <w:rFonts w:hint="eastAsia" w:ascii="仿宋" w:hAnsi="仿宋" w:eastAsia="仿宋" w:cs="Arial"/>
                <w:color w:val="auto"/>
                <w:szCs w:val="21"/>
              </w:rPr>
              <w:t>以上50万元以下的罚款。</w:t>
            </w:r>
          </w:p>
        </w:tc>
      </w:tr>
    </w:tbl>
    <w:p>
      <w:pPr>
        <w:adjustRightInd w:val="0"/>
        <w:spacing w:line="180" w:lineRule="exact"/>
        <w:rPr>
          <w:rFonts w:ascii="仿宋" w:hAnsi="Times New Roman" w:eastAsia="仿宋" w:cs="Times New Roman"/>
          <w:color w:val="auto"/>
          <w:sz w:val="32"/>
          <w:szCs w:val="20"/>
        </w:rPr>
      </w:pPr>
    </w:p>
    <w:tbl>
      <w:tblPr>
        <w:tblStyle w:val="7"/>
        <w:tblW w:w="13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698"/>
        <w:gridCol w:w="699"/>
        <w:gridCol w:w="2994"/>
        <w:gridCol w:w="2994"/>
        <w:gridCol w:w="2994"/>
        <w:gridCol w:w="2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5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13</w:t>
            </w:r>
          </w:p>
        </w:tc>
        <w:tc>
          <w:tcPr>
            <w:tcW w:w="13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97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药品上市许可持有人、药品生产企业、药品经营企业或者医疗机构未从药品上市许可持有人或者具有药品生产、经营资格的企业购进药品的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3" w:hRule="atLeast"/>
        </w:trPr>
        <w:tc>
          <w:tcPr>
            <w:tcW w:w="554" w:type="dxa"/>
            <w:vMerge w:val="continue"/>
            <w:vAlign w:val="center"/>
          </w:tcPr>
          <w:p>
            <w:pPr>
              <w:widowControl/>
              <w:adjustRightInd w:val="0"/>
              <w:snapToGrid w:val="0"/>
              <w:jc w:val="center"/>
              <w:rPr>
                <w:rFonts w:ascii="仿宋" w:hAnsi="仿宋" w:eastAsia="仿宋" w:cs="Arial"/>
                <w:color w:val="auto"/>
                <w:szCs w:val="21"/>
              </w:rPr>
            </w:pPr>
          </w:p>
        </w:tc>
        <w:tc>
          <w:tcPr>
            <w:tcW w:w="1397" w:type="dxa"/>
            <w:gridSpan w:val="2"/>
            <w:vAlign w:val="center"/>
          </w:tcPr>
          <w:p>
            <w:pPr>
              <w:widowControl/>
              <w:adjustRightInd w:val="0"/>
              <w:snapToGrid w:val="0"/>
              <w:jc w:val="center"/>
              <w:rPr>
                <w:rFonts w:ascii="仿宋" w:hAnsi="仿宋" w:eastAsia="仿宋" w:cs="Arial"/>
                <w:color w:val="auto"/>
                <w:szCs w:val="21"/>
              </w:rPr>
            </w:pP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97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《药品管理法》第一百二十九条：</w:t>
            </w:r>
            <w:r>
              <w:rPr>
                <w:rFonts w:hint="eastAsia" w:ascii="仿宋" w:hAnsi="仿宋" w:eastAsia="仿宋" w:cs="Arial"/>
                <w:color w:val="auto"/>
                <w:szCs w:val="21"/>
              </w:rPr>
              <w:t>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54" w:type="dxa"/>
            <w:vMerge w:val="continue"/>
            <w:vAlign w:val="center"/>
          </w:tcPr>
          <w:p>
            <w:pPr>
              <w:widowControl/>
              <w:adjustRightInd w:val="0"/>
              <w:snapToGrid w:val="0"/>
              <w:jc w:val="center"/>
              <w:rPr>
                <w:rFonts w:ascii="仿宋" w:hAnsi="仿宋" w:eastAsia="仿宋" w:cs="Arial"/>
                <w:color w:val="auto"/>
                <w:szCs w:val="21"/>
              </w:rPr>
            </w:pPr>
          </w:p>
        </w:tc>
        <w:tc>
          <w:tcPr>
            <w:tcW w:w="13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299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54" w:type="dxa"/>
            <w:vMerge w:val="continue"/>
            <w:vAlign w:val="center"/>
          </w:tcPr>
          <w:p>
            <w:pPr>
              <w:widowControl/>
              <w:adjustRightInd w:val="0"/>
              <w:snapToGrid w:val="0"/>
              <w:jc w:val="center"/>
              <w:rPr>
                <w:rFonts w:ascii="仿宋" w:hAnsi="仿宋" w:eastAsia="仿宋" w:cs="Arial"/>
                <w:color w:val="auto"/>
                <w:szCs w:val="21"/>
              </w:rPr>
            </w:pPr>
          </w:p>
        </w:tc>
        <w:tc>
          <w:tcPr>
            <w:tcW w:w="13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299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1" w:hRule="atLeast"/>
        </w:trPr>
        <w:tc>
          <w:tcPr>
            <w:tcW w:w="554" w:type="dxa"/>
            <w:vMerge w:val="continue"/>
            <w:vAlign w:val="center"/>
          </w:tcPr>
          <w:p>
            <w:pPr>
              <w:widowControl/>
              <w:adjustRightInd w:val="0"/>
              <w:snapToGrid w:val="0"/>
              <w:jc w:val="center"/>
              <w:rPr>
                <w:rFonts w:ascii="仿宋" w:hAnsi="仿宋" w:eastAsia="仿宋" w:cs="Arial"/>
                <w:color w:val="auto"/>
                <w:szCs w:val="21"/>
              </w:rPr>
            </w:pPr>
          </w:p>
        </w:tc>
        <w:tc>
          <w:tcPr>
            <w:tcW w:w="698"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699"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并处违法购进药品货值金额0.2倍以上2倍以下的罚款。</w:t>
            </w:r>
          </w:p>
          <w:p>
            <w:pPr>
              <w:widowControl/>
              <w:adjustRightInd w:val="0"/>
              <w:snapToGrid w:val="0"/>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并处违法购进药品货值金额2倍以上4.4倍以下的罚款。</w:t>
            </w:r>
          </w:p>
          <w:p>
            <w:pPr>
              <w:widowControl/>
              <w:adjustRightInd w:val="0"/>
              <w:snapToGrid w:val="0"/>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并处违法购进药品货值金额4.4倍以上7.6倍以下的罚款。</w:t>
            </w:r>
          </w:p>
          <w:p>
            <w:pPr>
              <w:widowControl/>
              <w:adjustRightInd w:val="0"/>
              <w:snapToGrid w:val="0"/>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c>
          <w:tcPr>
            <w:tcW w:w="299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没收违法购进的药品和违法所得；</w:t>
            </w:r>
          </w:p>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并处违法购进药品货值金额7.6倍以上10倍以下的罚款。</w:t>
            </w:r>
          </w:p>
          <w:p>
            <w:pPr>
              <w:widowControl/>
              <w:adjustRightInd w:val="0"/>
              <w:snapToGrid w:val="0"/>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货值金额不足5万元的，按5万元计算。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9" w:hRule="atLeast"/>
        </w:trPr>
        <w:tc>
          <w:tcPr>
            <w:tcW w:w="554" w:type="dxa"/>
            <w:vMerge w:val="continue"/>
            <w:vAlign w:val="center"/>
          </w:tcPr>
          <w:p>
            <w:pPr>
              <w:widowControl/>
              <w:adjustRightInd w:val="0"/>
              <w:snapToGrid w:val="0"/>
              <w:jc w:val="center"/>
              <w:rPr>
                <w:rFonts w:ascii="仿宋" w:hAnsi="仿宋" w:eastAsia="仿宋" w:cs="Arial"/>
                <w:color w:val="auto"/>
                <w:szCs w:val="21"/>
              </w:rPr>
            </w:pPr>
          </w:p>
        </w:tc>
        <w:tc>
          <w:tcPr>
            <w:tcW w:w="698" w:type="dxa"/>
            <w:vMerge w:val="continue"/>
            <w:vAlign w:val="center"/>
          </w:tcPr>
          <w:p>
            <w:pPr>
              <w:widowControl/>
              <w:adjustRightInd w:val="0"/>
              <w:snapToGrid w:val="0"/>
              <w:jc w:val="center"/>
              <w:rPr>
                <w:rFonts w:ascii="仿宋" w:hAnsi="仿宋" w:eastAsia="仿宋" w:cs="Arial"/>
                <w:color w:val="auto"/>
                <w:szCs w:val="21"/>
              </w:rPr>
            </w:pPr>
          </w:p>
        </w:tc>
        <w:tc>
          <w:tcPr>
            <w:tcW w:w="699"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2994" w:type="dxa"/>
            <w:vAlign w:val="center"/>
          </w:tcPr>
          <w:p>
            <w:pPr>
              <w:widowControl/>
              <w:adjustRightInd w:val="0"/>
              <w:snapToGrid w:val="0"/>
              <w:rPr>
                <w:rFonts w:ascii="仿宋" w:hAnsi="仿宋" w:eastAsia="仿宋" w:cs="Arial"/>
                <w:color w:val="auto"/>
                <w:szCs w:val="21"/>
              </w:rPr>
            </w:pP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并处违法购进药品货值金额10倍以上16倍以下的罚款；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吊销药品批准证明文件、药品生产许可证、药品经营许可证或者医疗机构执业许可证；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货值金额不足5万元的，按5万元计算。</w:t>
            </w:r>
          </w:p>
        </w:tc>
        <w:tc>
          <w:tcPr>
            <w:tcW w:w="29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并处违法购进药品货值金额16倍以上24倍以下的罚款；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吊销药品批准证明文件、药品生产许可证、药品经营许可证或者医疗机构执业许可证；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货值金额不足5万元的，按5万元计算。</w:t>
            </w:r>
          </w:p>
        </w:tc>
        <w:tc>
          <w:tcPr>
            <w:tcW w:w="299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并处违法购进药品货值金额24倍以上30倍以下的罚款；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吊销药品批准证明文件、药品生产许可证、药品经营许可证或者医疗机构执业许可证；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货值金额不足5</w:t>
            </w:r>
            <w:r>
              <w:rPr>
                <w:rFonts w:hint="eastAsia" w:ascii="仿宋" w:hAnsi="仿宋" w:eastAsia="仿宋" w:cs="Arial"/>
                <w:color w:val="auto"/>
                <w:szCs w:val="21"/>
                <w:lang w:eastAsia="zh-CN"/>
              </w:rPr>
              <w:t>万</w:t>
            </w:r>
            <w:r>
              <w:rPr>
                <w:rFonts w:hint="eastAsia" w:ascii="仿宋" w:hAnsi="仿宋" w:eastAsia="仿宋" w:cs="Arial"/>
                <w:color w:val="auto"/>
                <w:szCs w:val="21"/>
              </w:rPr>
              <w:t>元的，按5万元计算。</w:t>
            </w:r>
          </w:p>
        </w:tc>
      </w:tr>
    </w:tbl>
    <w:p>
      <w:pPr>
        <w:widowControl/>
        <w:tabs>
          <w:tab w:val="left" w:pos="677"/>
          <w:tab w:val="left" w:pos="1523"/>
          <w:tab w:val="left" w:pos="2368"/>
          <w:tab w:val="left" w:pos="5359"/>
          <w:tab w:val="left" w:pos="8016"/>
          <w:tab w:val="left" w:pos="10881"/>
        </w:tabs>
        <w:adjustRightInd w:val="0"/>
        <w:snapToGrid w:val="0"/>
        <w:jc w:val="left"/>
        <w:rPr>
          <w:rFonts w:ascii="仿宋" w:hAnsi="仿宋" w:eastAsia="仿宋" w:cs="Arial"/>
          <w:b/>
          <w:bCs/>
          <w:color w:val="auto"/>
          <w:szCs w:val="21"/>
        </w:rPr>
      </w:pPr>
    </w:p>
    <w:p>
      <w:pPr>
        <w:widowControl/>
        <w:tabs>
          <w:tab w:val="left" w:pos="677"/>
          <w:tab w:val="left" w:pos="1523"/>
          <w:tab w:val="left" w:pos="2368"/>
          <w:tab w:val="left" w:pos="5359"/>
          <w:tab w:val="left" w:pos="8016"/>
          <w:tab w:val="left" w:pos="10881"/>
        </w:tabs>
        <w:adjustRightInd w:val="0"/>
        <w:snapToGrid w:val="0"/>
        <w:jc w:val="left"/>
        <w:rPr>
          <w:rFonts w:ascii="仿宋" w:hAnsi="仿宋" w:eastAsia="仿宋" w:cs="Arial"/>
          <w:b/>
          <w:bCs/>
          <w:color w:val="auto"/>
          <w:szCs w:val="21"/>
        </w:rPr>
      </w:pPr>
    </w:p>
    <w:tbl>
      <w:tblPr>
        <w:tblStyle w:val="7"/>
        <w:tblW w:w="13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703"/>
        <w:gridCol w:w="703"/>
        <w:gridCol w:w="2977"/>
        <w:gridCol w:w="2977"/>
        <w:gridCol w:w="3011"/>
        <w:gridCol w:w="3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45"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14</w:t>
            </w:r>
          </w:p>
        </w:tc>
        <w:tc>
          <w:tcPr>
            <w:tcW w:w="1406"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97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药品网络交易第三方平台提供者未履行资质审核、报告、停止提供网络交易平台服务等义务的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trPr>
        <w:tc>
          <w:tcPr>
            <w:tcW w:w="545" w:type="dxa"/>
            <w:vMerge w:val="continue"/>
            <w:vAlign w:val="center"/>
          </w:tcPr>
          <w:p>
            <w:pPr>
              <w:widowControl/>
              <w:adjustRightInd w:val="0"/>
              <w:snapToGrid w:val="0"/>
              <w:jc w:val="center"/>
              <w:rPr>
                <w:rFonts w:ascii="仿宋" w:hAnsi="仿宋" w:eastAsia="仿宋" w:cs="Arial"/>
                <w:color w:val="auto"/>
                <w:szCs w:val="21"/>
              </w:rPr>
            </w:pPr>
          </w:p>
        </w:tc>
        <w:tc>
          <w:tcPr>
            <w:tcW w:w="1406"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97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《药品管理法》第一百三十一条：</w:t>
            </w:r>
            <w:r>
              <w:rPr>
                <w:rFonts w:hint="eastAsia" w:ascii="仿宋" w:hAnsi="仿宋" w:eastAsia="仿宋" w:cs="Arial"/>
                <w:color w:val="auto"/>
                <w:szCs w:val="21"/>
              </w:rPr>
              <w:t>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45" w:type="dxa"/>
            <w:vMerge w:val="continue"/>
            <w:vAlign w:val="center"/>
          </w:tcPr>
          <w:p>
            <w:pPr>
              <w:widowControl/>
              <w:adjustRightInd w:val="0"/>
              <w:snapToGrid w:val="0"/>
              <w:jc w:val="center"/>
              <w:rPr>
                <w:rFonts w:ascii="仿宋" w:hAnsi="仿宋" w:eastAsia="仿宋" w:cs="Arial"/>
                <w:color w:val="auto"/>
                <w:szCs w:val="21"/>
              </w:rPr>
            </w:pPr>
          </w:p>
        </w:tc>
        <w:tc>
          <w:tcPr>
            <w:tcW w:w="1406"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01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0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5" w:hRule="atLeast"/>
        </w:trPr>
        <w:tc>
          <w:tcPr>
            <w:tcW w:w="545" w:type="dxa"/>
            <w:vMerge w:val="continue"/>
            <w:vAlign w:val="center"/>
          </w:tcPr>
          <w:p>
            <w:pPr>
              <w:widowControl/>
              <w:adjustRightInd w:val="0"/>
              <w:snapToGrid w:val="0"/>
              <w:jc w:val="center"/>
              <w:rPr>
                <w:rFonts w:ascii="仿宋" w:hAnsi="仿宋" w:eastAsia="仿宋" w:cs="Arial"/>
                <w:color w:val="auto"/>
                <w:szCs w:val="21"/>
              </w:rPr>
            </w:pPr>
          </w:p>
        </w:tc>
        <w:tc>
          <w:tcPr>
            <w:tcW w:w="1406"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01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2" w:hRule="atLeast"/>
        </w:trPr>
        <w:tc>
          <w:tcPr>
            <w:tcW w:w="545" w:type="dxa"/>
            <w:vMerge w:val="continue"/>
            <w:vAlign w:val="center"/>
          </w:tcPr>
          <w:p>
            <w:pPr>
              <w:widowControl/>
              <w:adjustRightInd w:val="0"/>
              <w:snapToGrid w:val="0"/>
              <w:jc w:val="center"/>
              <w:rPr>
                <w:rFonts w:ascii="仿宋" w:hAnsi="仿宋" w:eastAsia="仿宋" w:cs="Arial"/>
                <w:color w:val="auto"/>
                <w:szCs w:val="21"/>
              </w:rPr>
            </w:pPr>
          </w:p>
        </w:tc>
        <w:tc>
          <w:tcPr>
            <w:tcW w:w="703"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70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并处2万元以上20万元以下的罚款。</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并处20万元以上74万元以下的罚款。</w:t>
            </w:r>
          </w:p>
        </w:tc>
        <w:tc>
          <w:tcPr>
            <w:tcW w:w="301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并处74万元以上146万元以下的罚款。</w:t>
            </w:r>
          </w:p>
        </w:tc>
        <w:tc>
          <w:tcPr>
            <w:tcW w:w="30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并处146万元以上200万元以下的罚款。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80" w:hRule="atLeast"/>
        </w:trPr>
        <w:tc>
          <w:tcPr>
            <w:tcW w:w="545" w:type="dxa"/>
            <w:vMerge w:val="continue"/>
            <w:vAlign w:val="center"/>
          </w:tcPr>
          <w:p>
            <w:pPr>
              <w:widowControl/>
              <w:adjustRightInd w:val="0"/>
              <w:snapToGrid w:val="0"/>
              <w:jc w:val="center"/>
              <w:rPr>
                <w:rFonts w:ascii="仿宋" w:hAnsi="仿宋" w:eastAsia="仿宋" w:cs="Arial"/>
                <w:color w:val="auto"/>
                <w:szCs w:val="21"/>
              </w:rPr>
            </w:pPr>
          </w:p>
        </w:tc>
        <w:tc>
          <w:tcPr>
            <w:tcW w:w="703" w:type="dxa"/>
            <w:vMerge w:val="continue"/>
            <w:vAlign w:val="center"/>
          </w:tcPr>
          <w:p>
            <w:pPr>
              <w:widowControl/>
              <w:adjustRightInd w:val="0"/>
              <w:snapToGrid w:val="0"/>
              <w:jc w:val="center"/>
              <w:rPr>
                <w:rFonts w:ascii="仿宋" w:hAnsi="仿宋" w:eastAsia="仿宋" w:cs="Arial"/>
                <w:color w:val="auto"/>
                <w:szCs w:val="21"/>
              </w:rPr>
            </w:pPr>
          </w:p>
        </w:tc>
        <w:tc>
          <w:tcPr>
            <w:tcW w:w="70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2977" w:type="dxa"/>
            <w:vAlign w:val="center"/>
          </w:tcPr>
          <w:p>
            <w:pPr>
              <w:widowControl/>
              <w:adjustRightInd w:val="0"/>
              <w:snapToGrid w:val="0"/>
              <w:rPr>
                <w:rFonts w:ascii="仿宋" w:hAnsi="仿宋" w:eastAsia="仿宋" w:cs="Arial"/>
                <w:color w:val="auto"/>
                <w:szCs w:val="21"/>
              </w:rPr>
            </w:pP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b/>
                <w:bCs/>
                <w:color w:val="auto"/>
                <w:szCs w:val="21"/>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责令停业整顿；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4</w:t>
            </w:r>
            <w:r>
              <w:rPr>
                <w:rFonts w:hint="eastAsia" w:ascii="仿宋" w:hAnsi="仿宋" w:eastAsia="仿宋" w:cs="Arial"/>
                <w:b/>
                <w:bCs/>
                <w:color w:val="auto"/>
                <w:szCs w:val="21"/>
              </w:rPr>
              <w:t>.</w:t>
            </w:r>
            <w:r>
              <w:rPr>
                <w:rFonts w:hint="eastAsia" w:ascii="仿宋" w:hAnsi="仿宋" w:eastAsia="仿宋" w:cs="Arial"/>
                <w:color w:val="auto"/>
                <w:szCs w:val="21"/>
              </w:rPr>
              <w:t>并处200万元以上290万元以下的罚款。</w:t>
            </w:r>
          </w:p>
        </w:tc>
        <w:tc>
          <w:tcPr>
            <w:tcW w:w="301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责令停业整顿；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4</w:t>
            </w:r>
            <w:r>
              <w:rPr>
                <w:rFonts w:hint="eastAsia" w:ascii="仿宋" w:hAnsi="仿宋" w:eastAsia="仿宋" w:cs="Arial"/>
                <w:b/>
                <w:bCs/>
                <w:color w:val="auto"/>
                <w:szCs w:val="21"/>
              </w:rPr>
              <w:t>.</w:t>
            </w:r>
            <w:r>
              <w:rPr>
                <w:rFonts w:hint="eastAsia" w:ascii="仿宋" w:hAnsi="仿宋" w:eastAsia="仿宋" w:cs="Arial"/>
                <w:color w:val="auto"/>
                <w:szCs w:val="21"/>
              </w:rPr>
              <w:t>并处290万元以上410万元以下的罚款。</w:t>
            </w:r>
          </w:p>
        </w:tc>
        <w:tc>
          <w:tcPr>
            <w:tcW w:w="30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没收违法所得；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责令停业整顿；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4</w:t>
            </w:r>
            <w:r>
              <w:rPr>
                <w:rFonts w:hint="eastAsia" w:ascii="仿宋" w:hAnsi="仿宋" w:eastAsia="仿宋" w:cs="Arial"/>
                <w:b/>
                <w:bCs/>
                <w:color w:val="auto"/>
                <w:szCs w:val="21"/>
              </w:rPr>
              <w:t>.</w:t>
            </w:r>
            <w:r>
              <w:rPr>
                <w:rFonts w:hint="eastAsia" w:ascii="仿宋" w:hAnsi="仿宋" w:eastAsia="仿宋" w:cs="Arial"/>
                <w:color w:val="auto"/>
                <w:szCs w:val="21"/>
              </w:rPr>
              <w:t>并处410万元以上500万元以下的罚款。</w:t>
            </w:r>
          </w:p>
        </w:tc>
      </w:tr>
    </w:tbl>
    <w:p>
      <w:pPr>
        <w:widowControl/>
        <w:tabs>
          <w:tab w:val="left" w:pos="677"/>
          <w:tab w:val="left" w:pos="2301"/>
        </w:tabs>
        <w:adjustRightInd w:val="0"/>
        <w:snapToGrid w:val="0"/>
        <w:jc w:val="left"/>
        <w:rPr>
          <w:rFonts w:ascii="宋体" w:hAnsi="宋体" w:eastAsia="宋体" w:cs="宋体"/>
          <w:b/>
          <w:bCs/>
          <w:color w:val="auto"/>
          <w:szCs w:val="21"/>
        </w:rPr>
      </w:pPr>
    </w:p>
    <w:tbl>
      <w:tblPr>
        <w:tblStyle w:val="7"/>
        <w:tblW w:w="13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709"/>
        <w:gridCol w:w="2977"/>
        <w:gridCol w:w="2977"/>
        <w:gridCol w:w="2976"/>
        <w:gridCol w:w="3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15</w:t>
            </w: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982" w:type="dxa"/>
            <w:gridSpan w:val="4"/>
            <w:vAlign w:val="center"/>
          </w:tcPr>
          <w:p>
            <w:pPr>
              <w:widowControl/>
              <w:adjustRightInd w:val="0"/>
              <w:snapToGrid w:val="0"/>
              <w:ind w:right="210"/>
              <w:rPr>
                <w:rFonts w:ascii="仿宋" w:hAnsi="仿宋" w:eastAsia="仿宋" w:cs="Arial"/>
                <w:color w:val="auto"/>
                <w:szCs w:val="21"/>
              </w:rPr>
            </w:pPr>
            <w:r>
              <w:rPr>
                <w:rFonts w:hint="eastAsia" w:ascii="仿宋" w:hAnsi="仿宋" w:eastAsia="仿宋" w:cs="Arial"/>
                <w:b/>
                <w:bCs/>
                <w:color w:val="auto"/>
                <w:szCs w:val="21"/>
              </w:rPr>
              <w:t>违反《药品管理法》第一百三十三条的行为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417" w:type="dxa"/>
            <w:gridSpan w:val="2"/>
            <w:vAlign w:val="center"/>
          </w:tcPr>
          <w:p>
            <w:pPr>
              <w:widowControl/>
              <w:adjustRightInd w:val="0"/>
              <w:snapToGrid w:val="0"/>
              <w:jc w:val="center"/>
              <w:rPr>
                <w:rFonts w:ascii="仿宋" w:hAnsi="仿宋" w:eastAsia="仿宋" w:cs="Arial"/>
                <w:color w:val="auto"/>
                <w:szCs w:val="21"/>
              </w:rPr>
            </w:pP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982"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《药品管理法》第一百三十三条：</w:t>
            </w:r>
            <w:r>
              <w:rPr>
                <w:rFonts w:hint="eastAsia" w:ascii="仿宋" w:hAnsi="仿宋" w:eastAsia="仿宋" w:cs="Arial"/>
                <w:color w:val="auto"/>
                <w:szCs w:val="21"/>
              </w:rPr>
              <w:t>违反本法规定，医疗机构将其配置的制剂在市场上销售的，责令改正，没收违法销售的制剂和违法所得，并处违法销售制剂货值金额二倍以上五倍以下的罚款；情节严重的，并处货值金额五倍以上十五倍以下的罚款；货值金额不足五万元的，按五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977"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减轻</w:t>
            </w:r>
          </w:p>
        </w:tc>
        <w:tc>
          <w:tcPr>
            <w:tcW w:w="2977"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从轻</w:t>
            </w:r>
          </w:p>
        </w:tc>
        <w:tc>
          <w:tcPr>
            <w:tcW w:w="297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052"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p>
            <w:pPr>
              <w:widowControl/>
              <w:adjustRightInd w:val="0"/>
              <w:snapToGrid w:val="0"/>
              <w:jc w:val="center"/>
              <w:rPr>
                <w:rFonts w:ascii="仿宋" w:hAnsi="仿宋" w:eastAsia="仿宋" w:cs="Arial"/>
                <w:color w:val="auto"/>
                <w:szCs w:val="21"/>
              </w:rPr>
            </w:pP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（一）初次违法销售制剂，危害后果轻微的；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（二）违法销售行为发生在医疗联合体、医疗集团或者医疗“连锁”机构内的；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（三）其他符合裁量规则从轻行政处罚情形的。</w:t>
            </w:r>
          </w:p>
        </w:tc>
        <w:tc>
          <w:tcPr>
            <w:tcW w:w="297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5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r>
              <w:rPr>
                <w:rFonts w:hint="eastAsia" w:ascii="宋体" w:hAnsi="宋体" w:eastAsia="宋体" w:cs="宋体"/>
                <w:color w:val="auto"/>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3"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708"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709"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并处违法销售制剂货值金额0.2倍以上2倍以下的罚款</w:t>
            </w:r>
            <w:r>
              <w:rPr>
                <w:rFonts w:hint="eastAsia" w:ascii="仿宋" w:hAnsi="仿宋" w:eastAsia="仿宋" w:cs="Arial"/>
                <w:color w:val="auto"/>
                <w:szCs w:val="21"/>
                <w:lang w:eastAsia="zh-CN"/>
              </w:rPr>
              <w:t>；</w:t>
            </w:r>
          </w:p>
          <w:p>
            <w:pPr>
              <w:widowControl/>
              <w:adjustRightInd w:val="0"/>
              <w:snapToGrid w:val="0"/>
              <w:rPr>
                <w:rFonts w:hint="eastAsia" w:ascii="仿宋" w:hAnsi="仿宋" w:eastAsia="仿宋" w:cs="Arial"/>
                <w:color w:val="auto"/>
                <w:szCs w:val="21"/>
                <w:lang w:val="en-US"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并处违法销售制剂货值金额2倍以上2.9倍以下的罚款</w:t>
            </w:r>
            <w:r>
              <w:rPr>
                <w:rFonts w:hint="eastAsia" w:ascii="仿宋" w:hAnsi="仿宋" w:eastAsia="仿宋" w:cs="Arial"/>
                <w:color w:val="auto"/>
                <w:szCs w:val="21"/>
                <w:lang w:eastAsia="zh-CN"/>
              </w:rPr>
              <w:t>；</w:t>
            </w:r>
          </w:p>
          <w:p>
            <w:pPr>
              <w:widowControl/>
              <w:adjustRightInd w:val="0"/>
              <w:snapToGrid w:val="0"/>
              <w:rPr>
                <w:rFonts w:hint="eastAsia"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297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并处违法销售制剂货值金额2.9倍以上4.1倍以下的罚款</w:t>
            </w:r>
            <w:r>
              <w:rPr>
                <w:rFonts w:hint="eastAsia" w:ascii="仿宋" w:hAnsi="仿宋" w:eastAsia="仿宋" w:cs="Arial"/>
                <w:color w:val="auto"/>
                <w:szCs w:val="21"/>
                <w:lang w:eastAsia="zh-CN"/>
              </w:rPr>
              <w:t>；</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305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b/>
                <w:bCs/>
                <w:color w:val="auto"/>
                <w:szCs w:val="21"/>
              </w:rPr>
              <w:t>3.</w:t>
            </w:r>
            <w:r>
              <w:rPr>
                <w:rFonts w:hint="eastAsia" w:ascii="仿宋" w:hAnsi="仿宋" w:eastAsia="仿宋" w:cs="Arial"/>
                <w:color w:val="auto"/>
                <w:szCs w:val="21"/>
              </w:rPr>
              <w:t>并处违法销售制剂货值金额4.1倍以上5倍以下的罚款</w:t>
            </w:r>
            <w:r>
              <w:rPr>
                <w:rFonts w:hint="eastAsia" w:ascii="仿宋" w:hAnsi="仿宋" w:eastAsia="仿宋" w:cs="Arial"/>
                <w:color w:val="auto"/>
                <w:szCs w:val="21"/>
                <w:lang w:eastAsia="zh-CN"/>
              </w:rPr>
              <w:t>；</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9"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708" w:type="dxa"/>
            <w:vMerge w:val="continue"/>
            <w:vAlign w:val="center"/>
          </w:tcPr>
          <w:p>
            <w:pPr>
              <w:widowControl/>
              <w:adjustRightInd w:val="0"/>
              <w:snapToGrid w:val="0"/>
              <w:jc w:val="center"/>
              <w:rPr>
                <w:rFonts w:ascii="仿宋" w:hAnsi="仿宋" w:eastAsia="仿宋" w:cs="Arial"/>
                <w:color w:val="auto"/>
                <w:szCs w:val="21"/>
              </w:rPr>
            </w:pPr>
          </w:p>
        </w:tc>
        <w:tc>
          <w:tcPr>
            <w:tcW w:w="709"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2977" w:type="dxa"/>
            <w:vAlign w:val="center"/>
          </w:tcPr>
          <w:p>
            <w:pPr>
              <w:widowControl/>
              <w:adjustRightInd w:val="0"/>
              <w:snapToGrid w:val="0"/>
              <w:rPr>
                <w:rFonts w:ascii="仿宋" w:hAnsi="仿宋" w:eastAsia="仿宋" w:cs="Arial"/>
                <w:color w:val="auto"/>
                <w:szCs w:val="21"/>
              </w:rPr>
            </w:pPr>
          </w:p>
        </w:tc>
        <w:tc>
          <w:tcPr>
            <w:tcW w:w="297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pPr>
              <w:widowControl/>
              <w:adjustRightInd w:val="0"/>
              <w:snapToGrid w:val="0"/>
              <w:rPr>
                <w:rFonts w:ascii="仿宋" w:hAnsi="仿宋" w:eastAsia="仿宋" w:cs="Arial"/>
                <w:b/>
                <w:bCs/>
                <w:color w:val="auto"/>
                <w:szCs w:val="21"/>
              </w:rPr>
            </w:pPr>
            <w:r>
              <w:rPr>
                <w:rFonts w:hint="eastAsia" w:ascii="仿宋" w:hAnsi="仿宋" w:eastAsia="仿宋" w:cs="Arial"/>
                <w:b/>
                <w:bCs/>
                <w:color w:val="auto"/>
                <w:szCs w:val="21"/>
                <w:lang w:val="en-US" w:eastAsia="zh-CN"/>
              </w:rPr>
              <w:t>2</w:t>
            </w:r>
            <w:r>
              <w:rPr>
                <w:rFonts w:hint="eastAsia" w:ascii="仿宋" w:hAnsi="仿宋" w:eastAsia="仿宋" w:cs="Arial"/>
                <w:b/>
                <w:bCs/>
                <w:color w:val="auto"/>
                <w:szCs w:val="21"/>
              </w:rPr>
              <w:t>.</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并处违法销售制剂货值金额5倍以上8倍以下的罚款</w:t>
            </w:r>
            <w:r>
              <w:rPr>
                <w:rFonts w:hint="eastAsia" w:ascii="仿宋" w:hAnsi="仿宋" w:eastAsia="仿宋" w:cs="Arial"/>
                <w:color w:val="auto"/>
                <w:szCs w:val="21"/>
                <w:lang w:eastAsia="zh-CN"/>
              </w:rPr>
              <w:t>；</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297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2</w:t>
            </w:r>
            <w:r>
              <w:rPr>
                <w:rFonts w:hint="eastAsia" w:ascii="仿宋" w:hAnsi="仿宋" w:eastAsia="仿宋" w:cs="Arial"/>
                <w:b/>
                <w:bCs/>
                <w:color w:val="auto"/>
                <w:szCs w:val="21"/>
              </w:rPr>
              <w:t>.</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并处违法销售制剂货值金额8倍以上12倍以下的罚款</w:t>
            </w:r>
            <w:r>
              <w:rPr>
                <w:rFonts w:hint="eastAsia" w:ascii="仿宋" w:hAnsi="仿宋" w:eastAsia="仿宋" w:cs="Arial"/>
                <w:color w:val="auto"/>
                <w:szCs w:val="21"/>
                <w:lang w:eastAsia="zh-CN"/>
              </w:rPr>
              <w:t>；</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p>
        </w:tc>
        <w:tc>
          <w:tcPr>
            <w:tcW w:w="305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w:t>
            </w:r>
            <w:r>
              <w:rPr>
                <w:rFonts w:hint="eastAsia" w:ascii="仿宋" w:hAnsi="仿宋" w:eastAsia="仿宋" w:cs="Arial"/>
                <w:color w:val="auto"/>
                <w:szCs w:val="21"/>
                <w:lang w:eastAsia="zh-CN"/>
              </w:rPr>
              <w:t>；</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lang w:val="en-US" w:eastAsia="zh-CN"/>
              </w:rPr>
              <w:t>2</w:t>
            </w:r>
            <w:r>
              <w:rPr>
                <w:rFonts w:hint="eastAsia" w:ascii="仿宋" w:hAnsi="仿宋" w:eastAsia="仿宋" w:cs="Arial"/>
                <w:b/>
                <w:bCs/>
                <w:color w:val="auto"/>
                <w:szCs w:val="21"/>
              </w:rPr>
              <w:t>.</w:t>
            </w:r>
            <w:r>
              <w:rPr>
                <w:rFonts w:hint="eastAsia" w:ascii="仿宋" w:hAnsi="仿宋" w:eastAsia="仿宋" w:cs="Arial"/>
                <w:color w:val="auto"/>
                <w:szCs w:val="21"/>
              </w:rPr>
              <w:t>没收违法销售的制剂和违法所得；</w:t>
            </w:r>
          </w:p>
          <w:p>
            <w:pPr>
              <w:widowControl/>
              <w:adjustRightInd w:val="0"/>
              <w:snapToGrid w:val="0"/>
              <w:rPr>
                <w:rFonts w:hint="eastAsia" w:ascii="仿宋" w:hAnsi="仿宋" w:eastAsia="仿宋" w:cs="Arial"/>
                <w:color w:val="auto"/>
                <w:szCs w:val="21"/>
                <w:lang w:eastAsia="zh-CN"/>
              </w:rPr>
            </w:pPr>
            <w:r>
              <w:rPr>
                <w:rFonts w:hint="eastAsia" w:ascii="仿宋" w:hAnsi="仿宋" w:eastAsia="仿宋" w:cs="Arial"/>
                <w:b/>
                <w:bCs/>
                <w:color w:val="auto"/>
                <w:szCs w:val="21"/>
                <w:lang w:val="en-US" w:eastAsia="zh-CN"/>
              </w:rPr>
              <w:t>3</w:t>
            </w:r>
            <w:r>
              <w:rPr>
                <w:rFonts w:hint="eastAsia" w:ascii="仿宋" w:hAnsi="仿宋" w:eastAsia="仿宋" w:cs="Arial"/>
                <w:b/>
                <w:bCs/>
                <w:color w:val="auto"/>
                <w:szCs w:val="21"/>
              </w:rPr>
              <w:t>.</w:t>
            </w:r>
            <w:r>
              <w:rPr>
                <w:rFonts w:hint="eastAsia" w:ascii="仿宋" w:hAnsi="仿宋" w:eastAsia="仿宋" w:cs="Arial"/>
                <w:color w:val="auto"/>
                <w:szCs w:val="21"/>
              </w:rPr>
              <w:t>并处违法销售制剂货值金额12倍以上15倍以下的罚款</w:t>
            </w:r>
            <w:r>
              <w:rPr>
                <w:rFonts w:hint="eastAsia" w:ascii="仿宋" w:hAnsi="仿宋" w:eastAsia="仿宋" w:cs="Arial"/>
                <w:color w:val="auto"/>
                <w:szCs w:val="21"/>
                <w:lang w:eastAsia="zh-CN"/>
              </w:rPr>
              <w:t>；</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4.</w:t>
            </w:r>
            <w:r>
              <w:rPr>
                <w:rFonts w:hint="eastAsia" w:ascii="仿宋" w:hAnsi="仿宋" w:eastAsia="仿宋" w:cs="Arial"/>
                <w:color w:val="auto"/>
                <w:szCs w:val="21"/>
              </w:rPr>
              <w:t>货值金额不足五万元的，按五万元计算。</w:t>
            </w:r>
            <w:r>
              <w:rPr>
                <w:rFonts w:hint="eastAsia" w:ascii="宋体" w:hAnsi="宋体" w:eastAsia="宋体" w:cs="宋体"/>
                <w:color w:val="auto"/>
                <w:szCs w:val="21"/>
              </w:rPr>
              <w:t> </w:t>
            </w:r>
          </w:p>
        </w:tc>
      </w:tr>
    </w:tbl>
    <w:p>
      <w:pPr>
        <w:widowControl/>
        <w:tabs>
          <w:tab w:val="left" w:pos="2209"/>
        </w:tabs>
        <w:adjustRightInd w:val="0"/>
        <w:spacing w:line="240" w:lineRule="exact"/>
        <w:jc w:val="left"/>
        <w:rPr>
          <w:rFonts w:ascii="宋体" w:hAnsi="宋体" w:eastAsia="宋体" w:cs="宋体"/>
          <w:b/>
          <w:bCs/>
          <w:color w:val="auto"/>
          <w:szCs w:val="21"/>
        </w:rPr>
      </w:pPr>
    </w:p>
    <w:p>
      <w:pPr>
        <w:widowControl/>
        <w:shd w:val="clear" w:color="auto" w:fill="FFFFFF"/>
        <w:adjustRightInd w:val="0"/>
        <w:snapToGrid w:val="0"/>
        <w:jc w:val="left"/>
        <w:rPr>
          <w:rFonts w:ascii="仿宋" w:hAnsi="仿宋" w:eastAsia="仿宋" w:cs="宋体"/>
          <w:vanish/>
          <w:color w:val="333333"/>
          <w:szCs w:val="21"/>
        </w:rPr>
      </w:pPr>
    </w:p>
    <w:tbl>
      <w:tblPr>
        <w:tblStyle w:val="7"/>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1185"/>
        <w:gridCol w:w="3206"/>
        <w:gridCol w:w="2765"/>
        <w:gridCol w:w="2766"/>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16</w:t>
            </w:r>
          </w:p>
        </w:tc>
        <w:tc>
          <w:tcPr>
            <w:tcW w:w="1752"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572"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未按照规定报告疑似药品不良反应的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1"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752"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572" w:type="dxa"/>
            <w:gridSpan w:val="4"/>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《药品管理法》第一百三十四条第一款：</w:t>
            </w:r>
            <w:r>
              <w:rPr>
                <w:rFonts w:hint="eastAsia" w:ascii="仿宋" w:hAnsi="仿宋" w:eastAsia="仿宋" w:cs="Arial"/>
                <w:color w:val="auto"/>
                <w:szCs w:val="21"/>
              </w:rPr>
              <w:t>药品上市许可持有人未按照规定开展药品不良反应监测或者报告疑似药品不良反应的，责令限期改正，给予警告；逾期不改正的，责令停产停业整顿，并处十万元以上一百万元以下的罚款。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第二款：</w:t>
            </w:r>
            <w:r>
              <w:rPr>
                <w:rFonts w:hint="eastAsia" w:ascii="仿宋" w:hAnsi="仿宋" w:eastAsia="仿宋" w:cs="Arial"/>
                <w:color w:val="auto"/>
                <w:szCs w:val="21"/>
              </w:rPr>
              <w:t>药品经营企业未按照规定报告疑似药品不良反应的，责令限期改正，给予警告；逾期不改正的，责令停产停业整顿，并处五万元以上五十万元以下的罚款。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第三款：</w:t>
            </w:r>
            <w:r>
              <w:rPr>
                <w:rFonts w:hint="eastAsia" w:ascii="仿宋" w:hAnsi="仿宋" w:eastAsia="仿宋" w:cs="Arial"/>
                <w:color w:val="auto"/>
                <w:szCs w:val="21"/>
              </w:rPr>
              <w:t>医疗机构未按照规定报告疑似药品不良反应的，责令限期改正，给予警告；逾期不改正的，处五万元以上五十万元以下的罚款。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752"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20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76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76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28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5"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752"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2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（一）涉及非重点监测品种的；</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（二）涉及非群体性不良反应的；</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（三）其他符合裁量规则减轻行政处罚情形的。</w:t>
            </w:r>
          </w:p>
        </w:tc>
        <w:tc>
          <w:tcPr>
            <w:tcW w:w="276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76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283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567"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1185" w:type="dxa"/>
            <w:vMerge w:val="restart"/>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对药品上市许可持有的处罚</w:t>
            </w:r>
          </w:p>
        </w:tc>
        <w:tc>
          <w:tcPr>
            <w:tcW w:w="32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83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5"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567" w:type="dxa"/>
            <w:vMerge w:val="continue"/>
            <w:vAlign w:val="center"/>
          </w:tcPr>
          <w:p>
            <w:pPr>
              <w:widowControl/>
              <w:adjustRightInd w:val="0"/>
              <w:snapToGrid w:val="0"/>
              <w:jc w:val="center"/>
              <w:rPr>
                <w:rFonts w:ascii="仿宋" w:hAnsi="仿宋" w:eastAsia="仿宋" w:cs="Arial"/>
                <w:color w:val="auto"/>
                <w:szCs w:val="21"/>
              </w:rPr>
            </w:pPr>
          </w:p>
        </w:tc>
        <w:tc>
          <w:tcPr>
            <w:tcW w:w="1185" w:type="dxa"/>
            <w:vMerge w:val="continue"/>
            <w:vAlign w:val="center"/>
          </w:tcPr>
          <w:p>
            <w:pPr>
              <w:widowControl/>
              <w:adjustRightInd w:val="0"/>
              <w:snapToGrid w:val="0"/>
              <w:rPr>
                <w:rFonts w:ascii="仿宋" w:hAnsi="仿宋" w:eastAsia="仿宋" w:cs="Arial"/>
                <w:color w:val="auto"/>
                <w:szCs w:val="21"/>
              </w:rPr>
            </w:pPr>
          </w:p>
        </w:tc>
        <w:tc>
          <w:tcPr>
            <w:tcW w:w="32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.并处1万元以上10万元以下的罚款。</w:t>
            </w:r>
          </w:p>
        </w:tc>
        <w:tc>
          <w:tcPr>
            <w:tcW w:w="276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并处10万元以上37万元以下的罚款。</w:t>
            </w:r>
          </w:p>
        </w:tc>
        <w:tc>
          <w:tcPr>
            <w:tcW w:w="276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并处37万元以上73万元以下的罚款。</w:t>
            </w:r>
          </w:p>
        </w:tc>
        <w:tc>
          <w:tcPr>
            <w:tcW w:w="283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并处73万元以上100万元以下的罚款。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567" w:type="dxa"/>
            <w:vMerge w:val="continue"/>
            <w:vAlign w:val="center"/>
          </w:tcPr>
          <w:p>
            <w:pPr>
              <w:widowControl/>
              <w:adjustRightInd w:val="0"/>
              <w:snapToGrid w:val="0"/>
              <w:jc w:val="center"/>
              <w:rPr>
                <w:rFonts w:ascii="仿宋" w:hAnsi="仿宋" w:eastAsia="仿宋" w:cs="Arial"/>
                <w:color w:val="auto"/>
                <w:szCs w:val="21"/>
              </w:rPr>
            </w:pPr>
          </w:p>
        </w:tc>
        <w:tc>
          <w:tcPr>
            <w:tcW w:w="1185" w:type="dxa"/>
            <w:vMerge w:val="restart"/>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对药品经营企业</w:t>
            </w:r>
          </w:p>
        </w:tc>
        <w:tc>
          <w:tcPr>
            <w:tcW w:w="32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76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c>
          <w:tcPr>
            <w:tcW w:w="283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责令限期改正，给予警告。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567" w:type="dxa"/>
            <w:vMerge w:val="continue"/>
            <w:vAlign w:val="center"/>
          </w:tcPr>
          <w:p>
            <w:pPr>
              <w:widowControl/>
              <w:adjustRightInd w:val="0"/>
              <w:snapToGrid w:val="0"/>
              <w:jc w:val="center"/>
              <w:rPr>
                <w:rFonts w:ascii="仿宋" w:hAnsi="仿宋" w:eastAsia="仿宋" w:cs="Arial"/>
                <w:color w:val="auto"/>
                <w:szCs w:val="21"/>
              </w:rPr>
            </w:pPr>
          </w:p>
        </w:tc>
        <w:tc>
          <w:tcPr>
            <w:tcW w:w="1185" w:type="dxa"/>
            <w:vMerge w:val="continue"/>
            <w:vAlign w:val="center"/>
          </w:tcPr>
          <w:p>
            <w:pPr>
              <w:widowControl/>
              <w:adjustRightInd w:val="0"/>
              <w:snapToGrid w:val="0"/>
              <w:jc w:val="center"/>
              <w:rPr>
                <w:rFonts w:ascii="仿宋" w:hAnsi="仿宋" w:eastAsia="仿宋" w:cs="Arial"/>
                <w:color w:val="auto"/>
                <w:szCs w:val="21"/>
              </w:rPr>
            </w:pPr>
          </w:p>
        </w:tc>
        <w:tc>
          <w:tcPr>
            <w:tcW w:w="320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并处0.5万元以上5万元以下的罚款。</w:t>
            </w:r>
          </w:p>
        </w:tc>
        <w:tc>
          <w:tcPr>
            <w:tcW w:w="276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并处5万元以上18.5万元以下的罚款。</w:t>
            </w:r>
          </w:p>
        </w:tc>
        <w:tc>
          <w:tcPr>
            <w:tcW w:w="2766"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并处18.5万元以上36.5万元以下的罚款。</w:t>
            </w:r>
          </w:p>
        </w:tc>
        <w:tc>
          <w:tcPr>
            <w:tcW w:w="2835"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逾期不改正的，责令停产停业整顿；</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并处36.5万元以上50万元以下的罚款。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534" w:type="dxa"/>
            <w:vMerge w:val="restart"/>
            <w:vAlign w:val="center"/>
          </w:tcPr>
          <w:p>
            <w:pPr>
              <w:widowControl/>
              <w:adjustRightInd w:val="0"/>
              <w:snapToGrid w:val="0"/>
              <w:jc w:val="center"/>
              <w:rPr>
                <w:rFonts w:ascii="仿宋" w:hAnsi="仿宋" w:eastAsia="仿宋" w:cs="Arial"/>
                <w:color w:val="auto"/>
                <w:szCs w:val="21"/>
              </w:rPr>
            </w:pPr>
          </w:p>
        </w:tc>
        <w:tc>
          <w:tcPr>
            <w:tcW w:w="567" w:type="dxa"/>
            <w:vMerge w:val="restart"/>
            <w:vAlign w:val="center"/>
          </w:tcPr>
          <w:p>
            <w:pPr>
              <w:widowControl/>
              <w:adjustRightInd w:val="0"/>
              <w:snapToGrid w:val="0"/>
              <w:jc w:val="center"/>
              <w:rPr>
                <w:rFonts w:ascii="仿宋" w:hAnsi="仿宋" w:eastAsia="仿宋" w:cs="Arial"/>
                <w:color w:val="auto"/>
                <w:szCs w:val="21"/>
              </w:rPr>
            </w:pPr>
          </w:p>
        </w:tc>
        <w:tc>
          <w:tcPr>
            <w:tcW w:w="1185"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lang w:eastAsia="zh-CN"/>
              </w:rPr>
              <w:t>对</w:t>
            </w:r>
            <w:r>
              <w:rPr>
                <w:rFonts w:hint="eastAsia" w:ascii="仿宋" w:hAnsi="仿宋" w:eastAsia="仿宋" w:cs="Arial"/>
                <w:b/>
                <w:bCs/>
                <w:color w:val="auto"/>
                <w:szCs w:val="21"/>
              </w:rPr>
              <w:t>医疗机构的处罚</w:t>
            </w:r>
          </w:p>
        </w:tc>
        <w:tc>
          <w:tcPr>
            <w:tcW w:w="3206" w:type="dxa"/>
            <w:vAlign w:val="center"/>
          </w:tcPr>
          <w:p>
            <w:pPr>
              <w:widowControl/>
              <w:adjustRightInd w:val="0"/>
              <w:snapToGrid w:val="0"/>
              <w:spacing w:line="240" w:lineRule="exact"/>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c>
          <w:tcPr>
            <w:tcW w:w="2765" w:type="dxa"/>
            <w:vAlign w:val="center"/>
          </w:tcPr>
          <w:p>
            <w:pPr>
              <w:widowControl/>
              <w:adjustRightInd w:val="0"/>
              <w:snapToGrid w:val="0"/>
              <w:spacing w:line="240" w:lineRule="exact"/>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c>
          <w:tcPr>
            <w:tcW w:w="2766" w:type="dxa"/>
            <w:vAlign w:val="center"/>
          </w:tcPr>
          <w:p>
            <w:pPr>
              <w:widowControl/>
              <w:adjustRightInd w:val="0"/>
              <w:snapToGrid w:val="0"/>
              <w:spacing w:line="240" w:lineRule="exact"/>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c>
          <w:tcPr>
            <w:tcW w:w="2835" w:type="dxa"/>
            <w:vAlign w:val="center"/>
          </w:tcPr>
          <w:p>
            <w:pPr>
              <w:widowControl/>
              <w:adjustRightInd w:val="0"/>
              <w:snapToGrid w:val="0"/>
              <w:spacing w:line="240" w:lineRule="exact"/>
              <w:rPr>
                <w:rFonts w:hint="eastAsia" w:ascii="仿宋" w:hAnsi="仿宋" w:eastAsia="仿宋" w:cs="Arial"/>
                <w:b/>
                <w:bCs/>
                <w:color w:val="auto"/>
                <w:szCs w:val="21"/>
              </w:rPr>
            </w:pPr>
            <w:r>
              <w:rPr>
                <w:rFonts w:hint="eastAsia" w:ascii="仿宋" w:hAnsi="仿宋" w:eastAsia="仿宋" w:cs="Arial"/>
                <w:color w:val="auto"/>
                <w:szCs w:val="21"/>
              </w:rPr>
              <w:t>责令限期改正，给予警告。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0" w:hRule="atLeast"/>
        </w:trPr>
        <w:tc>
          <w:tcPr>
            <w:tcW w:w="534" w:type="dxa"/>
            <w:vMerge w:val="continue"/>
            <w:vAlign w:val="center"/>
          </w:tcPr>
          <w:p>
            <w:pPr>
              <w:widowControl/>
              <w:adjustRightInd w:val="0"/>
              <w:snapToGrid w:val="0"/>
              <w:rPr>
                <w:color w:val="auto"/>
              </w:rPr>
            </w:pPr>
          </w:p>
        </w:tc>
        <w:tc>
          <w:tcPr>
            <w:tcW w:w="567" w:type="dxa"/>
            <w:vMerge w:val="continue"/>
            <w:vAlign w:val="center"/>
          </w:tcPr>
          <w:p>
            <w:pPr>
              <w:widowControl/>
              <w:adjustRightInd w:val="0"/>
              <w:snapToGrid w:val="0"/>
              <w:rPr>
                <w:color w:val="auto"/>
              </w:rPr>
            </w:pPr>
          </w:p>
        </w:tc>
        <w:tc>
          <w:tcPr>
            <w:tcW w:w="1185" w:type="dxa"/>
            <w:vMerge w:val="continue"/>
            <w:vAlign w:val="center"/>
          </w:tcPr>
          <w:p>
            <w:pPr>
              <w:widowControl/>
              <w:adjustRightInd w:val="0"/>
              <w:snapToGrid w:val="0"/>
              <w:rPr>
                <w:color w:val="auto"/>
              </w:rPr>
            </w:pPr>
          </w:p>
        </w:tc>
        <w:tc>
          <w:tcPr>
            <w:tcW w:w="3206" w:type="dxa"/>
            <w:vAlign w:val="center"/>
          </w:tcPr>
          <w:p>
            <w:pPr>
              <w:widowControl/>
              <w:adjustRightInd w:val="0"/>
              <w:snapToGrid w:val="0"/>
              <w:rPr>
                <w:rFonts w:hint="eastAsia" w:ascii="仿宋" w:hAnsi="仿宋" w:eastAsia="仿宋" w:cs="Arial"/>
                <w:b/>
                <w:bCs/>
                <w:color w:val="auto"/>
                <w:szCs w:val="21"/>
              </w:rPr>
            </w:pPr>
            <w:r>
              <w:rPr>
                <w:rFonts w:hint="eastAsia" w:ascii="仿宋" w:hAnsi="仿宋" w:eastAsia="仿宋" w:cs="Arial"/>
                <w:color w:val="auto"/>
                <w:szCs w:val="21"/>
              </w:rPr>
              <w:t>逾期不改正的，处0.5万元以上5万元以下的罚款。</w:t>
            </w:r>
          </w:p>
        </w:tc>
        <w:tc>
          <w:tcPr>
            <w:tcW w:w="2765" w:type="dxa"/>
            <w:vAlign w:val="center"/>
          </w:tcPr>
          <w:p>
            <w:pPr>
              <w:widowControl/>
              <w:adjustRightInd w:val="0"/>
              <w:snapToGrid w:val="0"/>
              <w:rPr>
                <w:rFonts w:hint="eastAsia" w:ascii="仿宋" w:hAnsi="仿宋" w:eastAsia="仿宋" w:cs="Arial"/>
                <w:b/>
                <w:bCs/>
                <w:color w:val="auto"/>
                <w:szCs w:val="21"/>
              </w:rPr>
            </w:pPr>
            <w:r>
              <w:rPr>
                <w:rFonts w:hint="eastAsia" w:ascii="仿宋" w:hAnsi="仿宋" w:eastAsia="仿宋" w:cs="Arial"/>
                <w:color w:val="auto"/>
                <w:szCs w:val="21"/>
              </w:rPr>
              <w:t>逾期不改正的，处5万元以上18.5万元以下的罚款。</w:t>
            </w:r>
          </w:p>
        </w:tc>
        <w:tc>
          <w:tcPr>
            <w:tcW w:w="2766" w:type="dxa"/>
            <w:vAlign w:val="center"/>
          </w:tcPr>
          <w:p>
            <w:pPr>
              <w:widowControl/>
              <w:adjustRightInd w:val="0"/>
              <w:snapToGrid w:val="0"/>
              <w:rPr>
                <w:rFonts w:hint="eastAsia" w:ascii="仿宋" w:hAnsi="仿宋" w:eastAsia="仿宋" w:cs="Arial"/>
                <w:b/>
                <w:bCs/>
                <w:color w:val="auto"/>
                <w:szCs w:val="21"/>
              </w:rPr>
            </w:pPr>
            <w:r>
              <w:rPr>
                <w:rFonts w:hint="eastAsia" w:ascii="仿宋" w:hAnsi="仿宋" w:eastAsia="仿宋" w:cs="Arial"/>
                <w:color w:val="auto"/>
                <w:szCs w:val="21"/>
              </w:rPr>
              <w:t>逾期不改正的，处18.5万元以上36.5万元以下的罚款。</w:t>
            </w:r>
          </w:p>
        </w:tc>
        <w:tc>
          <w:tcPr>
            <w:tcW w:w="2835" w:type="dxa"/>
            <w:vAlign w:val="center"/>
          </w:tcPr>
          <w:p>
            <w:pPr>
              <w:widowControl/>
              <w:adjustRightInd w:val="0"/>
              <w:snapToGrid w:val="0"/>
              <w:rPr>
                <w:rFonts w:hint="eastAsia" w:ascii="仿宋" w:hAnsi="仿宋" w:eastAsia="仿宋" w:cs="Arial"/>
                <w:b/>
                <w:bCs/>
                <w:color w:val="auto"/>
                <w:szCs w:val="21"/>
              </w:rPr>
            </w:pPr>
            <w:r>
              <w:rPr>
                <w:rFonts w:hint="eastAsia" w:ascii="仿宋" w:hAnsi="仿宋" w:eastAsia="仿宋" w:cs="Arial"/>
                <w:color w:val="auto"/>
                <w:szCs w:val="21"/>
              </w:rPr>
              <w:t>逾期不改正的，处36.5万元以上50万元以下的罚款。</w:t>
            </w:r>
          </w:p>
        </w:tc>
      </w:tr>
    </w:tbl>
    <w:p>
      <w:pPr>
        <w:widowControl/>
        <w:tabs>
          <w:tab w:val="left" w:pos="15"/>
          <w:tab w:val="left" w:pos="900"/>
          <w:tab w:val="left" w:pos="1705"/>
          <w:tab w:val="left" w:pos="2537"/>
          <w:tab w:val="left" w:pos="5721"/>
          <w:tab w:val="left" w:pos="7937"/>
          <w:tab w:val="left" w:pos="10101"/>
          <w:tab w:val="left" w:pos="13666"/>
        </w:tabs>
        <w:adjustRightInd w:val="0"/>
        <w:spacing w:line="180" w:lineRule="exact"/>
        <w:jc w:val="left"/>
        <w:rPr>
          <w:rFonts w:ascii="仿宋" w:hAnsi="仿宋" w:eastAsia="仿宋" w:cs="宋体"/>
          <w:color w:val="auto"/>
          <w:szCs w:val="21"/>
        </w:rPr>
      </w:pPr>
      <w:r>
        <w:rPr>
          <w:rFonts w:ascii="仿宋" w:hAnsi="仿宋" w:eastAsia="仿宋" w:cs="宋体"/>
          <w:color w:val="auto"/>
          <w:szCs w:val="21"/>
        </w:rPr>
        <w:tab/>
      </w:r>
    </w:p>
    <w:tbl>
      <w:tblPr>
        <w:tblStyle w:val="7"/>
        <w:tblW w:w="13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33"/>
        <w:gridCol w:w="564"/>
        <w:gridCol w:w="985"/>
        <w:gridCol w:w="1094"/>
        <w:gridCol w:w="2791"/>
        <w:gridCol w:w="2884"/>
        <w:gridCol w:w="5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 w:hRule="atLeast"/>
        </w:trPr>
        <w:tc>
          <w:tcPr>
            <w:tcW w:w="533" w:type="dxa"/>
            <w:vMerge w:val="restart"/>
            <w:vAlign w:val="center"/>
          </w:tcPr>
          <w:p>
            <w:pPr>
              <w:widowControl/>
              <w:adjustRightInd w:val="0"/>
              <w:snapToGrid w:val="0"/>
              <w:jc w:val="center"/>
              <w:rPr>
                <w:rFonts w:ascii="仿宋" w:hAnsi="仿宋" w:eastAsia="仿宋" w:cs="宋体"/>
                <w:b/>
                <w:color w:val="auto"/>
                <w:szCs w:val="21"/>
              </w:rPr>
            </w:pPr>
            <w:r>
              <w:rPr>
                <w:rFonts w:hint="eastAsia" w:ascii="仿宋" w:hAnsi="仿宋" w:eastAsia="仿宋" w:cs="宋体"/>
                <w:b/>
                <w:color w:val="auto"/>
                <w:szCs w:val="21"/>
              </w:rPr>
              <w:t>17</w:t>
            </w:r>
          </w:p>
        </w:tc>
        <w:tc>
          <w:tcPr>
            <w:tcW w:w="2643"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0714"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药品上市许可持有人在省、自治区、直辖市人民政府药品监督管理部门责令其召回后，拒不召回的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6" w:hRule="atLeast"/>
        </w:trPr>
        <w:tc>
          <w:tcPr>
            <w:tcW w:w="533" w:type="dxa"/>
            <w:vMerge w:val="continue"/>
            <w:vAlign w:val="center"/>
          </w:tcPr>
          <w:p>
            <w:pPr>
              <w:widowControl/>
              <w:adjustRightInd w:val="0"/>
              <w:snapToGrid w:val="0"/>
              <w:jc w:val="center"/>
              <w:rPr>
                <w:rFonts w:ascii="仿宋" w:hAnsi="仿宋" w:eastAsia="仿宋" w:cs="Arial"/>
                <w:color w:val="auto"/>
                <w:szCs w:val="21"/>
              </w:rPr>
            </w:pPr>
          </w:p>
        </w:tc>
        <w:tc>
          <w:tcPr>
            <w:tcW w:w="2643" w:type="dxa"/>
            <w:gridSpan w:val="3"/>
            <w:vAlign w:val="center"/>
          </w:tcPr>
          <w:p>
            <w:pPr>
              <w:widowControl/>
              <w:adjustRightInd w:val="0"/>
              <w:snapToGrid w:val="0"/>
              <w:jc w:val="center"/>
              <w:rPr>
                <w:rFonts w:ascii="仿宋" w:hAnsi="仿宋" w:eastAsia="仿宋" w:cs="Arial"/>
                <w:color w:val="auto"/>
                <w:szCs w:val="21"/>
              </w:rPr>
            </w:pP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0714"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《药品管理法》第一百三十五条：</w:t>
            </w:r>
            <w:r>
              <w:rPr>
                <w:rFonts w:hint="eastAsia" w:ascii="仿宋" w:hAnsi="仿宋" w:eastAsia="仿宋" w:cs="Arial"/>
                <w:color w:val="auto"/>
                <w:szCs w:val="21"/>
              </w:rPr>
              <w:t>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 w:hRule="atLeast"/>
        </w:trPr>
        <w:tc>
          <w:tcPr>
            <w:tcW w:w="533" w:type="dxa"/>
            <w:vMerge w:val="continue"/>
            <w:vAlign w:val="center"/>
          </w:tcPr>
          <w:p>
            <w:pPr>
              <w:widowControl/>
              <w:adjustRightInd w:val="0"/>
              <w:snapToGrid w:val="0"/>
              <w:jc w:val="center"/>
              <w:rPr>
                <w:rFonts w:ascii="仿宋" w:hAnsi="仿宋" w:eastAsia="仿宋" w:cs="Arial"/>
                <w:color w:val="auto"/>
                <w:szCs w:val="21"/>
              </w:rPr>
            </w:pPr>
          </w:p>
        </w:tc>
        <w:tc>
          <w:tcPr>
            <w:tcW w:w="2643"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79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88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503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7" w:hRule="atLeast"/>
        </w:trPr>
        <w:tc>
          <w:tcPr>
            <w:tcW w:w="533" w:type="dxa"/>
            <w:vMerge w:val="continue"/>
            <w:vAlign w:val="center"/>
          </w:tcPr>
          <w:p>
            <w:pPr>
              <w:widowControl/>
              <w:adjustRightInd w:val="0"/>
              <w:snapToGrid w:val="0"/>
              <w:jc w:val="center"/>
              <w:rPr>
                <w:rFonts w:ascii="仿宋" w:hAnsi="仿宋" w:eastAsia="仿宋" w:cs="Arial"/>
                <w:color w:val="auto"/>
                <w:szCs w:val="21"/>
              </w:rPr>
            </w:pPr>
          </w:p>
        </w:tc>
        <w:tc>
          <w:tcPr>
            <w:tcW w:w="2643" w:type="dxa"/>
            <w:gridSpan w:val="3"/>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79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（一）涉及三级召回的；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8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03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（一）涉及一级召回的；涉案药品风险性较高的；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6" w:hRule="atLeast"/>
        </w:trPr>
        <w:tc>
          <w:tcPr>
            <w:tcW w:w="533" w:type="dxa"/>
            <w:vMerge w:val="continue"/>
            <w:vAlign w:val="center"/>
          </w:tcPr>
          <w:p>
            <w:pPr>
              <w:widowControl/>
              <w:adjustRightInd w:val="0"/>
              <w:snapToGrid w:val="0"/>
              <w:jc w:val="center"/>
              <w:rPr>
                <w:rFonts w:ascii="仿宋" w:hAnsi="仿宋" w:eastAsia="仿宋" w:cs="Arial"/>
                <w:color w:val="auto"/>
                <w:szCs w:val="21"/>
              </w:rPr>
            </w:pPr>
          </w:p>
        </w:tc>
        <w:tc>
          <w:tcPr>
            <w:tcW w:w="564" w:type="dxa"/>
            <w:vMerge w:val="restart"/>
            <w:vAlign w:val="center"/>
          </w:tcPr>
          <w:p>
            <w:pPr>
              <w:widowControl/>
              <w:adjustRightInd w:val="0"/>
              <w:snapToGrid w:val="0"/>
              <w:jc w:val="center"/>
              <w:rPr>
                <w:rFonts w:ascii="仿宋" w:hAnsi="仿宋" w:eastAsia="仿宋" w:cs="Arial"/>
                <w:color w:val="auto"/>
                <w:szCs w:val="21"/>
              </w:rPr>
            </w:pPr>
          </w:p>
          <w:p>
            <w:pPr>
              <w:widowControl/>
              <w:adjustRightInd w:val="0"/>
              <w:snapToGrid w:val="0"/>
              <w:jc w:val="center"/>
              <w:rPr>
                <w:rFonts w:ascii="仿宋" w:hAnsi="仿宋" w:eastAsia="仿宋" w:cs="Arial"/>
                <w:color w:val="auto"/>
                <w:szCs w:val="21"/>
              </w:rPr>
            </w:pP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985"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药品上市许可持有人拒不召回违法行为的处罚</w:t>
            </w:r>
          </w:p>
        </w:tc>
        <w:tc>
          <w:tcPr>
            <w:tcW w:w="109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一般情形的处罚</w:t>
            </w:r>
          </w:p>
        </w:tc>
        <w:tc>
          <w:tcPr>
            <w:tcW w:w="279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处应召回药品货值金额5倍以上6.5倍以下的罚款；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c>
          <w:tcPr>
            <w:tcW w:w="288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处应召回药品货值金额6.5倍以上8.5倍以下的罚款；</w:t>
            </w: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c>
          <w:tcPr>
            <w:tcW w:w="503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处应召回药品货值金额8.5倍以上10倍以下的罚款；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6" w:hRule="atLeast"/>
        </w:trPr>
        <w:tc>
          <w:tcPr>
            <w:tcW w:w="533" w:type="dxa"/>
            <w:vMerge w:val="continue"/>
            <w:vAlign w:val="center"/>
          </w:tcPr>
          <w:p>
            <w:pPr>
              <w:widowControl/>
              <w:adjustRightInd w:val="0"/>
              <w:snapToGrid w:val="0"/>
              <w:jc w:val="center"/>
              <w:rPr>
                <w:rFonts w:ascii="仿宋" w:hAnsi="仿宋" w:eastAsia="仿宋" w:cs="Arial"/>
                <w:color w:val="auto"/>
                <w:szCs w:val="21"/>
              </w:rPr>
            </w:pPr>
          </w:p>
        </w:tc>
        <w:tc>
          <w:tcPr>
            <w:tcW w:w="564" w:type="dxa"/>
            <w:vMerge w:val="continue"/>
            <w:vAlign w:val="center"/>
          </w:tcPr>
          <w:p>
            <w:pPr>
              <w:widowControl/>
              <w:adjustRightInd w:val="0"/>
              <w:snapToGrid w:val="0"/>
              <w:jc w:val="center"/>
              <w:rPr>
                <w:rFonts w:ascii="仿宋" w:hAnsi="仿宋" w:eastAsia="仿宋" w:cs="Arial"/>
                <w:color w:val="auto"/>
                <w:szCs w:val="21"/>
              </w:rPr>
            </w:pPr>
          </w:p>
        </w:tc>
        <w:tc>
          <w:tcPr>
            <w:tcW w:w="985" w:type="dxa"/>
            <w:vMerge w:val="continue"/>
            <w:vAlign w:val="center"/>
          </w:tcPr>
          <w:p>
            <w:pPr>
              <w:widowControl/>
              <w:adjustRightInd w:val="0"/>
              <w:snapToGrid w:val="0"/>
              <w:jc w:val="center"/>
              <w:rPr>
                <w:rFonts w:ascii="仿宋" w:hAnsi="仿宋" w:eastAsia="仿宋" w:cs="Arial"/>
                <w:color w:val="auto"/>
                <w:szCs w:val="21"/>
              </w:rPr>
            </w:pPr>
          </w:p>
        </w:tc>
        <w:tc>
          <w:tcPr>
            <w:tcW w:w="109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情节严重的处</w:t>
            </w:r>
          </w:p>
        </w:tc>
        <w:tc>
          <w:tcPr>
            <w:tcW w:w="2791" w:type="dxa"/>
            <w:vAlign w:val="center"/>
          </w:tcPr>
          <w:p>
            <w:pPr>
              <w:widowControl/>
              <w:numPr>
                <w:ilvl w:val="0"/>
                <w:numId w:val="2"/>
              </w:numPr>
              <w:adjustRightInd w:val="0"/>
              <w:snapToGrid w:val="0"/>
              <w:rPr>
                <w:rFonts w:hint="eastAsia" w:ascii="仿宋" w:hAnsi="仿宋" w:eastAsia="仿宋" w:cs="Arial"/>
                <w:color w:val="auto"/>
                <w:szCs w:val="21"/>
                <w:lang w:eastAsia="zh-CN"/>
              </w:rPr>
            </w:pPr>
            <w:r>
              <w:rPr>
                <w:rFonts w:hint="eastAsia" w:ascii="仿宋" w:hAnsi="仿宋" w:eastAsia="仿宋" w:cs="Arial"/>
                <w:color w:val="auto"/>
                <w:szCs w:val="21"/>
              </w:rPr>
              <w:t>吊销药品批准证明文件、药品生产许可证、药品经营许可证</w:t>
            </w:r>
            <w:r>
              <w:rPr>
                <w:rFonts w:hint="eastAsia" w:ascii="仿宋" w:hAnsi="仿宋" w:eastAsia="仿宋" w:cs="Arial"/>
                <w:color w:val="auto"/>
                <w:szCs w:val="21"/>
                <w:lang w:eastAsia="zh-CN"/>
              </w:rPr>
              <w:t>；</w:t>
            </w:r>
          </w:p>
          <w:p>
            <w:pPr>
              <w:widowControl/>
              <w:numPr>
                <w:ilvl w:val="0"/>
                <w:numId w:val="2"/>
              </w:numPr>
              <w:adjustRightInd w:val="0"/>
              <w:snapToGrid w:val="0"/>
              <w:rPr>
                <w:rFonts w:ascii="仿宋" w:hAnsi="仿宋" w:eastAsia="仿宋" w:cs="Arial"/>
                <w:color w:val="auto"/>
                <w:szCs w:val="21"/>
              </w:rPr>
            </w:pPr>
            <w:r>
              <w:rPr>
                <w:rFonts w:hint="eastAsia" w:ascii="仿宋" w:hAnsi="仿宋" w:eastAsia="仿宋" w:cs="Arial"/>
                <w:color w:val="auto"/>
                <w:szCs w:val="21"/>
              </w:rPr>
              <w:t>对法定代表人、主要负责人、直接负责的主管人员和其他责任人员，处2万元以上7.4万元以下的罚款。</w:t>
            </w:r>
          </w:p>
        </w:tc>
        <w:tc>
          <w:tcPr>
            <w:tcW w:w="2884" w:type="dxa"/>
            <w:vAlign w:val="center"/>
          </w:tcPr>
          <w:p>
            <w:pPr>
              <w:widowControl/>
              <w:numPr>
                <w:ilvl w:val="-1"/>
                <w:numId w:val="0"/>
              </w:numPr>
              <w:adjustRightInd w:val="0"/>
              <w:snapToGrid w:val="0"/>
              <w:rPr>
                <w:rFonts w:hint="eastAsia" w:ascii="仿宋" w:hAnsi="仿宋" w:eastAsia="仿宋" w:cs="Arial"/>
                <w:color w:val="auto"/>
                <w:szCs w:val="21"/>
                <w:lang w:eastAsia="zh-CN"/>
              </w:rPr>
            </w:pPr>
            <w:r>
              <w:rPr>
                <w:rFonts w:hint="eastAsia" w:ascii="仿宋" w:hAnsi="仿宋" w:eastAsia="仿宋" w:cs="Arial"/>
                <w:color w:val="auto"/>
                <w:szCs w:val="21"/>
                <w:lang w:val="en-US" w:eastAsia="zh-CN"/>
              </w:rPr>
              <w:t>1.</w:t>
            </w:r>
            <w:r>
              <w:rPr>
                <w:rFonts w:hint="eastAsia" w:ascii="仿宋" w:hAnsi="仿宋" w:eastAsia="仿宋" w:cs="Arial"/>
                <w:color w:val="auto"/>
                <w:szCs w:val="21"/>
              </w:rPr>
              <w:t>吊销药品批准证明文件、药品生产许可证、药品经营许可证</w:t>
            </w:r>
            <w:r>
              <w:rPr>
                <w:rFonts w:hint="eastAsia" w:ascii="仿宋" w:hAnsi="仿宋" w:eastAsia="仿宋" w:cs="Arial"/>
                <w:color w:val="auto"/>
                <w:szCs w:val="21"/>
                <w:lang w:eastAsia="zh-CN"/>
              </w:rPr>
              <w:t>；</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2.</w:t>
            </w:r>
            <w:r>
              <w:rPr>
                <w:rFonts w:hint="eastAsia" w:ascii="仿宋" w:hAnsi="仿宋" w:eastAsia="仿宋" w:cs="Arial"/>
                <w:color w:val="auto"/>
                <w:szCs w:val="21"/>
              </w:rPr>
              <w:t>对法定代表人、主要负责人、直接负责的主管人员和其他责任人员，处7.4万元以上14.6万元以下的罚款。</w:t>
            </w:r>
          </w:p>
        </w:tc>
        <w:tc>
          <w:tcPr>
            <w:tcW w:w="503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吊销药品批准证明文件、药品生产许可证、药品经营许可证；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对法定代表人、主要负责人、直接负责的主管人员和其他责任人员，处14.6万元以上20万元以下的罚款。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1" w:hRule="atLeast"/>
        </w:trPr>
        <w:tc>
          <w:tcPr>
            <w:tcW w:w="533" w:type="dxa"/>
            <w:vMerge w:val="continue"/>
            <w:vAlign w:val="center"/>
          </w:tcPr>
          <w:p>
            <w:pPr>
              <w:widowControl/>
              <w:adjustRightInd w:val="0"/>
              <w:snapToGrid w:val="0"/>
              <w:jc w:val="center"/>
              <w:rPr>
                <w:rFonts w:ascii="仿宋" w:hAnsi="仿宋" w:eastAsia="仿宋" w:cs="Arial"/>
                <w:color w:val="auto"/>
                <w:szCs w:val="21"/>
              </w:rPr>
            </w:pPr>
          </w:p>
        </w:tc>
        <w:tc>
          <w:tcPr>
            <w:tcW w:w="564" w:type="dxa"/>
            <w:vMerge w:val="continue"/>
            <w:vAlign w:val="center"/>
          </w:tcPr>
          <w:p>
            <w:pPr>
              <w:widowControl/>
              <w:adjustRightInd w:val="0"/>
              <w:snapToGrid w:val="0"/>
              <w:jc w:val="center"/>
              <w:rPr>
                <w:rFonts w:ascii="仿宋" w:hAnsi="仿宋" w:eastAsia="仿宋" w:cs="Arial"/>
                <w:color w:val="auto"/>
                <w:szCs w:val="21"/>
              </w:rPr>
            </w:pPr>
          </w:p>
        </w:tc>
        <w:tc>
          <w:tcPr>
            <w:tcW w:w="2079"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药品生产企业、药品经营企业、医疗机构拒不配合召回的处罚</w:t>
            </w:r>
          </w:p>
        </w:tc>
        <w:tc>
          <w:tcPr>
            <w:tcW w:w="279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处10万元以上22万元以下的罚款。</w:t>
            </w:r>
          </w:p>
        </w:tc>
        <w:tc>
          <w:tcPr>
            <w:tcW w:w="288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处22万元以上38万元以下的罚款。</w:t>
            </w:r>
          </w:p>
        </w:tc>
        <w:tc>
          <w:tcPr>
            <w:tcW w:w="503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处38万元以上50万元以下的罚款。</w:t>
            </w:r>
          </w:p>
        </w:tc>
      </w:tr>
    </w:tbl>
    <w:p>
      <w:pPr>
        <w:widowControl/>
        <w:tabs>
          <w:tab w:val="left" w:pos="805"/>
          <w:tab w:val="left" w:pos="1232"/>
          <w:tab w:val="left" w:pos="2901"/>
          <w:tab w:val="left" w:pos="6022"/>
          <w:tab w:val="left" w:pos="8922"/>
        </w:tabs>
        <w:adjustRightInd w:val="0"/>
        <w:snapToGrid w:val="0"/>
        <w:jc w:val="left"/>
        <w:rPr>
          <w:rFonts w:ascii="仿宋" w:hAnsi="仿宋" w:eastAsia="仿宋" w:cs="Arial"/>
          <w:color w:val="auto"/>
          <w:szCs w:val="21"/>
        </w:rPr>
      </w:pPr>
    </w:p>
    <w:tbl>
      <w:tblPr>
        <w:tblStyle w:val="7"/>
        <w:tblW w:w="13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683"/>
        <w:gridCol w:w="2774"/>
        <w:gridCol w:w="2662"/>
        <w:gridCol w:w="3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18</w:t>
            </w: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149"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药品上市许可持有人、药品生产企业、药品经营企业或者医疗机构违反本法规定聘用人员的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149"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《药品管理法》第一百四十条：</w:t>
            </w:r>
            <w:r>
              <w:rPr>
                <w:rFonts w:hint="eastAsia" w:ascii="仿宋" w:hAnsi="仿宋" w:eastAsia="仿宋" w:cs="Arial"/>
                <w:color w:val="auto"/>
                <w:szCs w:val="21"/>
              </w:rPr>
              <w:t>药品上市许可持有人、药品生产企业、药品经营企业或者医疗机构违反本法规定聘用人员的，由药品监督管理部门或者卫生健康主管部门责令解聘，处五万元以上二十万元以下的罚款。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68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77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66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03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8"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68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77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（一）两年内仅违反规定聘用人员1人的；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（二）其他符合裁量规则从轻处罚情形的。</w:t>
            </w:r>
          </w:p>
        </w:tc>
        <w:tc>
          <w:tcPr>
            <w:tcW w:w="266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3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（一）两年内累计违反规定聘用人员3人以上</w:t>
            </w:r>
            <w:r>
              <w:rPr>
                <w:rFonts w:hint="eastAsia" w:ascii="仿宋" w:hAnsi="仿宋" w:eastAsia="仿宋" w:cs="Arial"/>
                <w:color w:val="auto"/>
                <w:szCs w:val="21"/>
                <w:lang w:val="en-US" w:eastAsia="zh-CN"/>
              </w:rPr>
              <w:t>(含3人）</w:t>
            </w:r>
            <w:r>
              <w:rPr>
                <w:rFonts w:hint="eastAsia" w:ascii="仿宋" w:hAnsi="仿宋" w:eastAsia="仿宋" w:cs="Arial"/>
                <w:color w:val="auto"/>
                <w:szCs w:val="21"/>
              </w:rPr>
              <w:t>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8"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368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r>
              <w:rPr>
                <w:rFonts w:hint="eastAsia" w:ascii="仿宋" w:hAnsi="仿宋" w:eastAsia="仿宋" w:cs="Arial"/>
                <w:b/>
                <w:bCs/>
                <w:color w:val="auto"/>
                <w:szCs w:val="21"/>
              </w:rPr>
              <w:t>2.</w:t>
            </w:r>
            <w:r>
              <w:rPr>
                <w:rFonts w:hint="eastAsia" w:ascii="仿宋" w:hAnsi="仿宋" w:eastAsia="仿宋" w:cs="Arial"/>
                <w:color w:val="auto"/>
                <w:szCs w:val="21"/>
              </w:rPr>
              <w:t>处0.5万元以上5万元以下的罚款。</w:t>
            </w:r>
          </w:p>
        </w:tc>
        <w:tc>
          <w:tcPr>
            <w:tcW w:w="2774" w:type="dxa"/>
            <w:vAlign w:val="center"/>
          </w:tcPr>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处5万元以上9.5万元以下的罚款。</w:t>
            </w:r>
          </w:p>
        </w:tc>
        <w:tc>
          <w:tcPr>
            <w:tcW w:w="2662" w:type="dxa"/>
            <w:vAlign w:val="center"/>
          </w:tcPr>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处9.5万元以上15.5万元以下的罚款。</w:t>
            </w:r>
          </w:p>
        </w:tc>
        <w:tc>
          <w:tcPr>
            <w:tcW w:w="3030" w:type="dxa"/>
            <w:vAlign w:val="center"/>
          </w:tcPr>
          <w:p>
            <w:pPr>
              <w:widowControl/>
              <w:adjustRightInd w:val="0"/>
              <w:snapToGrid w:val="0"/>
              <w:rPr>
                <w:rFonts w:hint="eastAsia"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责令解聘；</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处15.5万元以上20万元以下的罚款。</w:t>
            </w:r>
          </w:p>
        </w:tc>
      </w:tr>
    </w:tbl>
    <w:p>
      <w:pPr>
        <w:widowControl/>
        <w:tabs>
          <w:tab w:val="left" w:pos="805"/>
          <w:tab w:val="left" w:pos="2871"/>
          <w:tab w:val="left" w:pos="5518"/>
          <w:tab w:val="left" w:pos="8292"/>
          <w:tab w:val="left" w:pos="10954"/>
        </w:tabs>
        <w:adjustRightInd w:val="0"/>
        <w:snapToGrid w:val="0"/>
        <w:jc w:val="left"/>
        <w:rPr>
          <w:rFonts w:ascii="宋体" w:hAnsi="宋体" w:eastAsia="宋体" w:cs="宋体"/>
          <w:color w:val="auto"/>
          <w:szCs w:val="21"/>
        </w:rPr>
      </w:pPr>
    </w:p>
    <w:p>
      <w:pPr>
        <w:widowControl/>
        <w:tabs>
          <w:tab w:val="left" w:pos="805"/>
          <w:tab w:val="left" w:pos="2871"/>
          <w:tab w:val="left" w:pos="5518"/>
          <w:tab w:val="left" w:pos="8292"/>
          <w:tab w:val="left" w:pos="10954"/>
        </w:tabs>
        <w:adjustRightInd w:val="0"/>
        <w:snapToGrid w:val="0"/>
        <w:jc w:val="left"/>
        <w:rPr>
          <w:rFonts w:ascii="宋体" w:hAnsi="宋体" w:eastAsia="宋体" w:cs="宋体"/>
          <w:color w:val="auto"/>
          <w:szCs w:val="21"/>
        </w:rPr>
      </w:pPr>
    </w:p>
    <w:tbl>
      <w:tblPr>
        <w:tblStyle w:val="7"/>
        <w:tblW w:w="137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3"/>
        <w:gridCol w:w="2903"/>
        <w:gridCol w:w="2997"/>
        <w:gridCol w:w="2801"/>
        <w:gridCol w:w="3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19</w:t>
            </w:r>
          </w:p>
        </w:tc>
        <w:tc>
          <w:tcPr>
            <w:tcW w:w="10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127" w:type="dxa"/>
            <w:gridSpan w:val="4"/>
            <w:vAlign w:val="center"/>
          </w:tcPr>
          <w:p>
            <w:pPr>
              <w:widowControl/>
              <w:adjustRightInd w:val="0"/>
              <w:snapToGrid w:val="0"/>
              <w:ind w:right="210"/>
              <w:rPr>
                <w:rFonts w:ascii="仿宋" w:hAnsi="仿宋" w:eastAsia="仿宋" w:cs="Arial"/>
                <w:color w:val="auto"/>
                <w:szCs w:val="21"/>
              </w:rPr>
            </w:pPr>
            <w:r>
              <w:rPr>
                <w:rFonts w:hint="eastAsia" w:ascii="仿宋" w:hAnsi="仿宋" w:eastAsia="仿宋" w:cs="Arial"/>
                <w:b/>
                <w:bCs/>
                <w:color w:val="auto"/>
                <w:szCs w:val="21"/>
              </w:rPr>
              <w:t>生产、销售的疫苗属于假药的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0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127"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《疫苗管理法》第八十条第一款：</w:t>
            </w:r>
            <w:r>
              <w:rPr>
                <w:rFonts w:hint="eastAsia" w:ascii="仿宋" w:hAnsi="仿宋" w:eastAsia="仿宋" w:cs="Arial"/>
                <w:color w:val="auto"/>
                <w:szCs w:val="21"/>
              </w:rPr>
              <w:t>生产、销售的疫苗属于假药的，由省级以上人民政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0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903"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减轻</w:t>
            </w:r>
          </w:p>
        </w:tc>
        <w:tc>
          <w:tcPr>
            <w:tcW w:w="2997"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从轻</w:t>
            </w:r>
          </w:p>
        </w:tc>
        <w:tc>
          <w:tcPr>
            <w:tcW w:w="28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426"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0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90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（一）涉案疫苗尚未被销售或使用的；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4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p>
            <w:pPr>
              <w:widowControl/>
              <w:adjustRightInd w:val="0"/>
              <w:snapToGrid w:val="0"/>
              <w:rPr>
                <w:rFonts w:ascii="仿宋" w:hAnsi="仿宋" w:eastAsia="仿宋"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9"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083"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290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吊销药品注册证书，直至吊销药品生产许可证等；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并处违法生产、销售疫苗货值金额1.5倍以上15倍以下的罚款；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c>
          <w:tcPr>
            <w:tcW w:w="29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吊销药品注册证书，直至吊销药品生产许可证等；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并处违法生产、销售疫苗货值金额15倍以上25.5倍以下的罚款；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c>
          <w:tcPr>
            <w:tcW w:w="28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吊销药品注册证书，直至吊销药品生产许可证等；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并处违法生产、销售药品货值金额以25.5倍上39.5倍以下的罚款；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c>
          <w:tcPr>
            <w:tcW w:w="34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吊销药品生产许可证书，直至吊销药品生产许可证等；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4.</w:t>
            </w:r>
            <w:r>
              <w:rPr>
                <w:rFonts w:hint="eastAsia" w:ascii="仿宋" w:hAnsi="仿宋" w:eastAsia="仿宋" w:cs="Arial"/>
                <w:color w:val="auto"/>
                <w:szCs w:val="21"/>
              </w:rPr>
              <w:t>并处违法生产、销售疫苗货值金额39.5倍以上50倍以下的罚款；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5.</w:t>
            </w:r>
            <w:r>
              <w:rPr>
                <w:rFonts w:hint="eastAsia" w:ascii="仿宋" w:hAnsi="仿宋" w:eastAsia="仿宋" w:cs="Arial"/>
                <w:color w:val="auto"/>
                <w:szCs w:val="21"/>
              </w:rPr>
              <w:t>货值金额不足50万元的，按50万元计算。</w:t>
            </w:r>
          </w:p>
        </w:tc>
      </w:tr>
    </w:tbl>
    <w:p>
      <w:pPr>
        <w:widowControl/>
        <w:tabs>
          <w:tab w:val="left" w:pos="679"/>
          <w:tab w:val="left" w:pos="1643"/>
          <w:tab w:val="left" w:pos="4546"/>
          <w:tab w:val="left" w:pos="7543"/>
          <w:tab w:val="left" w:pos="10344"/>
        </w:tabs>
        <w:adjustRightInd w:val="0"/>
        <w:snapToGrid w:val="0"/>
        <w:jc w:val="left"/>
        <w:rPr>
          <w:rFonts w:ascii="仿宋" w:hAnsi="仿宋" w:eastAsia="仿宋" w:cs="Arial"/>
          <w:b/>
          <w:bCs/>
          <w:color w:val="auto"/>
          <w:szCs w:val="21"/>
        </w:rPr>
      </w:pPr>
    </w:p>
    <w:tbl>
      <w:tblPr>
        <w:tblStyle w:val="7"/>
        <w:tblW w:w="138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720"/>
        <w:gridCol w:w="720"/>
        <w:gridCol w:w="2871"/>
        <w:gridCol w:w="2658"/>
        <w:gridCol w:w="2804"/>
        <w:gridCol w:w="3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653"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20</w:t>
            </w:r>
          </w:p>
        </w:tc>
        <w:tc>
          <w:tcPr>
            <w:tcW w:w="144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1730" w:type="dxa"/>
            <w:gridSpan w:val="4"/>
            <w:vAlign w:val="center"/>
          </w:tcPr>
          <w:p>
            <w:pPr>
              <w:widowControl/>
              <w:adjustRightInd w:val="0"/>
              <w:snapToGrid w:val="0"/>
              <w:ind w:right="210"/>
              <w:rPr>
                <w:rFonts w:ascii="仿宋" w:hAnsi="仿宋" w:eastAsia="仿宋" w:cs="Arial"/>
                <w:color w:val="auto"/>
                <w:szCs w:val="21"/>
              </w:rPr>
            </w:pPr>
            <w:r>
              <w:rPr>
                <w:rFonts w:hint="eastAsia" w:ascii="仿宋" w:hAnsi="仿宋" w:eastAsia="仿宋" w:cs="Arial"/>
                <w:b/>
                <w:bCs/>
                <w:color w:val="auto"/>
                <w:szCs w:val="21"/>
              </w:rPr>
              <w:t>生产、销售的疫苗属于劣药的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5" w:hRule="atLeast"/>
        </w:trPr>
        <w:tc>
          <w:tcPr>
            <w:tcW w:w="653" w:type="dxa"/>
            <w:vMerge w:val="continue"/>
            <w:vAlign w:val="center"/>
          </w:tcPr>
          <w:p>
            <w:pPr>
              <w:widowControl/>
              <w:adjustRightInd w:val="0"/>
              <w:snapToGrid w:val="0"/>
              <w:jc w:val="center"/>
              <w:rPr>
                <w:rFonts w:ascii="仿宋" w:hAnsi="仿宋" w:eastAsia="仿宋" w:cs="Arial"/>
                <w:color w:val="auto"/>
                <w:szCs w:val="21"/>
              </w:rPr>
            </w:pPr>
          </w:p>
        </w:tc>
        <w:tc>
          <w:tcPr>
            <w:tcW w:w="144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1730"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《疫苗管理法》第八十条第二款：</w:t>
            </w:r>
            <w:r>
              <w:rPr>
                <w:rFonts w:hint="eastAsia" w:ascii="仿宋" w:hAnsi="仿宋" w:eastAsia="仿宋" w:cs="Arial"/>
                <w:color w:val="auto"/>
                <w:szCs w:val="21"/>
              </w:rPr>
              <w:t>生产、销售的疫苗属于劣药的，由省级以上人民政府药品监督管理部门没收违法所得和违法生产、销售的疫苗以及专门用于违法生产疫苗的原料、辅料、包装材料、设备等物品，责令停产停业整顿，并处违法生产、销售疫苗货值金额十倍以上三十倍以下的罚款，货值金额不足五十万元的，按五十万元计算；情节严重的，吊销药品注册证书，直至吊销药品生产许可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653" w:type="dxa"/>
            <w:vMerge w:val="continue"/>
            <w:vAlign w:val="center"/>
          </w:tcPr>
          <w:p>
            <w:pPr>
              <w:widowControl/>
              <w:adjustRightInd w:val="0"/>
              <w:snapToGrid w:val="0"/>
              <w:jc w:val="center"/>
              <w:rPr>
                <w:rFonts w:ascii="仿宋" w:hAnsi="仿宋" w:eastAsia="仿宋" w:cs="Arial"/>
                <w:color w:val="auto"/>
                <w:szCs w:val="21"/>
              </w:rPr>
            </w:pPr>
          </w:p>
        </w:tc>
        <w:tc>
          <w:tcPr>
            <w:tcW w:w="144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2871"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减轻</w:t>
            </w:r>
          </w:p>
        </w:tc>
        <w:tc>
          <w:tcPr>
            <w:tcW w:w="2658"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从轻</w:t>
            </w:r>
          </w:p>
        </w:tc>
        <w:tc>
          <w:tcPr>
            <w:tcW w:w="280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397"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653" w:type="dxa"/>
            <w:vMerge w:val="continue"/>
            <w:vAlign w:val="center"/>
          </w:tcPr>
          <w:p>
            <w:pPr>
              <w:widowControl/>
              <w:adjustRightInd w:val="0"/>
              <w:snapToGrid w:val="0"/>
              <w:jc w:val="center"/>
              <w:rPr>
                <w:rFonts w:ascii="仿宋" w:hAnsi="仿宋" w:eastAsia="仿宋" w:cs="Arial"/>
                <w:color w:val="auto"/>
                <w:szCs w:val="21"/>
              </w:rPr>
            </w:pPr>
          </w:p>
        </w:tc>
        <w:tc>
          <w:tcPr>
            <w:tcW w:w="1440"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287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6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（一）涉案疫苗尚未被销售或使用的；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0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p>
            <w:pPr>
              <w:widowControl/>
              <w:adjustRightInd w:val="0"/>
              <w:snapToGrid w:val="0"/>
              <w:rPr>
                <w:rFonts w:ascii="仿宋" w:hAnsi="仿宋" w:eastAsia="仿宋" w:cs="Arial"/>
                <w:color w:val="auto"/>
                <w:szCs w:val="21"/>
              </w:rPr>
            </w:pPr>
          </w:p>
        </w:tc>
        <w:tc>
          <w:tcPr>
            <w:tcW w:w="33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p>
            <w:pPr>
              <w:widowControl/>
              <w:adjustRightInd w:val="0"/>
              <w:snapToGrid w:val="0"/>
              <w:rPr>
                <w:rFonts w:ascii="仿宋" w:hAnsi="仿宋" w:eastAsia="仿宋"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1" w:hRule="atLeast"/>
        </w:trPr>
        <w:tc>
          <w:tcPr>
            <w:tcW w:w="653" w:type="dxa"/>
            <w:vMerge w:val="continue"/>
            <w:vAlign w:val="center"/>
          </w:tcPr>
          <w:p>
            <w:pPr>
              <w:widowControl/>
              <w:adjustRightInd w:val="0"/>
              <w:snapToGrid w:val="0"/>
              <w:jc w:val="center"/>
              <w:rPr>
                <w:rFonts w:ascii="仿宋" w:hAnsi="仿宋" w:eastAsia="仿宋" w:cs="Arial"/>
                <w:color w:val="auto"/>
                <w:szCs w:val="21"/>
              </w:rPr>
            </w:pPr>
          </w:p>
        </w:tc>
        <w:tc>
          <w:tcPr>
            <w:tcW w:w="720"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72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一般情形</w:t>
            </w:r>
          </w:p>
        </w:tc>
        <w:tc>
          <w:tcPr>
            <w:tcW w:w="287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3.并处违法生产、销售疫苗货值金额1倍以上10倍以下的罚款。</w:t>
            </w:r>
          </w:p>
          <w:p>
            <w:pPr>
              <w:widowControl/>
              <w:adjustRightInd w:val="0"/>
              <w:snapToGrid w:val="0"/>
              <w:ind w:firstLine="0" w:firstLineChars="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26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3.并处违法生产、销售疫苗货值金额10倍以上16倍以下的罚款。</w:t>
            </w:r>
          </w:p>
          <w:p>
            <w:pPr>
              <w:widowControl/>
              <w:adjustRightInd w:val="0"/>
              <w:snapToGrid w:val="0"/>
              <w:ind w:firstLine="0" w:firstLineChars="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280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3.并处违法生产、销售疫苗货值金额16倍以上24倍以下的罚款。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3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2.责令停产停业整顿；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3.并处违法生产、销售疫苗货值金额24倍以上30倍以下的罚款。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trPr>
        <w:tc>
          <w:tcPr>
            <w:tcW w:w="653" w:type="dxa"/>
            <w:vMerge w:val="continue"/>
            <w:vAlign w:val="center"/>
          </w:tcPr>
          <w:p>
            <w:pPr>
              <w:widowControl/>
              <w:adjustRightInd w:val="0"/>
              <w:snapToGrid w:val="0"/>
              <w:jc w:val="center"/>
              <w:rPr>
                <w:rFonts w:ascii="仿宋" w:hAnsi="仿宋" w:eastAsia="仿宋" w:cs="Arial"/>
                <w:color w:val="auto"/>
                <w:szCs w:val="21"/>
              </w:rPr>
            </w:pPr>
          </w:p>
        </w:tc>
        <w:tc>
          <w:tcPr>
            <w:tcW w:w="720" w:type="dxa"/>
            <w:vMerge w:val="continue"/>
            <w:vAlign w:val="center"/>
          </w:tcPr>
          <w:p>
            <w:pPr>
              <w:widowControl/>
              <w:adjustRightInd w:val="0"/>
              <w:snapToGrid w:val="0"/>
              <w:jc w:val="center"/>
              <w:rPr>
                <w:rFonts w:ascii="仿宋" w:hAnsi="仿宋" w:eastAsia="仿宋" w:cs="Arial"/>
                <w:color w:val="auto"/>
                <w:szCs w:val="21"/>
              </w:rPr>
            </w:pPr>
          </w:p>
        </w:tc>
        <w:tc>
          <w:tcPr>
            <w:tcW w:w="720"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2871" w:type="dxa"/>
            <w:vAlign w:val="center"/>
          </w:tcPr>
          <w:p>
            <w:pPr>
              <w:widowControl/>
              <w:adjustRightInd w:val="0"/>
              <w:snapToGrid w:val="0"/>
              <w:rPr>
                <w:rFonts w:ascii="仿宋" w:hAnsi="仿宋" w:eastAsia="仿宋" w:cs="Arial"/>
                <w:color w:val="auto"/>
                <w:szCs w:val="21"/>
              </w:rPr>
            </w:pPr>
          </w:p>
        </w:tc>
        <w:tc>
          <w:tcPr>
            <w:tcW w:w="26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eastAsia="zh-CN"/>
              </w:rPr>
              <w:t>并处</w:t>
            </w:r>
            <w:r>
              <w:rPr>
                <w:rFonts w:hint="eastAsia" w:ascii="仿宋" w:hAnsi="仿宋" w:eastAsia="仿宋" w:cs="Arial"/>
                <w:color w:val="auto"/>
                <w:szCs w:val="21"/>
              </w:rPr>
              <w:t>吊销药品注册证书。</w:t>
            </w:r>
          </w:p>
        </w:tc>
        <w:tc>
          <w:tcPr>
            <w:tcW w:w="280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eastAsia="zh-CN"/>
              </w:rPr>
              <w:t>并处</w:t>
            </w:r>
            <w:r>
              <w:rPr>
                <w:rFonts w:hint="eastAsia" w:ascii="仿宋" w:hAnsi="仿宋" w:eastAsia="仿宋" w:cs="Arial"/>
                <w:color w:val="auto"/>
                <w:szCs w:val="21"/>
              </w:rPr>
              <w:t>吊销药品注册证书。</w:t>
            </w:r>
          </w:p>
        </w:tc>
        <w:tc>
          <w:tcPr>
            <w:tcW w:w="3397" w:type="dxa"/>
            <w:vAlign w:val="center"/>
          </w:tcPr>
          <w:p>
            <w:pPr>
              <w:widowControl/>
              <w:adjustRightInd w:val="0"/>
              <w:snapToGrid w:val="0"/>
              <w:rPr>
                <w:rFonts w:ascii="仿宋" w:hAnsi="仿宋" w:eastAsia="仿宋" w:cs="Arial"/>
                <w:color w:val="auto"/>
                <w:szCs w:val="21"/>
              </w:rPr>
            </w:pPr>
            <w:commentRangeStart w:id="2"/>
            <w:r>
              <w:rPr>
                <w:rFonts w:hint="eastAsia" w:ascii="仿宋" w:hAnsi="仿宋" w:eastAsia="仿宋" w:cs="Arial"/>
                <w:color w:val="auto"/>
                <w:szCs w:val="21"/>
              </w:rPr>
              <w:t>吊销药品注册证书；吊销药品生产许可证等。</w:t>
            </w:r>
            <w:commentRangeEnd w:id="2"/>
            <w:r>
              <w:rPr>
                <w:color w:val="auto"/>
              </w:rPr>
              <w:commentReference w:id="2"/>
            </w:r>
          </w:p>
        </w:tc>
      </w:tr>
    </w:tbl>
    <w:p>
      <w:pPr>
        <w:widowControl/>
        <w:tabs>
          <w:tab w:val="left" w:pos="679"/>
          <w:tab w:val="left" w:pos="1475"/>
          <w:tab w:val="left" w:pos="2335"/>
          <w:tab w:val="left" w:pos="7646"/>
          <w:tab w:val="left" w:pos="10450"/>
        </w:tabs>
        <w:adjustRightInd w:val="0"/>
        <w:spacing w:line="240" w:lineRule="exact"/>
        <w:jc w:val="left"/>
        <w:rPr>
          <w:rFonts w:ascii="宋体" w:hAnsi="宋体" w:eastAsia="宋体" w:cs="宋体"/>
          <w:color w:val="auto"/>
          <w:szCs w:val="21"/>
        </w:rPr>
      </w:pP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34"/>
        <w:gridCol w:w="3685"/>
        <w:gridCol w:w="425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534"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21</w:t>
            </w:r>
          </w:p>
        </w:tc>
        <w:tc>
          <w:tcPr>
            <w:tcW w:w="113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332"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生产、销售的疫苗属于假药，或者生产、销售的疫苗属于劣药且情节严重的，对法定代表人、主要负责人、直接负责的主管人员和关键岗位人员以及其他责任人员的处罚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13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332"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《疫苗管理法》第八十条第三款：</w:t>
            </w:r>
            <w:r>
              <w:rPr>
                <w:rFonts w:hint="eastAsia" w:ascii="仿宋" w:hAnsi="仿宋" w:eastAsia="仿宋" w:cs="Arial"/>
                <w:color w:val="auto"/>
                <w:szCs w:val="21"/>
              </w:rPr>
              <w:t>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处所获收入一倍以上十倍以下的罚款，终身禁止从事药品生产经营活动，由公安机关处五日以上十五日以下拘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13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685"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从轻</w:t>
            </w:r>
          </w:p>
        </w:tc>
        <w:tc>
          <w:tcPr>
            <w:tcW w:w="425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4394" w:type="dxa"/>
            <w:vAlign w:val="center"/>
          </w:tcPr>
          <w:p>
            <w:pPr>
              <w:widowControl/>
              <w:adjustRightInd w:val="0"/>
              <w:snapToGrid w:val="0"/>
              <w:ind w:right="3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13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68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425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3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134"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368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收入1倍以上3.7倍以下的罚款；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终身禁止从事药品生产经营活动。</w:t>
            </w:r>
          </w:p>
        </w:tc>
        <w:tc>
          <w:tcPr>
            <w:tcW w:w="425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处所获收入3.7倍以上7.3倍以下的罚款；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终身禁止从事药品生产经营活动。</w:t>
            </w:r>
          </w:p>
        </w:tc>
        <w:tc>
          <w:tcPr>
            <w:tcW w:w="43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处所获收入7.3倍以上10倍以下的罚款；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终身禁止从事药品生产经营活动。</w:t>
            </w:r>
          </w:p>
        </w:tc>
      </w:tr>
    </w:tbl>
    <w:p>
      <w:pPr>
        <w:widowControl/>
        <w:tabs>
          <w:tab w:val="left" w:pos="679"/>
          <w:tab w:val="left" w:pos="2300"/>
          <w:tab w:val="left" w:pos="5861"/>
          <w:tab w:val="left" w:pos="9688"/>
        </w:tabs>
        <w:adjustRightInd w:val="0"/>
        <w:snapToGrid w:val="0"/>
        <w:jc w:val="left"/>
        <w:rPr>
          <w:rFonts w:ascii="仿宋" w:hAnsi="仿宋" w:eastAsia="仿宋" w:cs="Arial"/>
          <w:b/>
          <w:bCs/>
          <w:color w:val="auto"/>
          <w:szCs w:val="21"/>
        </w:rPr>
      </w:pPr>
    </w:p>
    <w:tbl>
      <w:tblPr>
        <w:tblStyle w:val="7"/>
        <w:tblW w:w="13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67"/>
        <w:gridCol w:w="567"/>
        <w:gridCol w:w="3210"/>
        <w:gridCol w:w="3038"/>
        <w:gridCol w:w="3038"/>
        <w:gridCol w:w="3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22</w:t>
            </w:r>
          </w:p>
        </w:tc>
        <w:tc>
          <w:tcPr>
            <w:tcW w:w="113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324" w:type="dxa"/>
            <w:gridSpan w:val="4"/>
            <w:vAlign w:val="center"/>
          </w:tcPr>
          <w:p>
            <w:pPr>
              <w:widowControl/>
              <w:adjustRightInd w:val="0"/>
              <w:snapToGrid w:val="0"/>
              <w:ind w:right="210"/>
              <w:rPr>
                <w:rFonts w:ascii="仿宋" w:hAnsi="仿宋" w:eastAsia="仿宋" w:cs="Arial"/>
                <w:color w:val="auto"/>
                <w:szCs w:val="21"/>
              </w:rPr>
            </w:pPr>
            <w:r>
              <w:rPr>
                <w:rFonts w:hint="eastAsia" w:ascii="仿宋" w:hAnsi="仿宋" w:eastAsia="仿宋" w:cs="Arial"/>
                <w:b/>
                <w:bCs/>
                <w:color w:val="auto"/>
                <w:szCs w:val="21"/>
              </w:rPr>
              <w:t>违反《疫苗管理法》第八十一条的行为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8"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13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324" w:type="dxa"/>
            <w:gridSpan w:val="4"/>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《疫苗管理法》第八十一条；</w:t>
            </w:r>
            <w:r>
              <w:rPr>
                <w:rFonts w:hint="eastAsia" w:ascii="仿宋" w:hAnsi="仿宋" w:eastAsia="仿宋" w:cs="Arial"/>
                <w:color w:val="auto"/>
                <w:szCs w:val="21"/>
              </w:rPr>
              <w:t>有下列情形之一的，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药品相关批准证明文件，直至吊销药品生产许可证等，对法定代表人、主要负责人、直接负责的主管人员和关键岗位人员以及其他责任人员，没收违法行为发生期间自本单位所获收入，并处所获收入百分之五十以上十倍以下的罚款，十年内直至终身禁止从事药品生产经营活动，由公安机关处五日以上十五日以下拘留：</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（一）申请疫苗临床试验、注册、批签发提供虚假数据、资料、样品或者有其他欺骗行为；</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（二）编造生产、检验记录或者更改产品批号；</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（三）疾病预防控制机构以外的单位或者个人向接种单位供应疫苗；</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（四）委托生产疫苗未经批准；</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（五）生产工艺、生产场地、关键设备等发生变更按照规定应当经批准而未经批准；</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（六）更新疫苗说明书、标签按照规定应当经核准而未经核准。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22</w:t>
            </w:r>
          </w:p>
        </w:tc>
        <w:tc>
          <w:tcPr>
            <w:tcW w:w="113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21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134"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21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（一）涉案疫苗尚未被销售或使用的；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567"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567"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321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并处违法生产、销售疫苗货值金额1.5倍以上15倍以下的罚款。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并处违法生产、销售疫苗货值金额15倍以上25.5倍以下的罚款。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并处违法生产、销售疫苗货值金额25.5倍以上39.5倍以下的罚款。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没收违法所得和违法生产、销售的疫苗以及专门用于违法生产疫苗的原料、辅料、包装材料、设备等物品；</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并处违法生产、销售疫苗货值金额39.5倍以上50倍以下的罚款。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货值金额不足50万元的，按50万元计算。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2"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567" w:type="dxa"/>
            <w:vMerge w:val="continue"/>
            <w:vAlign w:val="center"/>
          </w:tcPr>
          <w:p>
            <w:pPr>
              <w:widowControl/>
              <w:adjustRightInd w:val="0"/>
              <w:snapToGrid w:val="0"/>
              <w:jc w:val="center"/>
              <w:rPr>
                <w:rFonts w:ascii="仿宋" w:hAnsi="仿宋" w:eastAsia="仿宋" w:cs="Arial"/>
                <w:color w:val="auto"/>
                <w:szCs w:val="21"/>
              </w:rPr>
            </w:pPr>
          </w:p>
        </w:tc>
        <w:tc>
          <w:tcPr>
            <w:tcW w:w="567"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情节严重</w:t>
            </w:r>
          </w:p>
        </w:tc>
        <w:tc>
          <w:tcPr>
            <w:tcW w:w="3210" w:type="dxa"/>
            <w:vAlign w:val="center"/>
          </w:tcPr>
          <w:p>
            <w:pPr>
              <w:widowControl/>
              <w:adjustRightInd w:val="0"/>
              <w:snapToGrid w:val="0"/>
              <w:rPr>
                <w:rFonts w:ascii="仿宋" w:hAnsi="仿宋" w:eastAsia="仿宋" w:cs="Arial"/>
                <w:color w:val="auto"/>
                <w:szCs w:val="21"/>
              </w:rPr>
            </w:pP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color w:val="FF0000"/>
                <w:szCs w:val="21"/>
                <w:lang w:eastAsia="zh-CN"/>
              </w:rPr>
              <w:t>并处</w:t>
            </w:r>
            <w:r>
              <w:rPr>
                <w:rFonts w:hint="eastAsia" w:ascii="仿宋" w:hAnsi="仿宋" w:eastAsia="仿宋" w:cs="Arial"/>
                <w:color w:val="auto"/>
                <w:szCs w:val="21"/>
              </w:rPr>
              <w:t>吊销药品相关批准证明文件。</w:t>
            </w:r>
          </w:p>
          <w:p>
            <w:pPr>
              <w:widowControl/>
              <w:adjustRightInd w:val="0"/>
              <w:snapToGrid w:val="0"/>
              <w:rPr>
                <w:rFonts w:ascii="仿宋" w:hAnsi="仿宋" w:eastAsia="仿宋" w:cs="Arial"/>
                <w:b/>
                <w:bCs/>
                <w:color w:val="auto"/>
                <w:szCs w:val="21"/>
              </w:rPr>
            </w:pPr>
            <w:r>
              <w:rPr>
                <w:rFonts w:hint="eastAsia" w:ascii="仿宋" w:hAnsi="仿宋" w:eastAsia="仿宋" w:cs="Arial"/>
                <w:b/>
                <w:bCs/>
                <w:color w:val="auto"/>
                <w:szCs w:val="21"/>
              </w:rPr>
              <w:t>（二）对法定代表人、主要负责人、直接负责的主管人员和关键岗位人员以及其他责任人员的处罚：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并处所获收入50%以上3.35倍以下的罚款；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10年内禁止从事药品生产经营活动。</w:t>
            </w:r>
          </w:p>
        </w:tc>
        <w:tc>
          <w:tcPr>
            <w:tcW w:w="303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r>
              <w:rPr>
                <w:rFonts w:hint="eastAsia" w:ascii="仿宋" w:hAnsi="仿宋" w:eastAsia="仿宋" w:cs="Arial"/>
                <w:color w:val="auto"/>
                <w:szCs w:val="21"/>
              </w:rPr>
              <w:t>：</w:t>
            </w:r>
          </w:p>
          <w:p>
            <w:pPr>
              <w:widowControl/>
              <w:adjustRightInd w:val="0"/>
              <w:snapToGrid w:val="0"/>
              <w:rPr>
                <w:rFonts w:ascii="仿宋" w:hAnsi="仿宋" w:eastAsia="仿宋" w:cs="Arial"/>
                <w:color w:val="auto"/>
                <w:szCs w:val="21"/>
              </w:rPr>
            </w:pPr>
            <w:r>
              <w:rPr>
                <w:rFonts w:hint="eastAsia" w:ascii="仿宋" w:hAnsi="仿宋" w:eastAsia="仿宋" w:cs="Arial"/>
                <w:color w:val="FF0000"/>
                <w:szCs w:val="21"/>
                <w:lang w:eastAsia="zh-CN"/>
              </w:rPr>
              <w:t>并处</w:t>
            </w:r>
            <w:r>
              <w:rPr>
                <w:rFonts w:hint="eastAsia" w:ascii="仿宋" w:hAnsi="仿宋" w:eastAsia="仿宋" w:cs="Arial"/>
                <w:color w:val="auto"/>
                <w:szCs w:val="21"/>
              </w:rPr>
              <w:t>吊销药品相关批准证明文件。</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（二）对法定代表人、主要负责人、直接负责的主管人员和关键岗位人员以及其他责任人员的处罚：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并处所获收入3.35倍以上7.15倍以下的罚款；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10年以上</w:t>
            </w:r>
            <w:r>
              <w:rPr>
                <w:rFonts w:hint="eastAsia" w:ascii="仿宋" w:hAnsi="仿宋" w:eastAsia="仿宋" w:cs="Arial"/>
                <w:color w:val="auto"/>
                <w:szCs w:val="21"/>
                <w:lang w:eastAsia="zh-CN"/>
              </w:rPr>
              <w:t>（不含本数）</w:t>
            </w:r>
            <w:r>
              <w:rPr>
                <w:rFonts w:hint="eastAsia" w:ascii="仿宋" w:hAnsi="仿宋" w:eastAsia="仿宋" w:cs="Arial"/>
                <w:color w:val="auto"/>
                <w:szCs w:val="21"/>
              </w:rPr>
              <w:t>20年以内</w:t>
            </w:r>
            <w:r>
              <w:rPr>
                <w:rFonts w:hint="eastAsia" w:ascii="仿宋" w:hAnsi="仿宋" w:eastAsia="仿宋" w:cs="Arial"/>
                <w:color w:val="auto"/>
                <w:szCs w:val="21"/>
                <w:lang w:eastAsia="zh-CN"/>
              </w:rPr>
              <w:t>（含本数）</w:t>
            </w:r>
            <w:r>
              <w:rPr>
                <w:rFonts w:hint="eastAsia" w:ascii="仿宋" w:hAnsi="仿宋" w:eastAsia="仿宋" w:cs="Arial"/>
                <w:color w:val="auto"/>
                <w:szCs w:val="21"/>
              </w:rPr>
              <w:t>禁止从事药品生产经营活动。</w:t>
            </w:r>
          </w:p>
        </w:tc>
        <w:tc>
          <w:tcPr>
            <w:tcW w:w="3038" w:type="dxa"/>
            <w:vAlign w:val="center"/>
          </w:tcPr>
          <w:p>
            <w:pPr>
              <w:widowControl/>
              <w:adjustRightInd w:val="0"/>
              <w:spacing w:line="260" w:lineRule="exact"/>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pacing w:line="260" w:lineRule="exact"/>
              <w:rPr>
                <w:rFonts w:ascii="仿宋" w:hAnsi="仿宋" w:eastAsia="仿宋" w:cs="Arial"/>
                <w:color w:val="auto"/>
                <w:szCs w:val="21"/>
              </w:rPr>
            </w:pPr>
            <w:r>
              <w:rPr>
                <w:rFonts w:hint="eastAsia" w:ascii="仿宋" w:hAnsi="仿宋" w:eastAsia="仿宋" w:cs="Arial"/>
                <w:color w:val="FF0000"/>
                <w:szCs w:val="21"/>
                <w:lang w:eastAsia="zh-CN"/>
              </w:rPr>
              <w:t>并处</w:t>
            </w:r>
            <w:r>
              <w:rPr>
                <w:rFonts w:hint="eastAsia" w:ascii="仿宋" w:hAnsi="仿宋" w:eastAsia="仿宋" w:cs="Arial"/>
                <w:color w:val="auto"/>
                <w:szCs w:val="21"/>
              </w:rPr>
              <w:t>吊销药品相关批准证明文件；吊销药品生产许可证等。</w:t>
            </w:r>
          </w:p>
          <w:p>
            <w:pPr>
              <w:widowControl/>
              <w:adjustRightInd w:val="0"/>
              <w:spacing w:line="260" w:lineRule="exact"/>
              <w:rPr>
                <w:rFonts w:ascii="仿宋" w:hAnsi="仿宋" w:eastAsia="仿宋" w:cs="Arial"/>
                <w:color w:val="auto"/>
                <w:szCs w:val="21"/>
              </w:rPr>
            </w:pPr>
            <w:r>
              <w:rPr>
                <w:rFonts w:hint="eastAsia" w:ascii="仿宋" w:hAnsi="仿宋" w:eastAsia="仿宋" w:cs="Arial"/>
                <w:b/>
                <w:bCs/>
                <w:color w:val="auto"/>
                <w:szCs w:val="21"/>
              </w:rPr>
              <w:t>（二）对法定代表人、主要负责人、直接负责的主管人员和关键岗位人员以及其他责任人员的处罚：</w:t>
            </w:r>
          </w:p>
          <w:p>
            <w:pPr>
              <w:widowControl/>
              <w:adjustRightInd w:val="0"/>
              <w:spacing w:line="26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pacing w:line="26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并处所获收入7.15以上10倍以下的罚款；</w:t>
            </w:r>
          </w:p>
          <w:p>
            <w:pPr>
              <w:widowControl/>
              <w:adjustRightInd w:val="0"/>
              <w:spacing w:line="260" w:lineRule="exact"/>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直至终身禁止从事药品生产经营活动。</w:t>
            </w:r>
          </w:p>
        </w:tc>
      </w:tr>
    </w:tbl>
    <w:p>
      <w:pPr>
        <w:adjustRightInd w:val="0"/>
        <w:spacing w:line="180" w:lineRule="exact"/>
        <w:rPr>
          <w:rFonts w:hint="eastAsia" w:ascii="仿宋" w:hAnsi="Times New Roman" w:eastAsia="仿宋" w:cs="Times New Roman"/>
          <w:color w:val="auto"/>
          <w:sz w:val="32"/>
          <w:szCs w:val="20"/>
        </w:rPr>
      </w:pPr>
      <w:r>
        <w:rPr>
          <w:rFonts w:hint="eastAsia" w:ascii="仿宋" w:hAnsi="Times New Roman" w:eastAsia="仿宋" w:cs="Times New Roman"/>
          <w:color w:val="auto"/>
          <w:sz w:val="32"/>
          <w:szCs w:val="20"/>
        </w:rPr>
        <w:t> </w:t>
      </w:r>
    </w:p>
    <w:p>
      <w:pPr>
        <w:adjustRightInd w:val="0"/>
        <w:spacing w:line="180" w:lineRule="exact"/>
        <w:rPr>
          <w:rFonts w:hint="eastAsia" w:ascii="仿宋" w:hAnsi="Times New Roman" w:eastAsia="仿宋" w:cs="Times New Roman"/>
          <w:color w:val="auto"/>
          <w:sz w:val="32"/>
          <w:szCs w:val="20"/>
        </w:rPr>
      </w:pPr>
    </w:p>
    <w:p>
      <w:pPr>
        <w:adjustRightInd w:val="0"/>
        <w:spacing w:line="180" w:lineRule="exact"/>
        <w:rPr>
          <w:rFonts w:hint="eastAsia" w:ascii="仿宋" w:hAnsi="Times New Roman" w:eastAsia="仿宋" w:cs="Times New Roman"/>
          <w:color w:val="auto"/>
          <w:sz w:val="32"/>
          <w:szCs w:val="20"/>
        </w:rPr>
      </w:pPr>
    </w:p>
    <w:p>
      <w:pPr>
        <w:adjustRightInd w:val="0"/>
        <w:spacing w:line="180" w:lineRule="exact"/>
        <w:rPr>
          <w:rFonts w:hint="eastAsia" w:ascii="仿宋" w:hAnsi="Times New Roman" w:eastAsia="仿宋" w:cs="Times New Roman"/>
          <w:color w:val="auto"/>
          <w:sz w:val="32"/>
          <w:szCs w:val="20"/>
        </w:rPr>
      </w:pPr>
    </w:p>
    <w:tbl>
      <w:tblPr>
        <w:tblStyle w:val="7"/>
        <w:tblW w:w="14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709"/>
        <w:gridCol w:w="4297"/>
        <w:gridCol w:w="3808"/>
        <w:gridCol w:w="4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23</w:t>
            </w: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112"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疫苗上市许可持有人或者其他单位违反药品相关质量管理规范且拒不改正的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112"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《疫苗管理法》第八十二条：</w:t>
            </w:r>
            <w:r>
              <w:rPr>
                <w:rFonts w:hint="eastAsia" w:ascii="仿宋" w:hAnsi="仿宋" w:eastAsia="仿宋" w:cs="Arial"/>
                <w:color w:val="auto"/>
                <w:szCs w:val="21"/>
              </w:rPr>
              <w:t>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w:t>
            </w:r>
            <w:commentRangeStart w:id="3"/>
            <w:r>
              <w:rPr>
                <w:rFonts w:hint="eastAsia" w:ascii="仿宋" w:hAnsi="仿宋" w:eastAsia="仿宋" w:cs="Arial"/>
                <w:color w:val="auto"/>
                <w:szCs w:val="21"/>
              </w:rPr>
              <w:t>责令停产停业整顿，直至吊销药品相关批准证明文件、药品生产许可证等</w:t>
            </w:r>
            <w:commentRangeEnd w:id="3"/>
            <w:r>
              <w:rPr>
                <w:color w:val="auto"/>
              </w:rPr>
              <w:commentReference w:id="3"/>
            </w:r>
            <w:r>
              <w:rPr>
                <w:rFonts w:hint="eastAsia" w:ascii="仿宋" w:hAnsi="仿宋" w:eastAsia="仿宋" w:cs="Arial"/>
                <w:color w:val="auto"/>
                <w:szCs w:val="21"/>
              </w:rPr>
              <w:t>，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42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8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4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41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42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8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708"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709"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42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w:t>
            </w:r>
          </w:p>
        </w:tc>
        <w:tc>
          <w:tcPr>
            <w:tcW w:w="38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w:t>
            </w:r>
          </w:p>
        </w:tc>
        <w:tc>
          <w:tcPr>
            <w:tcW w:w="4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708" w:type="dxa"/>
            <w:vMerge w:val="continue"/>
            <w:vAlign w:val="center"/>
          </w:tcPr>
          <w:p>
            <w:pPr>
              <w:widowControl/>
              <w:adjustRightInd w:val="0"/>
              <w:snapToGrid w:val="0"/>
              <w:jc w:val="center"/>
              <w:rPr>
                <w:rFonts w:ascii="仿宋" w:hAnsi="仿宋" w:eastAsia="仿宋" w:cs="Arial"/>
                <w:color w:val="auto"/>
                <w:szCs w:val="21"/>
              </w:rPr>
            </w:pPr>
          </w:p>
        </w:tc>
        <w:tc>
          <w:tcPr>
            <w:tcW w:w="709" w:type="dxa"/>
            <w:vMerge w:val="continue"/>
            <w:vAlign w:val="center"/>
          </w:tcPr>
          <w:p>
            <w:pPr>
              <w:widowControl/>
              <w:adjustRightInd w:val="0"/>
              <w:snapToGrid w:val="0"/>
              <w:jc w:val="center"/>
              <w:rPr>
                <w:rFonts w:ascii="仿宋" w:hAnsi="仿宋" w:eastAsia="仿宋" w:cs="Arial"/>
                <w:color w:val="auto"/>
                <w:szCs w:val="21"/>
              </w:rPr>
            </w:pPr>
          </w:p>
        </w:tc>
        <w:tc>
          <w:tcPr>
            <w:tcW w:w="42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拒不改正的，处20万元以上29万元以下的罚款。</w:t>
            </w:r>
          </w:p>
        </w:tc>
        <w:tc>
          <w:tcPr>
            <w:tcW w:w="38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拒不改正的，处29万元以上41万元以下的罚款。</w:t>
            </w:r>
          </w:p>
        </w:tc>
        <w:tc>
          <w:tcPr>
            <w:tcW w:w="4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拒不改正的，处41万元以上50万元以下的罚款。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708" w:type="dxa"/>
            <w:vMerge w:val="continue"/>
            <w:vAlign w:val="center"/>
          </w:tcPr>
          <w:p>
            <w:pPr>
              <w:widowControl/>
              <w:adjustRightInd w:val="0"/>
              <w:snapToGrid w:val="0"/>
              <w:jc w:val="center"/>
              <w:rPr>
                <w:rFonts w:ascii="仿宋" w:hAnsi="仿宋" w:eastAsia="仿宋" w:cs="Arial"/>
                <w:color w:val="auto"/>
                <w:szCs w:val="21"/>
              </w:rPr>
            </w:pPr>
          </w:p>
        </w:tc>
        <w:tc>
          <w:tcPr>
            <w:tcW w:w="709"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429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1.</w:t>
            </w:r>
            <w:r>
              <w:rPr>
                <w:rFonts w:hint="eastAsia" w:ascii="仿宋" w:hAnsi="仿宋" w:eastAsia="仿宋" w:cs="Arial"/>
                <w:color w:val="auto"/>
                <w:szCs w:val="21"/>
              </w:rPr>
              <w:t>处50万元以上125万元以下的罚款；</w:t>
            </w:r>
          </w:p>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2.</w:t>
            </w:r>
            <w:r>
              <w:rPr>
                <w:rFonts w:hint="eastAsia" w:ascii="仿宋" w:hAnsi="仿宋" w:eastAsia="仿宋" w:cs="Arial"/>
                <w:color w:val="auto"/>
                <w:szCs w:val="21"/>
              </w:rPr>
              <w:t>责令停产停业整顿；</w:t>
            </w:r>
          </w:p>
          <w:p>
            <w:pPr>
              <w:widowControl/>
              <w:adjustRightInd w:val="0"/>
              <w:snapToGrid w:val="0"/>
              <w:rPr>
                <w:rFonts w:hint="eastAsia"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吊销药品相关批准证明文件、药品生产许可证等。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（二）对责任人的处罚：</w:t>
            </w:r>
          </w:p>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2.</w:t>
            </w:r>
            <w:r>
              <w:rPr>
                <w:rFonts w:hint="eastAsia" w:ascii="仿宋" w:hAnsi="仿宋" w:eastAsia="仿宋" w:cs="Arial"/>
                <w:color w:val="auto"/>
                <w:szCs w:val="21"/>
              </w:rPr>
              <w:t>并处所获收入50%以上1.85倍以下的罚款；</w:t>
            </w:r>
          </w:p>
          <w:p>
            <w:pPr>
              <w:widowControl/>
              <w:adjustRightInd w:val="0"/>
              <w:snapToGrid w:val="0"/>
              <w:rPr>
                <w:rFonts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10年内禁止从事药品生产经营活动。</w:t>
            </w:r>
          </w:p>
        </w:tc>
        <w:tc>
          <w:tcPr>
            <w:tcW w:w="38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处125万元以上225万元以下的罚款；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b w:val="0"/>
                <w:bCs w:val="0"/>
                <w:color w:val="auto"/>
                <w:szCs w:val="21"/>
              </w:rPr>
              <w:t>.</w:t>
            </w:r>
            <w:r>
              <w:rPr>
                <w:rFonts w:hint="eastAsia" w:ascii="仿宋" w:hAnsi="仿宋" w:eastAsia="仿宋" w:cs="Arial"/>
                <w:color w:val="auto"/>
                <w:szCs w:val="21"/>
              </w:rPr>
              <w:t>责令停产停业整顿；</w:t>
            </w:r>
          </w:p>
          <w:p>
            <w:pPr>
              <w:widowControl/>
              <w:adjustRightInd w:val="0"/>
              <w:snapToGrid w:val="0"/>
              <w:rPr>
                <w:rFonts w:hint="eastAsia"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吊销药品相关批准证明文件、药品生产许可证等。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（二）对责任人的处罚：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并处所获收入1.85倍以上3.65倍以下的罚款；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10年以上（不含本数）20年以内（含本数）</w:t>
            </w:r>
            <w:r>
              <w:rPr>
                <w:rFonts w:hint="eastAsia" w:ascii="仿宋" w:hAnsi="仿宋" w:eastAsia="仿宋" w:cs="Arial"/>
                <w:color w:val="auto"/>
                <w:szCs w:val="21"/>
              </w:rPr>
              <w:t>禁止从事药品生产经营活动。</w:t>
            </w:r>
          </w:p>
        </w:tc>
        <w:tc>
          <w:tcPr>
            <w:tcW w:w="4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处225万元以上300万元以下的罚款；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责令停产停业整顿；</w:t>
            </w:r>
          </w:p>
          <w:p>
            <w:pPr>
              <w:widowControl/>
              <w:adjustRightInd w:val="0"/>
              <w:snapToGrid w:val="0"/>
              <w:rPr>
                <w:rFonts w:hint="eastAsia" w:ascii="仿宋" w:hAnsi="仿宋" w:eastAsia="仿宋" w:cs="Arial"/>
                <w:color w:val="auto"/>
                <w:szCs w:val="21"/>
              </w:rPr>
            </w:pPr>
            <w:r>
              <w:rPr>
                <w:rFonts w:hint="eastAsia" w:ascii="仿宋" w:hAnsi="仿宋" w:eastAsia="仿宋" w:cs="Arial"/>
                <w:b w:val="0"/>
                <w:bCs w:val="0"/>
                <w:color w:val="auto"/>
                <w:szCs w:val="21"/>
              </w:rPr>
              <w:t>3.</w:t>
            </w:r>
            <w:r>
              <w:rPr>
                <w:rFonts w:hint="eastAsia" w:ascii="仿宋" w:hAnsi="仿宋" w:eastAsia="仿宋" w:cs="Arial"/>
                <w:color w:val="auto"/>
                <w:szCs w:val="21"/>
              </w:rPr>
              <w:t>吊销药品相关批准证明文件、药品生产许可证等。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（二）对责任人的处罚：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并处所获收入3.65倍以上5倍以下的罚款；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直至终身禁止从事药品生产经营活动。</w:t>
            </w:r>
          </w:p>
        </w:tc>
      </w:tr>
    </w:tbl>
    <w:p>
      <w:pPr>
        <w:widowControl/>
        <w:tabs>
          <w:tab w:val="left" w:pos="585"/>
          <w:tab w:val="left" w:pos="1498"/>
          <w:tab w:val="left" w:pos="2342"/>
          <w:tab w:val="left" w:pos="6248"/>
          <w:tab w:val="left" w:pos="10056"/>
        </w:tabs>
        <w:adjustRightInd w:val="0"/>
        <w:snapToGrid w:val="0"/>
        <w:jc w:val="left"/>
        <w:rPr>
          <w:rFonts w:ascii="仿宋" w:hAnsi="仿宋" w:eastAsia="仿宋" w:cs="Arial"/>
          <w:b/>
          <w:bCs/>
          <w:color w:val="auto"/>
          <w:szCs w:val="21"/>
        </w:rPr>
      </w:pPr>
    </w:p>
    <w:tbl>
      <w:tblPr>
        <w:tblStyle w:val="7"/>
        <w:tblW w:w="14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721"/>
        <w:gridCol w:w="722"/>
        <w:gridCol w:w="4101"/>
        <w:gridCol w:w="2894"/>
        <w:gridCol w:w="5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5"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24</w:t>
            </w:r>
          </w:p>
        </w:tc>
        <w:tc>
          <w:tcPr>
            <w:tcW w:w="144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085"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违反《疫苗管理法》第八十三条的行为且拒不改正的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5" w:hRule="atLeast"/>
        </w:trPr>
        <w:tc>
          <w:tcPr>
            <w:tcW w:w="535" w:type="dxa"/>
            <w:vMerge w:val="continue"/>
            <w:vAlign w:val="center"/>
          </w:tcPr>
          <w:p>
            <w:pPr>
              <w:widowControl/>
              <w:adjustRightInd w:val="0"/>
              <w:snapToGrid w:val="0"/>
              <w:jc w:val="center"/>
              <w:rPr>
                <w:rFonts w:ascii="仿宋" w:hAnsi="仿宋" w:eastAsia="仿宋" w:cs="Arial"/>
                <w:color w:val="auto"/>
                <w:szCs w:val="21"/>
              </w:rPr>
            </w:pPr>
          </w:p>
        </w:tc>
        <w:tc>
          <w:tcPr>
            <w:tcW w:w="144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085"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《疫苗管理法》第八十三条：</w:t>
            </w:r>
            <w:r>
              <w:rPr>
                <w:rFonts w:hint="eastAsia" w:ascii="仿宋" w:hAnsi="仿宋" w:eastAsia="仿宋" w:cs="Arial"/>
                <w:color w:val="auto"/>
                <w:szCs w:val="21"/>
              </w:rPr>
              <w:t>违反本法规定，疫苗上市许可持有人有下列情形之一的，由省级以上人民政府药品监督管理部门责令改正，给予警告；拒不改正的，处二十万元以上五十万元以下的罚款；情节严重的，责令停产停业整顿，并处五十万元以上二百万元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（一）未按照规定建立疫苗电子追溯系统；</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（二）法定代表人、主要负责人和生产管理负责人、质量管理负责人、质量受权人等关键岗位人员不符合规定条件或者未按照规定对其进行培训、考核；</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（三）未按照规定报告或者备案；</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（四）未按照规定开展上市后研究，或者未按照规定设立机构、配备人员主动收集、跟踪分析疑似预防接种异常反应；</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（五）未按照规定投保疫苗责任强制保险；</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（六）未按照规定建立信息公开制度。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5" w:type="dxa"/>
            <w:vMerge w:val="continue"/>
            <w:vAlign w:val="center"/>
          </w:tcPr>
          <w:p>
            <w:pPr>
              <w:widowControl/>
              <w:adjustRightInd w:val="0"/>
              <w:snapToGrid w:val="0"/>
              <w:jc w:val="center"/>
              <w:rPr>
                <w:rFonts w:ascii="仿宋" w:hAnsi="仿宋" w:eastAsia="仿宋" w:cs="Arial"/>
                <w:color w:val="auto"/>
                <w:szCs w:val="21"/>
              </w:rPr>
            </w:pPr>
          </w:p>
        </w:tc>
        <w:tc>
          <w:tcPr>
            <w:tcW w:w="144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41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8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509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8" w:hRule="atLeast"/>
        </w:trPr>
        <w:tc>
          <w:tcPr>
            <w:tcW w:w="535" w:type="dxa"/>
            <w:vMerge w:val="continue"/>
            <w:vAlign w:val="center"/>
          </w:tcPr>
          <w:p>
            <w:pPr>
              <w:widowControl/>
              <w:adjustRightInd w:val="0"/>
              <w:snapToGrid w:val="0"/>
              <w:jc w:val="center"/>
              <w:rPr>
                <w:rFonts w:ascii="仿宋" w:hAnsi="仿宋" w:eastAsia="仿宋" w:cs="Arial"/>
                <w:color w:val="auto"/>
                <w:szCs w:val="21"/>
              </w:rPr>
            </w:pPr>
          </w:p>
        </w:tc>
        <w:tc>
          <w:tcPr>
            <w:tcW w:w="1443"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41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（一）初次实施涉案违法行为，危害后果轻微的；</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（二）其他符合裁量规则从轻行政处罚情形的。</w:t>
            </w:r>
          </w:p>
        </w:tc>
        <w:tc>
          <w:tcPr>
            <w:tcW w:w="28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09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35" w:type="dxa"/>
            <w:vMerge w:val="continue"/>
            <w:vAlign w:val="center"/>
          </w:tcPr>
          <w:p>
            <w:pPr>
              <w:widowControl/>
              <w:adjustRightInd w:val="0"/>
              <w:snapToGrid w:val="0"/>
              <w:jc w:val="center"/>
              <w:rPr>
                <w:rFonts w:ascii="仿宋" w:hAnsi="仿宋" w:eastAsia="仿宋" w:cs="Arial"/>
                <w:color w:val="auto"/>
                <w:szCs w:val="21"/>
              </w:rPr>
            </w:pPr>
          </w:p>
        </w:tc>
        <w:tc>
          <w:tcPr>
            <w:tcW w:w="721"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基准</w:t>
            </w:r>
          </w:p>
        </w:tc>
        <w:tc>
          <w:tcPr>
            <w:tcW w:w="722"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41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w:t>
            </w:r>
          </w:p>
        </w:tc>
        <w:tc>
          <w:tcPr>
            <w:tcW w:w="28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w:t>
            </w:r>
          </w:p>
        </w:tc>
        <w:tc>
          <w:tcPr>
            <w:tcW w:w="509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35" w:type="dxa"/>
            <w:vMerge w:val="continue"/>
            <w:vAlign w:val="center"/>
          </w:tcPr>
          <w:p>
            <w:pPr>
              <w:widowControl/>
              <w:adjustRightInd w:val="0"/>
              <w:snapToGrid w:val="0"/>
              <w:jc w:val="center"/>
              <w:rPr>
                <w:rFonts w:ascii="仿宋" w:hAnsi="仿宋" w:eastAsia="仿宋" w:cs="Arial"/>
                <w:color w:val="auto"/>
                <w:szCs w:val="21"/>
              </w:rPr>
            </w:pPr>
          </w:p>
        </w:tc>
        <w:tc>
          <w:tcPr>
            <w:tcW w:w="721" w:type="dxa"/>
            <w:vMerge w:val="continue"/>
            <w:vAlign w:val="center"/>
          </w:tcPr>
          <w:p>
            <w:pPr>
              <w:widowControl/>
              <w:adjustRightInd w:val="0"/>
              <w:snapToGrid w:val="0"/>
              <w:jc w:val="center"/>
              <w:rPr>
                <w:rFonts w:ascii="仿宋" w:hAnsi="仿宋" w:eastAsia="仿宋" w:cs="Arial"/>
                <w:color w:val="auto"/>
                <w:szCs w:val="21"/>
              </w:rPr>
            </w:pPr>
          </w:p>
        </w:tc>
        <w:tc>
          <w:tcPr>
            <w:tcW w:w="722" w:type="dxa"/>
            <w:vMerge w:val="continue"/>
            <w:vAlign w:val="center"/>
          </w:tcPr>
          <w:p>
            <w:pPr>
              <w:widowControl/>
              <w:adjustRightInd w:val="0"/>
              <w:snapToGrid w:val="0"/>
              <w:jc w:val="center"/>
              <w:rPr>
                <w:rFonts w:ascii="仿宋" w:hAnsi="仿宋" w:eastAsia="仿宋" w:cs="Arial"/>
                <w:color w:val="auto"/>
                <w:szCs w:val="21"/>
              </w:rPr>
            </w:pPr>
          </w:p>
        </w:tc>
        <w:tc>
          <w:tcPr>
            <w:tcW w:w="41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拒不改正的，处20万元以上29万元以下的罚款。</w:t>
            </w:r>
          </w:p>
        </w:tc>
        <w:tc>
          <w:tcPr>
            <w:tcW w:w="28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拒不改正的，处29万元以上41万元以下的罚款。</w:t>
            </w:r>
          </w:p>
        </w:tc>
        <w:tc>
          <w:tcPr>
            <w:tcW w:w="509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拒不改正的，处41万元以上50万元以下的罚款。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trPr>
        <w:tc>
          <w:tcPr>
            <w:tcW w:w="535" w:type="dxa"/>
            <w:vMerge w:val="continue"/>
            <w:vAlign w:val="center"/>
          </w:tcPr>
          <w:p>
            <w:pPr>
              <w:widowControl/>
              <w:adjustRightInd w:val="0"/>
              <w:snapToGrid w:val="0"/>
              <w:jc w:val="center"/>
              <w:rPr>
                <w:rFonts w:ascii="仿宋" w:hAnsi="仿宋" w:eastAsia="仿宋" w:cs="Arial"/>
                <w:color w:val="auto"/>
                <w:szCs w:val="21"/>
              </w:rPr>
            </w:pPr>
          </w:p>
        </w:tc>
        <w:tc>
          <w:tcPr>
            <w:tcW w:w="721" w:type="dxa"/>
            <w:vMerge w:val="continue"/>
            <w:vAlign w:val="center"/>
          </w:tcPr>
          <w:p>
            <w:pPr>
              <w:widowControl/>
              <w:adjustRightInd w:val="0"/>
              <w:snapToGrid w:val="0"/>
              <w:jc w:val="center"/>
              <w:rPr>
                <w:rFonts w:ascii="仿宋" w:hAnsi="仿宋" w:eastAsia="仿宋" w:cs="Arial"/>
                <w:color w:val="auto"/>
                <w:szCs w:val="21"/>
              </w:rPr>
            </w:pPr>
          </w:p>
        </w:tc>
        <w:tc>
          <w:tcPr>
            <w:tcW w:w="722"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4101"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并处50万元以上95万元以下的罚款。</w:t>
            </w:r>
          </w:p>
        </w:tc>
        <w:tc>
          <w:tcPr>
            <w:tcW w:w="2894"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并处95万元以上155万元以下的罚款。</w:t>
            </w:r>
          </w:p>
        </w:tc>
        <w:tc>
          <w:tcPr>
            <w:tcW w:w="509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并处155万元以上200万元以下的罚款。</w:t>
            </w:r>
          </w:p>
        </w:tc>
      </w:tr>
    </w:tbl>
    <w:p>
      <w:pPr>
        <w:widowControl/>
        <w:tabs>
          <w:tab w:val="left" w:pos="822"/>
          <w:tab w:val="left" w:pos="1676"/>
          <w:tab w:val="left" w:pos="2536"/>
          <w:tab w:val="left" w:pos="6106"/>
          <w:tab w:val="left" w:pos="8957"/>
        </w:tabs>
        <w:adjustRightInd w:val="0"/>
        <w:spacing w:line="180" w:lineRule="exact"/>
        <w:jc w:val="left"/>
        <w:rPr>
          <w:rFonts w:ascii="仿宋" w:hAnsi="仿宋" w:eastAsia="仿宋" w:cs="Arial"/>
          <w:b/>
          <w:bCs/>
          <w:color w:val="auto"/>
          <w:szCs w:val="21"/>
        </w:rPr>
      </w:pPr>
    </w:p>
    <w:tbl>
      <w:tblPr>
        <w:tblStyle w:val="7"/>
        <w:tblW w:w="14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37"/>
        <w:gridCol w:w="638"/>
        <w:gridCol w:w="4422"/>
        <w:gridCol w:w="3320"/>
        <w:gridCol w:w="4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25</w:t>
            </w:r>
          </w:p>
        </w:tc>
        <w:tc>
          <w:tcPr>
            <w:tcW w:w="1275"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254"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疾病预防控制机构、接种单位、疫苗上市许可持有人、疫苗配送单位违反疫苗储存、运输管理规范有关冷链储存、运输要求的，且拒不改正的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6"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254" w:type="dxa"/>
            <w:gridSpan w:val="3"/>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《疫苗管理法》第八十五条第一款：</w:t>
            </w:r>
            <w:r>
              <w:rPr>
                <w:rFonts w:hint="eastAsia" w:ascii="仿宋" w:hAnsi="仿宋" w:eastAsia="仿宋" w:cs="Arial"/>
                <w:color w:val="auto"/>
                <w:szCs w:val="21"/>
              </w:rPr>
              <w:t>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442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32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45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442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32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45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37"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638"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形</w:t>
            </w:r>
          </w:p>
        </w:tc>
        <w:tc>
          <w:tcPr>
            <w:tcW w:w="4422"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责令改正，给予警告；</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违法储存、运输的疫苗予以销毁；</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没收违法所得。</w:t>
            </w:r>
          </w:p>
        </w:tc>
        <w:tc>
          <w:tcPr>
            <w:tcW w:w="3320"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责令改正，给予警告；</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违法储存、运输的疫苗予以销毁；</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没收违法所得。</w:t>
            </w:r>
          </w:p>
        </w:tc>
        <w:tc>
          <w:tcPr>
            <w:tcW w:w="4512"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责令改正，给予警告；</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违法储存、运输的疫苗予以销毁；</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3"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37" w:type="dxa"/>
            <w:vMerge w:val="continue"/>
            <w:vAlign w:val="center"/>
          </w:tcPr>
          <w:p>
            <w:pPr>
              <w:widowControl/>
              <w:adjustRightInd w:val="0"/>
              <w:snapToGrid w:val="0"/>
              <w:jc w:val="center"/>
              <w:rPr>
                <w:rFonts w:ascii="仿宋" w:hAnsi="仿宋" w:eastAsia="仿宋" w:cs="Arial"/>
                <w:color w:val="auto"/>
                <w:szCs w:val="21"/>
              </w:rPr>
            </w:pPr>
          </w:p>
        </w:tc>
        <w:tc>
          <w:tcPr>
            <w:tcW w:w="638" w:type="dxa"/>
            <w:vMerge w:val="continue"/>
            <w:vAlign w:val="center"/>
          </w:tcPr>
          <w:p>
            <w:pPr>
              <w:widowControl/>
              <w:adjustRightInd w:val="0"/>
              <w:snapToGrid w:val="0"/>
              <w:jc w:val="center"/>
              <w:rPr>
                <w:rFonts w:ascii="仿宋" w:hAnsi="仿宋" w:eastAsia="仿宋" w:cs="Arial"/>
                <w:color w:val="auto"/>
                <w:szCs w:val="21"/>
              </w:rPr>
            </w:pPr>
          </w:p>
        </w:tc>
        <w:tc>
          <w:tcPr>
            <w:tcW w:w="4422"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拒不改正的，对接种单位、疫苗上市许可持有人、疫苗配送单位处违法储存、运输疫苗货值金额20万元以上44万元以下的罚款。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货值金额不足10万元的，按10万元计算。</w:t>
            </w:r>
          </w:p>
        </w:tc>
        <w:tc>
          <w:tcPr>
            <w:tcW w:w="3320"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拒不改正的，对接种单位、疫苗上市许可持有人、疫苗配送单位处违法储存、运输疫苗货值金额44万元以上76万元以下的罚款。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货值金额不足10万元的，按10万元计算。</w:t>
            </w:r>
          </w:p>
        </w:tc>
        <w:tc>
          <w:tcPr>
            <w:tcW w:w="4512" w:type="dxa"/>
            <w:vAlign w:val="center"/>
          </w:tcPr>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拒不改正的，对接种单位、疫苗上市许可持有人、疫苗配送单位违法储存、运输疫苗货值金额76万元以上100万元以下的罚款。</w:t>
            </w:r>
          </w:p>
          <w:p>
            <w:pPr>
              <w:widowControl/>
              <w:adjustRightInd w:val="0"/>
              <w:snapToGrid w:val="0"/>
              <w:spacing w:line="240" w:lineRule="exact"/>
              <w:rPr>
                <w:rFonts w:ascii="仿宋" w:hAnsi="仿宋" w:eastAsia="仿宋" w:cs="Arial"/>
                <w:color w:val="auto"/>
                <w:szCs w:val="21"/>
              </w:rPr>
            </w:pPr>
            <w:r>
              <w:rPr>
                <w:rFonts w:hint="eastAsia" w:ascii="仿宋" w:hAnsi="仿宋" w:eastAsia="仿宋" w:cs="Arial"/>
                <w:color w:val="auto"/>
                <w:szCs w:val="21"/>
              </w:rPr>
              <w:t>货值金额不足10万元的，按10万元计算。</w:t>
            </w:r>
          </w:p>
          <w:p>
            <w:pPr>
              <w:widowControl/>
              <w:adjustRightInd w:val="0"/>
              <w:snapToGrid w:val="0"/>
              <w:spacing w:line="240" w:lineRule="exact"/>
              <w:rPr>
                <w:rFonts w:ascii="仿宋" w:hAnsi="仿宋" w:eastAsia="仿宋"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1" w:hRule="atLeast"/>
        </w:trPr>
        <w:tc>
          <w:tcPr>
            <w:tcW w:w="534" w:type="dxa"/>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25</w:t>
            </w:r>
          </w:p>
        </w:tc>
        <w:tc>
          <w:tcPr>
            <w:tcW w:w="637"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638"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重</w:t>
            </w:r>
          </w:p>
        </w:tc>
        <w:tc>
          <w:tcPr>
            <w:tcW w:w="442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1.对接种单位、疫苗上市许可持有人、疫苗配送单位处违法储存、运输疫苗货值金额处违法储存、运输疫苗货值金额10倍以上16倍以下的罚款,货值金额不足10万元的，按10万元计算;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责令疫苗上市许可持有人、疫苗配送单位停产停业整顿;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直至吊销药品相关批准证明文件、药品生产许可证等。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（二）对责任人的处罚：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并处所获收入50%以上1.85倍以下的罚款；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10年内禁止从事药品生产经营活动。</w:t>
            </w:r>
          </w:p>
        </w:tc>
        <w:tc>
          <w:tcPr>
            <w:tcW w:w="3320"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对接种单位、疫苗上市许可持有人、疫苗配送单位处违法储存、运输疫苗货值金额处违法储存、运输疫苗货值金额16倍以上24倍以下的罚款,货值金额不足10万元的，按10万元计算;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责令疫苗上市许可持有人、疫苗配送单位停产停业整顿;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直至吊销药品相关批准证明文件、药品生产许可证等。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（二）对责任人的处罚：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并处所获收入1.85倍以上3.65倍以下的罚款；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10年以上（不含本数）20年以内（含本数）</w:t>
            </w:r>
            <w:r>
              <w:rPr>
                <w:rFonts w:hint="eastAsia" w:ascii="仿宋" w:hAnsi="仿宋" w:eastAsia="仿宋" w:cs="Arial"/>
                <w:color w:val="auto"/>
                <w:szCs w:val="21"/>
              </w:rPr>
              <w:t>禁止从事药品生产经营活动。</w:t>
            </w:r>
          </w:p>
        </w:tc>
        <w:tc>
          <w:tcPr>
            <w:tcW w:w="451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（一）对单位的处罚：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对接种单位、疫苗上市许可持有人、疫苗配送单位处违法储存、运输疫苗货值金额处违法储存、运输疫苗货值金额24倍以上30倍以下的罚款,货值金额不足10万元的，按10万元计算;</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责令疫苗上市许可持有人、疫苗配送单位停产停业整顿;</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rPr>
              <w:t>直至吊销药品相关批准证明文件、药品生产许可证等。</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（二）对责任人的处罚：</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没收违法行为发生期间自本单位所获收入；</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并处所获收入3.65倍以上5倍以下的罚款；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3.</w:t>
            </w:r>
            <w:r>
              <w:rPr>
                <w:rFonts w:hint="eastAsia" w:ascii="仿宋" w:hAnsi="仿宋" w:eastAsia="仿宋" w:cs="Arial"/>
                <w:color w:val="auto"/>
                <w:szCs w:val="21"/>
                <w:lang w:eastAsia="zh-CN"/>
              </w:rPr>
              <w:t>20年以上（不含本数）</w:t>
            </w:r>
            <w:r>
              <w:rPr>
                <w:rFonts w:hint="eastAsia" w:ascii="仿宋" w:hAnsi="仿宋" w:eastAsia="仿宋" w:cs="Arial"/>
                <w:color w:val="auto"/>
                <w:szCs w:val="21"/>
              </w:rPr>
              <w:t>至终身禁止从事药品生产经营活动。</w:t>
            </w:r>
          </w:p>
        </w:tc>
      </w:tr>
    </w:tbl>
    <w:p>
      <w:pPr>
        <w:widowControl/>
        <w:tabs>
          <w:tab w:val="left" w:pos="846"/>
          <w:tab w:val="left" w:pos="1670"/>
          <w:tab w:val="left" w:pos="2560"/>
          <w:tab w:val="left" w:pos="6254"/>
          <w:tab w:val="left" w:pos="9510"/>
        </w:tabs>
        <w:adjustRightInd w:val="0"/>
        <w:snapToGrid w:val="0"/>
        <w:jc w:val="left"/>
        <w:rPr>
          <w:rFonts w:ascii="仿宋" w:hAnsi="仿宋" w:eastAsia="仿宋" w:cs="Arial"/>
          <w:b/>
          <w:bCs/>
          <w:color w:val="auto"/>
          <w:szCs w:val="21"/>
        </w:rPr>
      </w:pP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48"/>
        <w:gridCol w:w="649"/>
        <w:gridCol w:w="4408"/>
        <w:gridCol w:w="2635"/>
        <w:gridCol w:w="5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26</w:t>
            </w:r>
          </w:p>
        </w:tc>
        <w:tc>
          <w:tcPr>
            <w:tcW w:w="12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169"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疾病预防控制机构、接种单位、疫苗上市许可持有人、疫苗配送单位有本法第八十五条规定以外的违反疫苗储存、运输管理规范行为的，且拒不改正的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169" w:type="dxa"/>
            <w:gridSpan w:val="3"/>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《疫苗管理法》第八十六条第一款：</w:t>
            </w:r>
            <w:r>
              <w:rPr>
                <w:rFonts w:hint="eastAsia" w:ascii="仿宋" w:hAnsi="仿宋" w:eastAsia="仿宋" w:cs="Arial"/>
                <w:color w:val="auto"/>
                <w:szCs w:val="21"/>
              </w:rPr>
              <w:t>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44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6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51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97" w:type="dxa"/>
            <w:gridSpan w:val="2"/>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44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6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51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p>
            <w:pPr>
              <w:widowControl/>
              <w:adjustRightInd w:val="0"/>
              <w:snapToGrid w:val="0"/>
              <w:rPr>
                <w:rFonts w:ascii="仿宋" w:hAnsi="仿宋" w:eastAsia="仿宋"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48"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量</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基</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准</w:t>
            </w:r>
          </w:p>
        </w:tc>
        <w:tc>
          <w:tcPr>
            <w:tcW w:w="649"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一般</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情形</w:t>
            </w:r>
          </w:p>
        </w:tc>
        <w:tc>
          <w:tcPr>
            <w:tcW w:w="44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责令改正，给予警告，没收违法所得。</w:t>
            </w:r>
          </w:p>
        </w:tc>
        <w:tc>
          <w:tcPr>
            <w:tcW w:w="26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责令改正，给予警告，没收违法所得。</w:t>
            </w:r>
          </w:p>
        </w:tc>
        <w:tc>
          <w:tcPr>
            <w:tcW w:w="51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责令改正，给予警告，没收违法所得。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48" w:type="dxa"/>
            <w:vMerge w:val="continue"/>
            <w:vAlign w:val="center"/>
          </w:tcPr>
          <w:p>
            <w:pPr>
              <w:widowControl/>
              <w:adjustRightInd w:val="0"/>
              <w:snapToGrid w:val="0"/>
              <w:jc w:val="center"/>
              <w:rPr>
                <w:rFonts w:ascii="仿宋" w:hAnsi="仿宋" w:eastAsia="仿宋" w:cs="Arial"/>
                <w:color w:val="auto"/>
                <w:szCs w:val="21"/>
              </w:rPr>
            </w:pPr>
          </w:p>
        </w:tc>
        <w:tc>
          <w:tcPr>
            <w:tcW w:w="649" w:type="dxa"/>
            <w:vMerge w:val="continue"/>
            <w:vAlign w:val="center"/>
          </w:tcPr>
          <w:p>
            <w:pPr>
              <w:widowControl/>
              <w:adjustRightInd w:val="0"/>
              <w:snapToGrid w:val="0"/>
              <w:jc w:val="center"/>
              <w:rPr>
                <w:rFonts w:ascii="仿宋" w:hAnsi="仿宋" w:eastAsia="仿宋" w:cs="Arial"/>
                <w:color w:val="auto"/>
                <w:szCs w:val="21"/>
              </w:rPr>
            </w:pPr>
          </w:p>
        </w:tc>
        <w:tc>
          <w:tcPr>
            <w:tcW w:w="44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拒不改正的，对接种单位、疫苗上市许可持有人、疫苗配送单位处10万元以上16万元以下的罚款。</w:t>
            </w:r>
          </w:p>
        </w:tc>
        <w:tc>
          <w:tcPr>
            <w:tcW w:w="26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拒不改正的，对接种单位、疫苗上市许可持有人、疫苗配送单位处16万元以上24万元以下的罚款。</w:t>
            </w:r>
          </w:p>
        </w:tc>
        <w:tc>
          <w:tcPr>
            <w:tcW w:w="51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拒不改正的，对接种单位、疫苗上市许可持有人、疫苗配送单位处24万元以上30万元以下的罚款。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2"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648" w:type="dxa"/>
            <w:vMerge w:val="continue"/>
            <w:vAlign w:val="center"/>
          </w:tcPr>
          <w:p>
            <w:pPr>
              <w:widowControl/>
              <w:adjustRightInd w:val="0"/>
              <w:snapToGrid w:val="0"/>
              <w:jc w:val="center"/>
              <w:rPr>
                <w:rFonts w:ascii="仿宋" w:hAnsi="仿宋" w:eastAsia="仿宋" w:cs="Arial"/>
                <w:color w:val="auto"/>
                <w:szCs w:val="21"/>
              </w:rPr>
            </w:pPr>
          </w:p>
        </w:tc>
        <w:tc>
          <w:tcPr>
            <w:tcW w:w="649"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情节</w:t>
            </w:r>
          </w:p>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严重</w:t>
            </w:r>
          </w:p>
        </w:tc>
        <w:tc>
          <w:tcPr>
            <w:tcW w:w="440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对接种单位、疫苗上市许可持有人、疫苗配送单位处违法储存、运输疫苗货值金额3倍以上5.1倍以下的罚款；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p>
            <w:pPr>
              <w:widowControl/>
              <w:adjustRightInd w:val="0"/>
              <w:snapToGrid w:val="0"/>
              <w:rPr>
                <w:rFonts w:ascii="仿宋" w:hAnsi="仿宋" w:eastAsia="仿宋" w:cs="Arial"/>
                <w:color w:val="auto"/>
                <w:szCs w:val="21"/>
              </w:rPr>
            </w:pPr>
          </w:p>
        </w:tc>
        <w:tc>
          <w:tcPr>
            <w:tcW w:w="2635"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对接种单位、疫苗上市许可持有人、疫苗配送单位处违法储存、运输疫苗货值金额5.1倍以上7.9倍以下的罚款；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tc>
        <w:tc>
          <w:tcPr>
            <w:tcW w:w="512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1.</w:t>
            </w:r>
            <w:r>
              <w:rPr>
                <w:rFonts w:hint="eastAsia" w:ascii="仿宋" w:hAnsi="仿宋" w:eastAsia="仿宋" w:cs="Arial"/>
                <w:color w:val="auto"/>
                <w:szCs w:val="21"/>
              </w:rPr>
              <w:t>对接种单位、疫苗上市许可持有人、疫苗配送单位处违法储存、运输疫苗货值金额7.9倍以上10倍以下的罚款；</w:t>
            </w:r>
          </w:p>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2.</w:t>
            </w:r>
            <w:r>
              <w:rPr>
                <w:rFonts w:hint="eastAsia" w:ascii="仿宋" w:hAnsi="仿宋" w:eastAsia="仿宋" w:cs="Arial"/>
                <w:color w:val="auto"/>
                <w:szCs w:val="21"/>
              </w:rPr>
              <w:t>货值金额不足10万元的，按10万元计算。</w:t>
            </w:r>
          </w:p>
          <w:p>
            <w:pPr>
              <w:widowControl/>
              <w:adjustRightInd w:val="0"/>
              <w:snapToGrid w:val="0"/>
              <w:rPr>
                <w:rFonts w:ascii="仿宋" w:hAnsi="仿宋" w:eastAsia="仿宋" w:cs="Arial"/>
                <w:color w:val="auto"/>
                <w:szCs w:val="21"/>
              </w:rPr>
            </w:pPr>
          </w:p>
        </w:tc>
      </w:tr>
    </w:tbl>
    <w:p>
      <w:pPr>
        <w:widowControl/>
        <w:tabs>
          <w:tab w:val="left" w:pos="872"/>
          <w:tab w:val="left" w:pos="1529"/>
          <w:tab w:val="left" w:pos="2486"/>
          <w:tab w:val="left" w:pos="6316"/>
          <w:tab w:val="left" w:pos="8897"/>
          <w:tab w:val="left" w:pos="13841"/>
        </w:tabs>
        <w:adjustRightInd w:val="0"/>
        <w:snapToGrid w:val="0"/>
        <w:jc w:val="left"/>
        <w:rPr>
          <w:rFonts w:ascii="仿宋" w:hAnsi="仿宋" w:eastAsia="仿宋" w:cs="宋体"/>
          <w:color w:val="auto"/>
          <w:szCs w:val="21"/>
        </w:rPr>
      </w:pP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007"/>
        <w:gridCol w:w="2673"/>
        <w:gridCol w:w="3082"/>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宋体"/>
                <w:b/>
                <w:color w:val="auto"/>
                <w:szCs w:val="21"/>
              </w:rPr>
              <w:t>27</w:t>
            </w: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191"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违反《药品注册管理办法》第一百一十六条的行为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191"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《药品注册管理办法》第一百一十六条：</w:t>
            </w:r>
            <w:r>
              <w:rPr>
                <w:rFonts w:hint="eastAsia" w:ascii="仿宋" w:hAnsi="仿宋" w:eastAsia="仿宋" w:cs="Arial"/>
                <w:color w:val="auto"/>
                <w:szCs w:val="21"/>
              </w:rPr>
              <w:t>违反本办法第二十八条、第三十三条规定，申办者有下列情形之一的，责令限期改正；逾期不改正的，处一万元以上三万元以下罚款：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（一）开展药物临床试验前未按规定在药物临床试验登记与信息公示平台进行登记；</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（二）未按规定提交研发期间安全性更新报告；</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（三）药物临床试验结束后未登记临床试验结果等信息。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6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308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342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6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308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342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3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w:t>
            </w:r>
          </w:p>
        </w:tc>
        <w:tc>
          <w:tcPr>
            <w:tcW w:w="26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w:t>
            </w:r>
          </w:p>
        </w:tc>
        <w:tc>
          <w:tcPr>
            <w:tcW w:w="308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w:t>
            </w:r>
          </w:p>
        </w:tc>
        <w:tc>
          <w:tcPr>
            <w:tcW w:w="342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责令限期改正。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tcPr>
          <w:p>
            <w:pPr>
              <w:widowControl/>
              <w:adjustRightInd w:val="0"/>
              <w:snapToGrid w:val="0"/>
              <w:jc w:val="left"/>
              <w:rPr>
                <w:rFonts w:ascii="仿宋" w:hAnsi="仿宋" w:eastAsia="仿宋" w:cs="Arial"/>
                <w:color w:val="auto"/>
                <w:szCs w:val="21"/>
              </w:rPr>
            </w:pPr>
          </w:p>
        </w:tc>
        <w:tc>
          <w:tcPr>
            <w:tcW w:w="1275" w:type="dxa"/>
            <w:vMerge w:val="continue"/>
          </w:tcPr>
          <w:p>
            <w:pPr>
              <w:widowControl/>
              <w:adjustRightInd w:val="0"/>
              <w:snapToGrid w:val="0"/>
              <w:jc w:val="left"/>
              <w:rPr>
                <w:rFonts w:ascii="仿宋" w:hAnsi="仿宋" w:eastAsia="仿宋" w:cs="Arial"/>
                <w:color w:val="auto"/>
                <w:szCs w:val="21"/>
              </w:rPr>
            </w:pPr>
          </w:p>
        </w:tc>
        <w:tc>
          <w:tcPr>
            <w:tcW w:w="3007"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逾期不改正的，处0.1万元以上1万元以下的罚款。</w:t>
            </w:r>
          </w:p>
        </w:tc>
        <w:tc>
          <w:tcPr>
            <w:tcW w:w="2673"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逾期不改正的，处1万元以上1.6万元以下的罚款。</w:t>
            </w:r>
          </w:p>
        </w:tc>
        <w:tc>
          <w:tcPr>
            <w:tcW w:w="3082"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逾期不改正的，处1.6万元以上2.4万元以下的罚款。</w:t>
            </w:r>
          </w:p>
        </w:tc>
        <w:tc>
          <w:tcPr>
            <w:tcW w:w="342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逾期不改正的，处2.4万元以上3万元以下的罚款。</w:t>
            </w:r>
          </w:p>
        </w:tc>
      </w:tr>
    </w:tbl>
    <w:p>
      <w:pPr>
        <w:widowControl/>
        <w:tabs>
          <w:tab w:val="left" w:pos="223"/>
          <w:tab w:val="left" w:pos="859"/>
          <w:tab w:val="left" w:pos="2548"/>
          <w:tab w:val="left" w:pos="5024"/>
          <w:tab w:val="left" w:pos="7688"/>
          <w:tab w:val="left" w:pos="10759"/>
        </w:tabs>
        <w:adjustRightInd w:val="0"/>
        <w:snapToGrid w:val="0"/>
        <w:jc w:val="left"/>
        <w:rPr>
          <w:rFonts w:ascii="仿宋" w:hAnsi="仿宋" w:eastAsia="仿宋" w:cs="Arial"/>
          <w:color w:val="auto"/>
          <w:szCs w:val="21"/>
        </w:rPr>
      </w:pPr>
    </w:p>
    <w:tbl>
      <w:tblPr>
        <w:tblStyle w:val="7"/>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3258"/>
        <w:gridCol w:w="2999"/>
        <w:gridCol w:w="2998"/>
        <w:gridCol w:w="2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restart"/>
            <w:vAlign w:val="center"/>
          </w:tcPr>
          <w:p>
            <w:pPr>
              <w:widowControl/>
              <w:adjustRightInd w:val="0"/>
              <w:snapToGrid w:val="0"/>
              <w:jc w:val="center"/>
              <w:rPr>
                <w:rFonts w:ascii="仿宋" w:hAnsi="仿宋" w:eastAsia="仿宋" w:cs="Arial"/>
                <w:b/>
                <w:color w:val="auto"/>
                <w:szCs w:val="21"/>
              </w:rPr>
            </w:pPr>
            <w:r>
              <w:rPr>
                <w:rFonts w:hint="eastAsia" w:ascii="仿宋" w:hAnsi="仿宋" w:eastAsia="仿宋" w:cs="Arial"/>
                <w:b/>
                <w:color w:val="auto"/>
                <w:szCs w:val="21"/>
              </w:rPr>
              <w:t>28</w:t>
            </w: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违法行为</w:t>
            </w:r>
          </w:p>
        </w:tc>
        <w:tc>
          <w:tcPr>
            <w:tcW w:w="12191"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违反《药品生产监督管理办法》第七十一条的处罚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处罚依据</w:t>
            </w:r>
          </w:p>
        </w:tc>
        <w:tc>
          <w:tcPr>
            <w:tcW w:w="12191" w:type="dxa"/>
            <w:gridSpan w:val="4"/>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《药品生产监督管理办法》第七十一条：</w:t>
            </w:r>
            <w:r>
              <w:rPr>
                <w:rFonts w:hint="eastAsia" w:ascii="仿宋" w:hAnsi="仿宋" w:eastAsia="仿宋" w:cs="Arial"/>
                <w:color w:val="auto"/>
                <w:szCs w:val="21"/>
              </w:rPr>
              <w:t>药品上市许可持有人和药品生产企业有下列情形之一的，由所在地省、自治区、直辖市药品监督管理部门处一万元以上三万元以下的罚款：</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（一）企业名称、住所（经营场所）、法定代表人未按规定办理登记事项变更；</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（二）未按照规定每年对直接接触药品的工作人员进行健康检查并建立健康档案；</w:t>
            </w:r>
          </w:p>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（三）未按照规定对列入国家实施停产报告的短缺药品清单的药品进行停产报告。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裁量等级</w:t>
            </w:r>
          </w:p>
        </w:tc>
        <w:tc>
          <w:tcPr>
            <w:tcW w:w="32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减轻</w:t>
            </w:r>
          </w:p>
        </w:tc>
        <w:tc>
          <w:tcPr>
            <w:tcW w:w="299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从轻</w:t>
            </w:r>
          </w:p>
        </w:tc>
        <w:tc>
          <w:tcPr>
            <w:tcW w:w="299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一般</w:t>
            </w:r>
          </w:p>
        </w:tc>
        <w:tc>
          <w:tcPr>
            <w:tcW w:w="293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b/>
                <w:bCs/>
                <w:color w:val="auto"/>
                <w:szCs w:val="21"/>
              </w:rPr>
              <w:t>从重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裁量情节</w:t>
            </w:r>
          </w:p>
        </w:tc>
        <w:tc>
          <w:tcPr>
            <w:tcW w:w="32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符合裁量规则减轻行政处罚情形的。</w:t>
            </w:r>
          </w:p>
        </w:tc>
        <w:tc>
          <w:tcPr>
            <w:tcW w:w="299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符合裁量规则从轻行政处罚情形的。</w:t>
            </w:r>
          </w:p>
        </w:tc>
        <w:tc>
          <w:tcPr>
            <w:tcW w:w="299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符合裁量规则一般行政处罚情形的。</w:t>
            </w:r>
          </w:p>
        </w:tc>
        <w:tc>
          <w:tcPr>
            <w:tcW w:w="293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符合裁量规则从重行政处罚情形的。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vAlign w:val="center"/>
          </w:tcPr>
          <w:p>
            <w:pPr>
              <w:widowControl/>
              <w:adjustRightInd w:val="0"/>
              <w:snapToGrid w:val="0"/>
              <w:jc w:val="center"/>
              <w:rPr>
                <w:rFonts w:ascii="仿宋" w:hAnsi="仿宋" w:eastAsia="仿宋" w:cs="Arial"/>
                <w:color w:val="auto"/>
                <w:szCs w:val="21"/>
              </w:rPr>
            </w:pPr>
          </w:p>
        </w:tc>
        <w:tc>
          <w:tcPr>
            <w:tcW w:w="1275" w:type="dxa"/>
            <w:vMerge w:val="restart"/>
            <w:vAlign w:val="center"/>
          </w:tcPr>
          <w:p>
            <w:pPr>
              <w:widowControl/>
              <w:adjustRightInd w:val="0"/>
              <w:snapToGrid w:val="0"/>
              <w:jc w:val="center"/>
              <w:rPr>
                <w:rFonts w:ascii="仿宋" w:hAnsi="仿宋" w:eastAsia="仿宋" w:cs="Arial"/>
                <w:color w:val="auto"/>
                <w:szCs w:val="21"/>
              </w:rPr>
            </w:pPr>
            <w:r>
              <w:rPr>
                <w:rFonts w:hint="eastAsia" w:ascii="仿宋" w:hAnsi="仿宋" w:eastAsia="仿宋" w:cs="Arial"/>
                <w:b/>
                <w:bCs/>
                <w:color w:val="auto"/>
                <w:szCs w:val="21"/>
              </w:rPr>
              <w:t>裁量基准</w:t>
            </w:r>
          </w:p>
        </w:tc>
        <w:tc>
          <w:tcPr>
            <w:tcW w:w="32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lang w:val="en-US" w:eastAsia="zh-CN"/>
              </w:rPr>
              <w:t xml:space="preserve"> </w:t>
            </w:r>
          </w:p>
        </w:tc>
        <w:tc>
          <w:tcPr>
            <w:tcW w:w="2999" w:type="dxa"/>
            <w:vAlign w:val="center"/>
          </w:tcPr>
          <w:p>
            <w:pPr>
              <w:widowControl/>
              <w:adjustRightInd w:val="0"/>
              <w:snapToGrid w:val="0"/>
              <w:rPr>
                <w:rFonts w:ascii="仿宋" w:hAnsi="仿宋" w:eastAsia="仿宋" w:cs="Arial"/>
                <w:color w:val="auto"/>
                <w:szCs w:val="21"/>
              </w:rPr>
            </w:pPr>
          </w:p>
        </w:tc>
        <w:tc>
          <w:tcPr>
            <w:tcW w:w="2998" w:type="dxa"/>
            <w:vAlign w:val="center"/>
          </w:tcPr>
          <w:p>
            <w:pPr>
              <w:widowControl/>
              <w:adjustRightInd w:val="0"/>
              <w:snapToGrid w:val="0"/>
              <w:rPr>
                <w:rFonts w:ascii="仿宋" w:hAnsi="仿宋" w:eastAsia="仿宋" w:cs="Arial"/>
                <w:color w:val="auto"/>
                <w:szCs w:val="21"/>
              </w:rPr>
            </w:pPr>
          </w:p>
        </w:tc>
        <w:tc>
          <w:tcPr>
            <w:tcW w:w="2936" w:type="dxa"/>
            <w:vAlign w:val="center"/>
          </w:tcPr>
          <w:p>
            <w:pPr>
              <w:widowControl/>
              <w:adjustRightInd w:val="0"/>
              <w:snapToGrid w:val="0"/>
              <w:rPr>
                <w:rFonts w:ascii="仿宋" w:hAnsi="仿宋" w:eastAsia="仿宋" w:cs="Arial"/>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534" w:type="dxa"/>
            <w:vMerge w:val="continue"/>
          </w:tcPr>
          <w:p>
            <w:pPr>
              <w:widowControl/>
              <w:adjustRightInd w:val="0"/>
              <w:snapToGrid w:val="0"/>
              <w:jc w:val="left"/>
              <w:rPr>
                <w:rFonts w:ascii="仿宋" w:hAnsi="仿宋" w:eastAsia="仿宋" w:cs="Arial"/>
                <w:color w:val="auto"/>
                <w:szCs w:val="21"/>
              </w:rPr>
            </w:pPr>
          </w:p>
        </w:tc>
        <w:tc>
          <w:tcPr>
            <w:tcW w:w="1275" w:type="dxa"/>
            <w:vMerge w:val="continue"/>
          </w:tcPr>
          <w:p>
            <w:pPr>
              <w:widowControl/>
              <w:adjustRightInd w:val="0"/>
              <w:snapToGrid w:val="0"/>
              <w:jc w:val="left"/>
              <w:rPr>
                <w:rFonts w:ascii="仿宋" w:hAnsi="仿宋" w:eastAsia="仿宋" w:cs="Arial"/>
                <w:color w:val="auto"/>
                <w:szCs w:val="21"/>
              </w:rPr>
            </w:pPr>
          </w:p>
        </w:tc>
        <w:tc>
          <w:tcPr>
            <w:tcW w:w="325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处0.1万元以上1万元以下的罚款。</w:t>
            </w:r>
          </w:p>
        </w:tc>
        <w:tc>
          <w:tcPr>
            <w:tcW w:w="2999"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处1万元以上1.6万元以下的罚款。</w:t>
            </w:r>
          </w:p>
        </w:tc>
        <w:tc>
          <w:tcPr>
            <w:tcW w:w="2998"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处1.6万元以上2.4万元以下的罚款。</w:t>
            </w:r>
          </w:p>
        </w:tc>
        <w:tc>
          <w:tcPr>
            <w:tcW w:w="2936" w:type="dxa"/>
            <w:vAlign w:val="center"/>
          </w:tcPr>
          <w:p>
            <w:pPr>
              <w:widowControl/>
              <w:adjustRightInd w:val="0"/>
              <w:snapToGrid w:val="0"/>
              <w:rPr>
                <w:rFonts w:ascii="仿宋" w:hAnsi="仿宋" w:eastAsia="仿宋" w:cs="Arial"/>
                <w:color w:val="auto"/>
                <w:szCs w:val="21"/>
              </w:rPr>
            </w:pPr>
            <w:r>
              <w:rPr>
                <w:rFonts w:hint="eastAsia" w:ascii="仿宋" w:hAnsi="仿宋" w:eastAsia="仿宋" w:cs="Arial"/>
                <w:color w:val="auto"/>
                <w:szCs w:val="21"/>
              </w:rPr>
              <w:t>处2.4万元以上3万元以下的罚款。</w:t>
            </w:r>
          </w:p>
        </w:tc>
      </w:tr>
    </w:tbl>
    <w:p>
      <w:pPr>
        <w:pStyle w:val="2"/>
        <w:ind w:firstLine="440" w:firstLineChars="100"/>
        <w:rPr>
          <w:rFonts w:hint="eastAsia" w:ascii="方正小标宋简体" w:hAnsi="方正小标宋简体" w:eastAsia="方正小标宋简体" w:cs="方正小标宋简体"/>
          <w:color w:val="auto"/>
          <w:lang w:eastAsia="zh-CN"/>
        </w:rPr>
      </w:pPr>
    </w:p>
    <w:p>
      <w:pPr>
        <w:pStyle w:val="2"/>
        <w:ind w:left="0" w:firstLine="0" w:firstLineChars="0"/>
        <w:rPr>
          <w:rFonts w:hint="eastAsia" w:ascii="黑体" w:hAnsi="黑体" w:eastAsia="黑体" w:cs="黑体"/>
          <w:color w:val="auto"/>
          <w:sz w:val="32"/>
          <w:szCs w:val="32"/>
          <w:lang w:eastAsia="zh-CN"/>
        </w:rPr>
      </w:pPr>
    </w:p>
    <w:p>
      <w:pPr>
        <w:pStyle w:val="2"/>
        <w:ind w:left="0" w:firstLine="0" w:firstLine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2：</w:t>
      </w:r>
    </w:p>
    <w:p>
      <w:pPr>
        <w:pStyle w:val="2"/>
        <w:ind w:firstLine="440" w:firstLineChars="100"/>
        <w:rPr>
          <w:rFonts w:hint="eastAsia" w:ascii="方正小标宋简体" w:hAnsi="方正小标宋简体" w:eastAsia="方正小标宋简体" w:cs="方正小标宋简体"/>
          <w:color w:val="auto"/>
          <w:lang w:eastAsia="zh-CN"/>
        </w:rPr>
      </w:pPr>
    </w:p>
    <w:p>
      <w:pPr>
        <w:pStyle w:val="2"/>
        <w:ind w:firstLine="440" w:firstLineChars="100"/>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西藏</w:t>
      </w:r>
      <w:r>
        <w:rPr>
          <w:rFonts w:hint="eastAsia" w:ascii="方正小标宋简体" w:hAnsi="方正小标宋简体" w:eastAsia="方正小标宋简体" w:cs="方正小标宋简体"/>
          <w:color w:val="auto"/>
        </w:rPr>
        <w:t>自治区药品监督管理局医疗器械行政处罚裁量基准（试行）</w:t>
      </w:r>
    </w:p>
    <w:p>
      <w:pPr>
        <w:pStyle w:val="4"/>
        <w:spacing w:before="18"/>
        <w:ind w:left="6360" w:right="6360"/>
        <w:jc w:val="center"/>
        <w:rPr>
          <w:rFonts w:hint="eastAsia" w:ascii="黑体" w:eastAsia="黑体"/>
          <w:color w:val="auto"/>
        </w:rPr>
      </w:pPr>
      <w:r>
        <w:rPr>
          <w:rFonts w:hint="eastAsia" w:ascii="黑体" w:eastAsia="黑体"/>
          <w:color w:val="auto"/>
        </w:rPr>
        <w:t>使用说明</w:t>
      </w:r>
    </w:p>
    <w:p>
      <w:pPr>
        <w:pStyle w:val="4"/>
        <w:spacing w:before="2"/>
        <w:rPr>
          <w:rFonts w:ascii="黑体"/>
          <w:color w:val="auto"/>
          <w:sz w:val="26"/>
        </w:rPr>
      </w:pPr>
    </w:p>
    <w:p>
      <w:pPr>
        <w:pStyle w:val="4"/>
        <w:spacing w:line="338" w:lineRule="auto"/>
        <w:ind w:left="131" w:right="132" w:firstLine="641"/>
        <w:rPr>
          <w:color w:val="auto"/>
        </w:rPr>
      </w:pPr>
      <w:r>
        <w:rPr>
          <w:color w:val="auto"/>
          <w:spacing w:val="0"/>
        </w:rPr>
        <w:t>一、本基准只涉及医疗器械行政处罚罚款自由裁量适用情形，警告、没收违法物品及违法所得、</w:t>
      </w:r>
      <w:r>
        <w:rPr>
          <w:color w:val="auto"/>
        </w:rPr>
        <w:t>责令停产停业、吊销许可证件、限制从业等不涉及自由裁量的，按照法律法规的规定进行适用。</w:t>
      </w:r>
    </w:p>
    <w:p>
      <w:pPr>
        <w:pStyle w:val="4"/>
        <w:spacing w:line="338" w:lineRule="auto"/>
        <w:ind w:left="131" w:right="129" w:firstLine="641"/>
        <w:rPr>
          <w:color w:val="auto"/>
        </w:rPr>
      </w:pPr>
      <w:r>
        <w:rPr>
          <w:color w:val="auto"/>
        </w:rPr>
        <w:t>二、本基准内容和语言表述与法律、法规、规章规定不一致的应当以法律、法规、规章规定为准。</w:t>
      </w:r>
    </w:p>
    <w:p>
      <w:pPr>
        <w:pStyle w:val="4"/>
        <w:spacing w:line="408" w:lineRule="exact"/>
        <w:ind w:left="772"/>
        <w:rPr>
          <w:color w:val="auto"/>
        </w:rPr>
      </w:pPr>
      <w:r>
        <w:rPr>
          <w:color w:val="auto"/>
          <w:spacing w:val="-13"/>
          <w:w w:val="99"/>
        </w:rPr>
        <w:t>三、本裁量基准中“以上”“以下”的含义如下：</w:t>
      </w:r>
    </w:p>
    <w:p>
      <w:pPr>
        <w:pStyle w:val="4"/>
        <w:spacing w:before="165"/>
        <w:ind w:left="772"/>
        <w:rPr>
          <w:color w:val="auto"/>
        </w:rPr>
      </w:pPr>
      <w:r>
        <w:rPr>
          <w:color w:val="auto"/>
          <w:spacing w:val="2"/>
          <w:w w:val="99"/>
        </w:rPr>
        <w:t>（</w:t>
      </w:r>
      <w:r>
        <w:rPr>
          <w:color w:val="auto"/>
          <w:w w:val="99"/>
        </w:rPr>
        <w:t>一）</w:t>
      </w:r>
      <w:r>
        <w:rPr>
          <w:color w:val="auto"/>
          <w:spacing w:val="-12"/>
          <w:w w:val="99"/>
        </w:rPr>
        <w:t>减轻处罚的“以上”含本数，“以下”不含本数；</w:t>
      </w:r>
    </w:p>
    <w:p>
      <w:pPr>
        <w:pStyle w:val="4"/>
        <w:spacing w:before="168"/>
        <w:ind w:left="772"/>
        <w:rPr>
          <w:color w:val="auto"/>
        </w:rPr>
      </w:pPr>
      <w:r>
        <w:rPr>
          <w:color w:val="auto"/>
          <w:spacing w:val="2"/>
          <w:w w:val="99"/>
        </w:rPr>
        <w:t>（</w:t>
      </w:r>
      <w:r>
        <w:rPr>
          <w:color w:val="auto"/>
          <w:w w:val="99"/>
        </w:rPr>
        <w:t>二）</w:t>
      </w:r>
      <w:r>
        <w:rPr>
          <w:color w:val="auto"/>
          <w:spacing w:val="-13"/>
          <w:w w:val="99"/>
        </w:rPr>
        <w:t>从轻、从重处罚的“以上”“以下”均含本数；</w:t>
      </w:r>
    </w:p>
    <w:p>
      <w:pPr>
        <w:pStyle w:val="4"/>
        <w:spacing w:before="166"/>
        <w:ind w:left="772"/>
        <w:rPr>
          <w:color w:val="auto"/>
        </w:rPr>
      </w:pPr>
      <w:r>
        <w:rPr>
          <w:color w:val="auto"/>
          <w:spacing w:val="2"/>
          <w:w w:val="99"/>
        </w:rPr>
        <w:t>（</w:t>
      </w:r>
      <w:r>
        <w:rPr>
          <w:color w:val="auto"/>
          <w:w w:val="99"/>
        </w:rPr>
        <w:t>三）</w:t>
      </w:r>
      <w:r>
        <w:rPr>
          <w:color w:val="auto"/>
          <w:spacing w:val="-13"/>
          <w:w w:val="99"/>
        </w:rPr>
        <w:t>一般处罚的“以上”“以下”均不含本数。</w:t>
      </w:r>
    </w:p>
    <w:p>
      <w:pPr>
        <w:pStyle w:val="4"/>
        <w:spacing w:before="169" w:line="338" w:lineRule="auto"/>
        <w:ind w:left="131" w:right="129" w:firstLine="641"/>
        <w:rPr>
          <w:color w:val="auto"/>
        </w:rPr>
      </w:pPr>
      <w:r>
        <w:rPr>
          <w:color w:val="auto"/>
        </w:rPr>
        <w:t>四、裁量基准栏中列明的罚款数据仅供参考。案件查办中涉及罚款的，应当依照《</w:t>
      </w:r>
      <w:r>
        <w:rPr>
          <w:rFonts w:hint="eastAsia"/>
          <w:color w:val="auto"/>
          <w:lang w:val="en-US" w:eastAsia="zh-CN"/>
        </w:rPr>
        <w:t xml:space="preserve"> 西藏</w:t>
      </w:r>
      <w:r>
        <w:rPr>
          <w:color w:val="auto"/>
        </w:rPr>
        <w:t>自治区药品监督管理局行政处罚裁量权适用规定》进行准确计算。</w:t>
      </w:r>
    </w:p>
    <w:p>
      <w:pPr>
        <w:spacing w:after="0" w:line="338" w:lineRule="auto"/>
        <w:rPr>
          <w:color w:val="auto"/>
        </w:rPr>
        <w:sectPr>
          <w:footerReference r:id="rId5" w:type="default"/>
          <w:pgSz w:w="16840" w:h="11910" w:orient="landscape"/>
          <w:pgMar w:top="1100" w:right="1400" w:bottom="1760" w:left="1400" w:header="0" w:footer="1572" w:gutter="0"/>
          <w:pgNumType w:fmt="numberInDash"/>
          <w:cols w:space="720" w:num="1"/>
        </w:sectPr>
      </w:pPr>
    </w:p>
    <w:tbl>
      <w:tblPr>
        <w:tblStyle w:val="7"/>
        <w:tblpPr w:leftFromText="180" w:rightFromText="180" w:vertAnchor="text" w:horzAnchor="page" w:tblpX="1498" w:tblpY="133"/>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55"/>
        <w:gridCol w:w="528"/>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7"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5"/>
              <w:rPr>
                <w:rFonts w:ascii="Times New Roman"/>
                <w:color w:val="auto"/>
                <w:sz w:val="19"/>
              </w:rPr>
            </w:pPr>
          </w:p>
          <w:p>
            <w:pPr>
              <w:pStyle w:val="8"/>
              <w:ind w:left="9"/>
              <w:jc w:val="center"/>
              <w:rPr>
                <w:b/>
                <w:color w:val="auto"/>
                <w:sz w:val="21"/>
              </w:rPr>
            </w:pPr>
            <w:r>
              <w:rPr>
                <w:b/>
                <w:color w:val="auto"/>
                <w:w w:val="99"/>
                <w:sz w:val="21"/>
              </w:rPr>
              <w:t>1</w:t>
            </w:r>
          </w:p>
        </w:tc>
        <w:tc>
          <w:tcPr>
            <w:tcW w:w="1183" w:type="dxa"/>
            <w:gridSpan w:val="2"/>
            <w:vAlign w:val="top"/>
          </w:tcPr>
          <w:p>
            <w:pPr>
              <w:pStyle w:val="8"/>
              <w:spacing w:before="10"/>
              <w:rPr>
                <w:rFonts w:ascii="Times New Roman"/>
                <w:color w:val="auto"/>
                <w:sz w:val="23"/>
              </w:rPr>
            </w:pPr>
          </w:p>
          <w:p>
            <w:pPr>
              <w:pStyle w:val="8"/>
              <w:ind w:left="170"/>
              <w:rPr>
                <w:b/>
                <w:color w:val="auto"/>
                <w:sz w:val="21"/>
              </w:rPr>
            </w:pPr>
            <w:r>
              <w:rPr>
                <w:b/>
                <w:color w:val="auto"/>
                <w:sz w:val="21"/>
              </w:rPr>
              <w:t>违法行为</w:t>
            </w:r>
          </w:p>
        </w:tc>
        <w:tc>
          <w:tcPr>
            <w:tcW w:w="12046" w:type="dxa"/>
            <w:gridSpan w:val="4"/>
            <w:vAlign w:val="top"/>
          </w:tcPr>
          <w:p>
            <w:pPr>
              <w:pStyle w:val="8"/>
              <w:spacing w:before="1" w:line="244" w:lineRule="auto"/>
              <w:ind w:left="530" w:right="5620" w:hanging="3"/>
              <w:rPr>
                <w:color w:val="auto"/>
                <w:sz w:val="21"/>
              </w:rPr>
            </w:pPr>
            <w:r>
              <w:rPr>
                <w:color w:val="auto"/>
                <w:sz w:val="21"/>
              </w:rPr>
              <w:t xml:space="preserve">生产、经营未取得医疗器械注册证的第二类、第三类医疗器械； </w:t>
            </w:r>
          </w:p>
          <w:p>
            <w:pPr>
              <w:pStyle w:val="8"/>
              <w:spacing w:before="1" w:line="244" w:lineRule="auto"/>
              <w:ind w:left="530" w:right="5620" w:hanging="3"/>
              <w:rPr>
                <w:color w:val="auto"/>
                <w:sz w:val="21"/>
              </w:rPr>
            </w:pPr>
            <w:r>
              <w:rPr>
                <w:color w:val="auto"/>
                <w:sz w:val="21"/>
              </w:rPr>
              <w:t>未经许可从事第二类、第三类医疗器械生产活动；</w:t>
            </w:r>
          </w:p>
          <w:p>
            <w:pPr>
              <w:pStyle w:val="8"/>
              <w:spacing w:line="248" w:lineRule="exact"/>
              <w:ind w:left="530"/>
              <w:rPr>
                <w:color w:val="auto"/>
                <w:sz w:val="21"/>
              </w:rPr>
            </w:pPr>
            <w:r>
              <w:rPr>
                <w:color w:val="auto"/>
                <w:sz w:val="21"/>
              </w:rPr>
              <w:t>未经许可从事第三类医疗器械经营活动。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2"/>
              </w:rPr>
            </w:pPr>
          </w:p>
          <w:p>
            <w:pPr>
              <w:pStyle w:val="8"/>
              <w:ind w:left="170"/>
              <w:rPr>
                <w:b/>
                <w:color w:val="auto"/>
                <w:sz w:val="21"/>
              </w:rPr>
            </w:pPr>
            <w:r>
              <w:rPr>
                <w:b/>
                <w:color w:val="auto"/>
                <w:sz w:val="21"/>
              </w:rPr>
              <w:t>处罚依据</w:t>
            </w:r>
          </w:p>
        </w:tc>
        <w:tc>
          <w:tcPr>
            <w:tcW w:w="12046" w:type="dxa"/>
            <w:gridSpan w:val="4"/>
            <w:vAlign w:val="top"/>
          </w:tcPr>
          <w:p>
            <w:pPr>
              <w:pStyle w:val="8"/>
              <w:spacing w:before="171" w:line="242" w:lineRule="auto"/>
              <w:ind w:left="108" w:right="97" w:firstLine="420"/>
              <w:rPr>
                <w:color w:val="auto"/>
                <w:sz w:val="21"/>
              </w:rPr>
            </w:pPr>
            <w:r>
              <w:rPr>
                <w:color w:val="auto"/>
                <w:spacing w:val="-1"/>
                <w:sz w:val="21"/>
              </w:rPr>
              <w:t>根据《医疗器械监督管理条例》第八十一条第一款规定, 由负责药品监督管理的部门没收违法所得、违法生产经营的医疗器</w:t>
            </w:r>
            <w:r>
              <w:rPr>
                <w:color w:val="auto"/>
                <w:spacing w:val="-7"/>
                <w:sz w:val="21"/>
              </w:rPr>
              <w:t xml:space="preserve">械和用于违法生产经营的工具、设备、原材料等物品；违法生产经营的医疗器械货值金额不足 </w:t>
            </w:r>
            <w:r>
              <w:rPr>
                <w:color w:val="auto"/>
                <w:sz w:val="21"/>
              </w:rPr>
              <w:t>1</w:t>
            </w:r>
            <w:r>
              <w:rPr>
                <w:color w:val="auto"/>
                <w:spacing w:val="-15"/>
                <w:sz w:val="21"/>
              </w:rPr>
              <w:t xml:space="preserve"> 万元的，并处 </w:t>
            </w:r>
            <w:r>
              <w:rPr>
                <w:color w:val="auto"/>
                <w:sz w:val="21"/>
              </w:rPr>
              <w:t>5</w:t>
            </w:r>
            <w:r>
              <w:rPr>
                <w:color w:val="auto"/>
                <w:spacing w:val="-17"/>
                <w:sz w:val="21"/>
              </w:rPr>
              <w:t xml:space="preserve"> 万元以上 </w:t>
            </w:r>
            <w:r>
              <w:rPr>
                <w:color w:val="auto"/>
                <w:sz w:val="21"/>
              </w:rPr>
              <w:t>15</w:t>
            </w:r>
            <w:r>
              <w:rPr>
                <w:color w:val="auto"/>
                <w:spacing w:val="-18"/>
                <w:sz w:val="21"/>
              </w:rPr>
              <w:t xml:space="preserve"> 万元</w:t>
            </w:r>
          </w:p>
          <w:p>
            <w:pPr>
              <w:pStyle w:val="8"/>
              <w:spacing w:before="1" w:line="242" w:lineRule="auto"/>
              <w:ind w:left="108" w:right="96"/>
              <w:jc w:val="both"/>
              <w:rPr>
                <w:color w:val="auto"/>
                <w:sz w:val="21"/>
              </w:rPr>
            </w:pPr>
            <w:r>
              <w:rPr>
                <w:color w:val="auto"/>
                <w:spacing w:val="-7"/>
                <w:sz w:val="21"/>
              </w:rPr>
              <w:t xml:space="preserve">以下罚款；货值金额 </w:t>
            </w:r>
            <w:r>
              <w:rPr>
                <w:color w:val="auto"/>
                <w:sz w:val="21"/>
              </w:rPr>
              <w:t>1</w:t>
            </w:r>
            <w:r>
              <w:rPr>
                <w:color w:val="auto"/>
                <w:spacing w:val="-11"/>
                <w:sz w:val="21"/>
              </w:rPr>
              <w:t xml:space="preserve"> 万元以上的，并处货值金额 </w:t>
            </w:r>
            <w:r>
              <w:rPr>
                <w:color w:val="auto"/>
                <w:sz w:val="21"/>
              </w:rPr>
              <w:t>15</w:t>
            </w:r>
            <w:r>
              <w:rPr>
                <w:color w:val="auto"/>
                <w:spacing w:val="-19"/>
                <w:sz w:val="21"/>
              </w:rPr>
              <w:t xml:space="preserve"> 倍以上 </w:t>
            </w:r>
            <w:r>
              <w:rPr>
                <w:color w:val="auto"/>
                <w:sz w:val="21"/>
              </w:rPr>
              <w:t>30</w:t>
            </w:r>
            <w:r>
              <w:rPr>
                <w:color w:val="auto"/>
                <w:spacing w:val="-8"/>
                <w:sz w:val="21"/>
              </w:rPr>
              <w:t xml:space="preserve"> 倍以下罚款；情节严重的，责令停产停业，</w:t>
            </w:r>
            <w:r>
              <w:rPr>
                <w:color w:val="auto"/>
                <w:sz w:val="21"/>
              </w:rPr>
              <w:t>10</w:t>
            </w:r>
            <w:r>
              <w:rPr>
                <w:color w:val="auto"/>
                <w:spacing w:val="-8"/>
                <w:sz w:val="21"/>
              </w:rPr>
              <w:t xml:space="preserve"> 年内不受理相关责</w:t>
            </w:r>
            <w:r>
              <w:rPr>
                <w:color w:val="auto"/>
                <w:spacing w:val="-9"/>
                <w:sz w:val="21"/>
              </w:rPr>
              <w:t>任人以及单位提出的医疗器械许可申请，对违法单位的法定代表人、主要负责人、直接负责的主管人员和其他责任人员，没收违</w:t>
            </w:r>
            <w:r>
              <w:rPr>
                <w:color w:val="auto"/>
                <w:spacing w:val="-6"/>
                <w:sz w:val="21"/>
              </w:rPr>
              <w:t xml:space="preserve">法行为发生期间自本单位所获收入，并处所获收入 </w:t>
            </w:r>
            <w:r>
              <w:rPr>
                <w:color w:val="auto"/>
                <w:sz w:val="21"/>
              </w:rPr>
              <w:t>30%</w:t>
            </w:r>
            <w:r>
              <w:rPr>
                <w:color w:val="auto"/>
                <w:spacing w:val="-19"/>
                <w:sz w:val="21"/>
              </w:rPr>
              <w:t xml:space="preserve">以上 </w:t>
            </w:r>
            <w:r>
              <w:rPr>
                <w:color w:val="auto"/>
                <w:sz w:val="21"/>
              </w:rPr>
              <w:t>3</w:t>
            </w:r>
            <w:r>
              <w:rPr>
                <w:color w:val="auto"/>
                <w:spacing w:val="-9"/>
                <w:sz w:val="21"/>
              </w:rPr>
              <w:t xml:space="preserve"> 倍以下罚款，终身禁止其从事医疗器械生产经营活动。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5"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4"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4"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4"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655"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9"/>
              </w:rPr>
            </w:pPr>
          </w:p>
          <w:p>
            <w:pPr>
              <w:pStyle w:val="8"/>
              <w:spacing w:line="242" w:lineRule="auto"/>
              <w:ind w:left="115" w:right="105"/>
              <w:rPr>
                <w:b/>
                <w:color w:val="auto"/>
                <w:sz w:val="21"/>
              </w:rPr>
            </w:pPr>
            <w:r>
              <w:rPr>
                <w:b/>
                <w:color w:val="auto"/>
                <w:sz w:val="21"/>
              </w:rPr>
              <w:t>裁量基准</w:t>
            </w:r>
          </w:p>
        </w:tc>
        <w:tc>
          <w:tcPr>
            <w:tcW w:w="528" w:type="dxa"/>
            <w:vAlign w:val="top"/>
          </w:tcPr>
          <w:p>
            <w:pPr>
              <w:pStyle w:val="8"/>
              <w:rPr>
                <w:rFonts w:ascii="Times New Roman"/>
                <w:color w:val="auto"/>
                <w:sz w:val="20"/>
              </w:rPr>
            </w:pPr>
          </w:p>
          <w:p>
            <w:pPr>
              <w:pStyle w:val="8"/>
              <w:spacing w:before="162" w:line="242" w:lineRule="auto"/>
              <w:ind w:left="158" w:right="146"/>
              <w:jc w:val="both"/>
              <w:rPr>
                <w:b/>
                <w:color w:val="auto"/>
                <w:sz w:val="21"/>
              </w:rPr>
            </w:pPr>
            <w:r>
              <w:rPr>
                <w:b/>
                <w:color w:val="auto"/>
                <w:sz w:val="21"/>
              </w:rPr>
              <w:t>一般情形</w:t>
            </w:r>
          </w:p>
        </w:tc>
        <w:tc>
          <w:tcPr>
            <w:tcW w:w="2715" w:type="dxa"/>
            <w:vAlign w:val="top"/>
          </w:tcPr>
          <w:p>
            <w:pPr>
              <w:pStyle w:val="8"/>
              <w:spacing w:before="4"/>
              <w:rPr>
                <w:rFonts w:ascii="Times New Roman"/>
                <w:color w:val="auto"/>
                <w:sz w:val="22"/>
              </w:rPr>
            </w:pPr>
          </w:p>
          <w:p>
            <w:pPr>
              <w:pStyle w:val="8"/>
              <w:spacing w:before="1"/>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2" w:line="242" w:lineRule="auto"/>
              <w:ind w:left="108" w:right="-15"/>
              <w:rPr>
                <w:color w:val="auto"/>
                <w:sz w:val="21"/>
              </w:rPr>
            </w:pPr>
            <w:r>
              <w:rPr>
                <w:color w:val="auto"/>
                <w:sz w:val="21"/>
              </w:rPr>
              <w:t>0.5</w:t>
            </w:r>
            <w:r>
              <w:rPr>
                <w:color w:val="auto"/>
                <w:spacing w:val="-16"/>
                <w:sz w:val="21"/>
              </w:rPr>
              <w:t xml:space="preserve"> 万元以上 </w:t>
            </w:r>
            <w:r>
              <w:rPr>
                <w:color w:val="auto"/>
                <w:sz w:val="21"/>
              </w:rPr>
              <w:t>5</w:t>
            </w:r>
            <w:r>
              <w:rPr>
                <w:color w:val="auto"/>
                <w:spacing w:val="-10"/>
                <w:sz w:val="21"/>
              </w:rPr>
              <w:t xml:space="preserve"> 万元以下罚</w:t>
            </w:r>
            <w:r>
              <w:rPr>
                <w:color w:val="auto"/>
                <w:spacing w:val="-26"/>
                <w:sz w:val="21"/>
              </w:rPr>
              <w:t xml:space="preserve">款；货值金额 </w:t>
            </w:r>
            <w:r>
              <w:rPr>
                <w:color w:val="auto"/>
                <w:sz w:val="21"/>
              </w:rPr>
              <w:t>1</w:t>
            </w:r>
            <w:r>
              <w:rPr>
                <w:color w:val="auto"/>
                <w:spacing w:val="-12"/>
                <w:sz w:val="21"/>
              </w:rPr>
              <w:t xml:space="preserve"> 万元以上的， </w:t>
            </w:r>
            <w:r>
              <w:rPr>
                <w:color w:val="auto"/>
                <w:spacing w:val="-7"/>
                <w:sz w:val="21"/>
              </w:rPr>
              <w:t xml:space="preserve">处货值金额 </w:t>
            </w:r>
            <w:r>
              <w:rPr>
                <w:color w:val="auto"/>
                <w:sz w:val="21"/>
              </w:rPr>
              <w:t>1.5</w:t>
            </w:r>
            <w:r>
              <w:rPr>
                <w:color w:val="auto"/>
                <w:spacing w:val="-4"/>
                <w:sz w:val="21"/>
              </w:rPr>
              <w:t xml:space="preserve"> 倍以上 </w:t>
            </w:r>
            <w:r>
              <w:rPr>
                <w:color w:val="auto"/>
                <w:spacing w:val="-3"/>
                <w:sz w:val="21"/>
              </w:rPr>
              <w:t xml:space="preserve">15 </w:t>
            </w:r>
            <w:r>
              <w:rPr>
                <w:color w:val="auto"/>
                <w:spacing w:val="-2"/>
                <w:sz w:val="21"/>
              </w:rPr>
              <w:t>倍以下罚款。</w:t>
            </w:r>
          </w:p>
        </w:tc>
        <w:tc>
          <w:tcPr>
            <w:tcW w:w="2714" w:type="dxa"/>
            <w:vAlign w:val="top"/>
          </w:tcPr>
          <w:p>
            <w:pPr>
              <w:pStyle w:val="8"/>
              <w:spacing w:before="4"/>
              <w:rPr>
                <w:rFonts w:ascii="Times New Roman"/>
                <w:color w:val="auto"/>
                <w:sz w:val="22"/>
              </w:rPr>
            </w:pPr>
          </w:p>
          <w:p>
            <w:pPr>
              <w:pStyle w:val="8"/>
              <w:spacing w:before="1"/>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2"/>
              <w:ind w:left="108" w:right="-15"/>
              <w:rPr>
                <w:color w:val="auto"/>
                <w:sz w:val="21"/>
              </w:rPr>
            </w:pPr>
            <w:r>
              <w:rPr>
                <w:color w:val="auto"/>
                <w:sz w:val="21"/>
              </w:rPr>
              <w:t>5</w:t>
            </w:r>
            <w:r>
              <w:rPr>
                <w:color w:val="auto"/>
                <w:spacing w:val="-11"/>
                <w:sz w:val="21"/>
              </w:rPr>
              <w:t xml:space="preserve"> 万元以上</w:t>
            </w:r>
            <w:r>
              <w:rPr>
                <w:color w:val="auto"/>
                <w:sz w:val="21"/>
              </w:rPr>
              <w:t>8</w:t>
            </w:r>
            <w:r>
              <w:rPr>
                <w:color w:val="auto"/>
                <w:spacing w:val="-13"/>
                <w:sz w:val="21"/>
              </w:rPr>
              <w:t xml:space="preserve"> 万元以下罚款；</w:t>
            </w:r>
          </w:p>
          <w:p>
            <w:pPr>
              <w:pStyle w:val="8"/>
              <w:spacing w:before="5"/>
              <w:ind w:left="108"/>
              <w:rPr>
                <w:color w:val="auto"/>
                <w:sz w:val="21"/>
              </w:rPr>
            </w:pPr>
            <w:r>
              <w:rPr>
                <w:color w:val="auto"/>
                <w:spacing w:val="-10"/>
                <w:sz w:val="21"/>
              </w:rPr>
              <w:t xml:space="preserve">货值金额 </w:t>
            </w:r>
            <w:r>
              <w:rPr>
                <w:color w:val="auto"/>
                <w:sz w:val="21"/>
              </w:rPr>
              <w:t>1</w:t>
            </w:r>
            <w:r>
              <w:rPr>
                <w:color w:val="auto"/>
                <w:spacing w:val="-12"/>
                <w:sz w:val="21"/>
              </w:rPr>
              <w:t xml:space="preserve"> 万元以上的，处</w:t>
            </w:r>
          </w:p>
          <w:p>
            <w:pPr>
              <w:pStyle w:val="8"/>
              <w:spacing w:before="2" w:line="244" w:lineRule="auto"/>
              <w:ind w:left="108" w:right="93"/>
              <w:rPr>
                <w:color w:val="auto"/>
                <w:sz w:val="21"/>
              </w:rPr>
            </w:pPr>
            <w:r>
              <w:rPr>
                <w:color w:val="auto"/>
                <w:spacing w:val="-13"/>
                <w:sz w:val="21"/>
              </w:rPr>
              <w:t xml:space="preserve">货值金额 </w:t>
            </w:r>
            <w:r>
              <w:rPr>
                <w:color w:val="auto"/>
                <w:sz w:val="21"/>
              </w:rPr>
              <w:t>15</w:t>
            </w:r>
            <w:r>
              <w:rPr>
                <w:color w:val="auto"/>
                <w:spacing w:val="-24"/>
                <w:sz w:val="21"/>
              </w:rPr>
              <w:t xml:space="preserve"> 倍以上 </w:t>
            </w:r>
            <w:r>
              <w:rPr>
                <w:color w:val="auto"/>
                <w:sz w:val="21"/>
              </w:rPr>
              <w:t>19.5</w:t>
            </w:r>
            <w:r>
              <w:rPr>
                <w:color w:val="auto"/>
                <w:spacing w:val="-36"/>
                <w:sz w:val="21"/>
              </w:rPr>
              <w:t xml:space="preserve"> 倍</w:t>
            </w:r>
            <w:r>
              <w:rPr>
                <w:color w:val="auto"/>
                <w:spacing w:val="-1"/>
                <w:sz w:val="21"/>
              </w:rPr>
              <w:t>以下罚款。</w:t>
            </w:r>
          </w:p>
        </w:tc>
        <w:tc>
          <w:tcPr>
            <w:tcW w:w="2717" w:type="dxa"/>
            <w:vAlign w:val="top"/>
          </w:tcPr>
          <w:p>
            <w:pPr>
              <w:pStyle w:val="8"/>
              <w:spacing w:before="4"/>
              <w:rPr>
                <w:rFonts w:ascii="Times New Roman"/>
                <w:color w:val="auto"/>
                <w:sz w:val="22"/>
              </w:rPr>
            </w:pPr>
          </w:p>
          <w:p>
            <w:pPr>
              <w:pStyle w:val="8"/>
              <w:spacing w:before="1"/>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2"/>
              <w:ind w:left="108"/>
              <w:rPr>
                <w:color w:val="auto"/>
                <w:sz w:val="21"/>
              </w:rPr>
            </w:pPr>
            <w:r>
              <w:rPr>
                <w:color w:val="auto"/>
                <w:sz w:val="21"/>
              </w:rPr>
              <w:t>8</w:t>
            </w:r>
            <w:r>
              <w:rPr>
                <w:color w:val="auto"/>
                <w:spacing w:val="-3"/>
                <w:sz w:val="21"/>
              </w:rPr>
              <w:t xml:space="preserve"> 万元以上 </w:t>
            </w:r>
            <w:r>
              <w:rPr>
                <w:color w:val="auto"/>
                <w:sz w:val="21"/>
              </w:rPr>
              <w:t>12</w:t>
            </w:r>
            <w:r>
              <w:rPr>
                <w:color w:val="auto"/>
                <w:spacing w:val="-3"/>
                <w:sz w:val="21"/>
              </w:rPr>
              <w:t xml:space="preserve"> 万元以下罚</w:t>
            </w:r>
          </w:p>
          <w:p>
            <w:pPr>
              <w:pStyle w:val="8"/>
              <w:spacing w:before="5"/>
              <w:ind w:left="108" w:right="-15"/>
              <w:rPr>
                <w:color w:val="auto"/>
                <w:sz w:val="21"/>
              </w:rPr>
            </w:pPr>
            <w:r>
              <w:rPr>
                <w:color w:val="auto"/>
                <w:spacing w:val="-26"/>
                <w:sz w:val="21"/>
              </w:rPr>
              <w:t xml:space="preserve">款；货值金额 </w:t>
            </w:r>
            <w:r>
              <w:rPr>
                <w:color w:val="auto"/>
                <w:sz w:val="21"/>
              </w:rPr>
              <w:t>1</w:t>
            </w:r>
            <w:r>
              <w:rPr>
                <w:color w:val="auto"/>
                <w:spacing w:val="-11"/>
                <w:sz w:val="21"/>
              </w:rPr>
              <w:t xml:space="preserve"> 万元以上的，</w:t>
            </w:r>
          </w:p>
          <w:p>
            <w:pPr>
              <w:pStyle w:val="8"/>
              <w:spacing w:before="2"/>
              <w:ind w:left="108"/>
              <w:rPr>
                <w:color w:val="auto"/>
                <w:sz w:val="21"/>
              </w:rPr>
            </w:pPr>
            <w:r>
              <w:rPr>
                <w:color w:val="auto"/>
                <w:sz w:val="21"/>
              </w:rPr>
              <w:t>处货值金额 19.5 倍以上</w:t>
            </w:r>
          </w:p>
          <w:p>
            <w:pPr>
              <w:pStyle w:val="8"/>
              <w:spacing w:before="4"/>
              <w:ind w:left="108"/>
              <w:rPr>
                <w:color w:val="auto"/>
                <w:sz w:val="21"/>
              </w:rPr>
            </w:pPr>
            <w:r>
              <w:rPr>
                <w:color w:val="auto"/>
                <w:sz w:val="21"/>
              </w:rPr>
              <w:t>25.5 倍以下罚款。</w:t>
            </w:r>
          </w:p>
        </w:tc>
        <w:tc>
          <w:tcPr>
            <w:tcW w:w="3900" w:type="dxa"/>
            <w:vAlign w:val="top"/>
          </w:tcPr>
          <w:p>
            <w:pPr>
              <w:pStyle w:val="8"/>
              <w:rPr>
                <w:rFonts w:ascii="Times New Roman"/>
                <w:color w:val="auto"/>
                <w:sz w:val="20"/>
              </w:rPr>
            </w:pPr>
          </w:p>
          <w:p>
            <w:pPr>
              <w:pStyle w:val="8"/>
              <w:spacing w:before="162"/>
              <w:ind w:left="106"/>
              <w:rPr>
                <w:color w:val="auto"/>
                <w:sz w:val="21"/>
              </w:rPr>
            </w:pPr>
            <w:r>
              <w:rPr>
                <w:color w:val="auto"/>
                <w:spacing w:val="-9"/>
                <w:sz w:val="21"/>
              </w:rPr>
              <w:t xml:space="preserve">货值金额不足 </w:t>
            </w:r>
            <w:r>
              <w:rPr>
                <w:color w:val="auto"/>
                <w:sz w:val="21"/>
              </w:rPr>
              <w:t>1</w:t>
            </w:r>
            <w:r>
              <w:rPr>
                <w:color w:val="auto"/>
                <w:spacing w:val="-15"/>
                <w:sz w:val="21"/>
              </w:rPr>
              <w:t xml:space="preserve"> 万元的，处 </w:t>
            </w:r>
            <w:r>
              <w:rPr>
                <w:color w:val="auto"/>
                <w:sz w:val="21"/>
              </w:rPr>
              <w:t>12</w:t>
            </w:r>
            <w:r>
              <w:rPr>
                <w:color w:val="auto"/>
                <w:spacing w:val="-11"/>
                <w:sz w:val="21"/>
              </w:rPr>
              <w:t xml:space="preserve"> 万元以上</w:t>
            </w:r>
          </w:p>
          <w:p>
            <w:pPr>
              <w:pStyle w:val="8"/>
              <w:spacing w:before="5"/>
              <w:ind w:left="106"/>
              <w:rPr>
                <w:color w:val="auto"/>
                <w:sz w:val="21"/>
              </w:rPr>
            </w:pPr>
            <w:r>
              <w:rPr>
                <w:color w:val="auto"/>
                <w:sz w:val="21"/>
              </w:rPr>
              <w:t>15</w:t>
            </w:r>
            <w:r>
              <w:rPr>
                <w:color w:val="auto"/>
                <w:spacing w:val="-9"/>
                <w:sz w:val="21"/>
              </w:rPr>
              <w:t xml:space="preserve"> 万元以下罚款；货值金额 </w:t>
            </w:r>
            <w:r>
              <w:rPr>
                <w:color w:val="auto"/>
                <w:sz w:val="21"/>
              </w:rPr>
              <w:t>1</w:t>
            </w:r>
            <w:r>
              <w:rPr>
                <w:color w:val="auto"/>
                <w:spacing w:val="-8"/>
                <w:sz w:val="21"/>
              </w:rPr>
              <w:t xml:space="preserve"> 万元以上</w:t>
            </w:r>
          </w:p>
          <w:p>
            <w:pPr>
              <w:pStyle w:val="8"/>
              <w:spacing w:before="2" w:line="244" w:lineRule="auto"/>
              <w:ind w:left="106" w:right="94"/>
              <w:rPr>
                <w:color w:val="auto"/>
                <w:sz w:val="21"/>
              </w:rPr>
            </w:pPr>
            <w:r>
              <w:rPr>
                <w:color w:val="auto"/>
                <w:spacing w:val="-21"/>
                <w:sz w:val="21"/>
              </w:rPr>
              <w:t xml:space="preserve">的，处货值金额 </w:t>
            </w:r>
            <w:r>
              <w:rPr>
                <w:color w:val="auto"/>
                <w:sz w:val="21"/>
              </w:rPr>
              <w:t>25.5</w:t>
            </w:r>
            <w:r>
              <w:rPr>
                <w:color w:val="auto"/>
                <w:spacing w:val="-22"/>
                <w:sz w:val="21"/>
              </w:rPr>
              <w:t xml:space="preserve"> 倍以上 </w:t>
            </w:r>
            <w:r>
              <w:rPr>
                <w:color w:val="auto"/>
                <w:sz w:val="21"/>
              </w:rPr>
              <w:t>30</w:t>
            </w:r>
            <w:r>
              <w:rPr>
                <w:color w:val="auto"/>
                <w:spacing w:val="-12"/>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655" w:type="dxa"/>
            <w:vMerge w:val="continue"/>
            <w:tcBorders>
              <w:top w:val="nil"/>
            </w:tcBorders>
            <w:vAlign w:val="top"/>
          </w:tcPr>
          <w:p>
            <w:pPr>
              <w:rPr>
                <w:color w:val="auto"/>
                <w:sz w:val="2"/>
                <w:szCs w:val="2"/>
              </w:rPr>
            </w:pPr>
          </w:p>
        </w:tc>
        <w:tc>
          <w:tcPr>
            <w:tcW w:w="528" w:type="dxa"/>
            <w:vAlign w:val="top"/>
          </w:tcPr>
          <w:p>
            <w:pPr>
              <w:pStyle w:val="8"/>
              <w:spacing w:before="2"/>
              <w:rPr>
                <w:rFonts w:ascii="Times New Roman"/>
                <w:color w:val="auto"/>
                <w:sz w:val="22"/>
              </w:rPr>
            </w:pPr>
          </w:p>
          <w:p>
            <w:pPr>
              <w:pStyle w:val="8"/>
              <w:spacing w:line="242" w:lineRule="auto"/>
              <w:ind w:left="158" w:right="146"/>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spacing w:before="162"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3"/>
              <w:ind w:left="108"/>
              <w:jc w:val="both"/>
              <w:rPr>
                <w:color w:val="auto"/>
                <w:sz w:val="21"/>
              </w:rPr>
            </w:pPr>
            <w:r>
              <w:rPr>
                <w:color w:val="auto"/>
                <w:sz w:val="21"/>
              </w:rPr>
              <w:t>0.3</w:t>
            </w:r>
            <w:r>
              <w:rPr>
                <w:color w:val="auto"/>
                <w:spacing w:val="-13"/>
                <w:sz w:val="21"/>
              </w:rPr>
              <w:t xml:space="preserve"> 倍以上</w:t>
            </w:r>
            <w:r>
              <w:rPr>
                <w:color w:val="auto"/>
                <w:sz w:val="21"/>
              </w:rPr>
              <w:t>1.1</w:t>
            </w:r>
            <w:r>
              <w:rPr>
                <w:color w:val="auto"/>
                <w:spacing w:val="-16"/>
                <w:sz w:val="21"/>
              </w:rPr>
              <w:t xml:space="preserve"> </w:t>
            </w:r>
            <w:r>
              <w:rPr>
                <w:rFonts w:hint="eastAsia"/>
                <w:color w:val="auto"/>
                <w:spacing w:val="-16"/>
                <w:sz w:val="21"/>
                <w:lang w:val="en-US" w:eastAsia="zh-CN"/>
              </w:rPr>
              <w:t>1</w:t>
            </w:r>
            <w:r>
              <w:rPr>
                <w:color w:val="auto"/>
                <w:spacing w:val="-16"/>
                <w:sz w:val="21"/>
              </w:rPr>
              <w:t>倍以下罚款。</w:t>
            </w:r>
          </w:p>
        </w:tc>
        <w:tc>
          <w:tcPr>
            <w:tcW w:w="2717" w:type="dxa"/>
            <w:vAlign w:val="top"/>
          </w:tcPr>
          <w:p>
            <w:pPr>
              <w:pStyle w:val="8"/>
              <w:rPr>
                <w:rFonts w:ascii="Times New Roman"/>
                <w:color w:val="auto"/>
                <w:sz w:val="20"/>
              </w:rPr>
            </w:pPr>
          </w:p>
          <w:p>
            <w:pPr>
              <w:pStyle w:val="8"/>
              <w:spacing w:before="162"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3"/>
              <w:ind w:left="108"/>
              <w:jc w:val="both"/>
              <w:rPr>
                <w:color w:val="auto"/>
                <w:sz w:val="21"/>
              </w:rPr>
            </w:pPr>
            <w:r>
              <w:rPr>
                <w:color w:val="auto"/>
                <w:sz w:val="21"/>
              </w:rPr>
              <w:t>1.1</w:t>
            </w:r>
            <w:r>
              <w:rPr>
                <w:color w:val="auto"/>
                <w:spacing w:val="-13"/>
                <w:sz w:val="21"/>
              </w:rPr>
              <w:t xml:space="preserve"> </w:t>
            </w:r>
            <w:r>
              <w:rPr>
                <w:rFonts w:hint="eastAsia"/>
                <w:color w:val="auto"/>
                <w:spacing w:val="-13"/>
                <w:sz w:val="21"/>
                <w:lang w:val="en-US" w:eastAsia="zh-CN"/>
              </w:rPr>
              <w:t>1</w:t>
            </w:r>
            <w:r>
              <w:rPr>
                <w:color w:val="auto"/>
                <w:spacing w:val="-13"/>
                <w:sz w:val="21"/>
              </w:rPr>
              <w:t>倍以上</w:t>
            </w:r>
            <w:r>
              <w:rPr>
                <w:color w:val="auto"/>
                <w:sz w:val="21"/>
              </w:rPr>
              <w:t>2.</w:t>
            </w:r>
            <w:r>
              <w:rPr>
                <w:rFonts w:hint="eastAsia"/>
                <w:color w:val="auto"/>
                <w:sz w:val="21"/>
                <w:lang w:val="en-US" w:eastAsia="zh-CN"/>
              </w:rPr>
              <w:t>19</w:t>
            </w:r>
            <w:r>
              <w:rPr>
                <w:color w:val="auto"/>
                <w:spacing w:val="-16"/>
                <w:sz w:val="21"/>
              </w:rPr>
              <w:t xml:space="preserve"> 倍以下罚款。</w:t>
            </w:r>
          </w:p>
        </w:tc>
        <w:tc>
          <w:tcPr>
            <w:tcW w:w="3900" w:type="dxa"/>
            <w:vAlign w:val="top"/>
          </w:tcPr>
          <w:p>
            <w:pPr>
              <w:pStyle w:val="8"/>
              <w:rPr>
                <w:rFonts w:ascii="Times New Roman"/>
                <w:color w:val="auto"/>
                <w:sz w:val="20"/>
              </w:rPr>
            </w:pPr>
          </w:p>
          <w:p>
            <w:pPr>
              <w:pStyle w:val="8"/>
              <w:rPr>
                <w:rFonts w:ascii="Times New Roman"/>
                <w:color w:val="auto"/>
                <w:sz w:val="26"/>
              </w:rPr>
            </w:pPr>
          </w:p>
          <w:p>
            <w:pPr>
              <w:pStyle w:val="8"/>
              <w:spacing w:line="242" w:lineRule="auto"/>
              <w:ind w:left="106" w:right="92"/>
              <w:rPr>
                <w:color w:val="auto"/>
                <w:sz w:val="21"/>
              </w:rPr>
            </w:pPr>
            <w:r>
              <w:rPr>
                <w:color w:val="auto"/>
                <w:spacing w:val="-13"/>
                <w:sz w:val="21"/>
              </w:rPr>
              <w:t>对法定代表人、主要负责人、直接负责的</w:t>
            </w:r>
            <w:r>
              <w:rPr>
                <w:color w:val="auto"/>
                <w:spacing w:val="17"/>
                <w:sz w:val="21"/>
              </w:rPr>
              <w:t>主管人员和其他责任人员处所获收入</w:t>
            </w:r>
          </w:p>
          <w:p>
            <w:pPr>
              <w:pStyle w:val="8"/>
              <w:spacing w:before="1"/>
              <w:ind w:left="106"/>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pPr>
        <w:pStyle w:val="4"/>
        <w:rPr>
          <w:rFonts w:ascii="Times New Roman"/>
          <w:color w:val="auto"/>
          <w:sz w:val="20"/>
        </w:rPr>
      </w:pPr>
    </w:p>
    <w:p>
      <w:pPr>
        <w:pStyle w:val="4"/>
        <w:rPr>
          <w:rFonts w:ascii="Times New Roman"/>
          <w:color w:val="auto"/>
          <w:sz w:val="20"/>
        </w:rPr>
      </w:pPr>
    </w:p>
    <w:p>
      <w:pPr>
        <w:pStyle w:val="4"/>
        <w:rPr>
          <w:rFonts w:ascii="Times New Roman"/>
          <w:color w:val="auto"/>
          <w:sz w:val="20"/>
        </w:rPr>
      </w:pPr>
    </w:p>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06"/>
        <w:gridCol w:w="478"/>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5"/>
              <w:rPr>
                <w:rFonts w:ascii="Times New Roman"/>
                <w:color w:val="auto"/>
                <w:sz w:val="23"/>
              </w:rPr>
            </w:pPr>
          </w:p>
          <w:p>
            <w:pPr>
              <w:pStyle w:val="8"/>
              <w:ind w:left="9"/>
              <w:jc w:val="center"/>
              <w:rPr>
                <w:color w:val="auto"/>
                <w:sz w:val="21"/>
              </w:rPr>
            </w:pPr>
            <w:r>
              <w:rPr>
                <w:color w:val="auto"/>
                <w:w w:val="100"/>
                <w:sz w:val="21"/>
              </w:rPr>
              <w:t>2</w:t>
            </w:r>
          </w:p>
        </w:tc>
        <w:tc>
          <w:tcPr>
            <w:tcW w:w="1184" w:type="dxa"/>
            <w:gridSpan w:val="2"/>
            <w:vAlign w:val="top"/>
          </w:tcPr>
          <w:p>
            <w:pPr>
              <w:pStyle w:val="8"/>
              <w:spacing w:before="9"/>
              <w:rPr>
                <w:rFonts w:ascii="Times New Roman"/>
                <w:color w:val="auto"/>
                <w:sz w:val="27"/>
              </w:rPr>
            </w:pPr>
          </w:p>
          <w:p>
            <w:pPr>
              <w:pStyle w:val="8"/>
              <w:ind w:left="170"/>
              <w:rPr>
                <w:b/>
                <w:color w:val="auto"/>
                <w:sz w:val="21"/>
              </w:rPr>
            </w:pPr>
            <w:r>
              <w:rPr>
                <w:b/>
                <w:color w:val="auto"/>
                <w:sz w:val="21"/>
              </w:rPr>
              <w:t>违法行为</w:t>
            </w:r>
          </w:p>
        </w:tc>
        <w:tc>
          <w:tcPr>
            <w:tcW w:w="12046" w:type="dxa"/>
            <w:gridSpan w:val="4"/>
            <w:vAlign w:val="top"/>
          </w:tcPr>
          <w:p>
            <w:pPr>
              <w:pStyle w:val="8"/>
              <w:spacing w:before="9"/>
              <w:rPr>
                <w:rFonts w:ascii="Times New Roman"/>
                <w:color w:val="auto"/>
                <w:sz w:val="27"/>
              </w:rPr>
            </w:pPr>
          </w:p>
          <w:p>
            <w:pPr>
              <w:pStyle w:val="8"/>
              <w:ind w:left="527"/>
              <w:rPr>
                <w:color w:val="auto"/>
                <w:sz w:val="21"/>
              </w:rPr>
            </w:pPr>
            <w:r>
              <w:rPr>
                <w:color w:val="auto"/>
                <w:sz w:val="21"/>
              </w:rPr>
              <w:t>在申请医疗器械行政许可时提供虚假资料或者采取其他欺骗手段的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2"/>
              </w:rPr>
            </w:pPr>
          </w:p>
          <w:p>
            <w:pPr>
              <w:pStyle w:val="8"/>
              <w:ind w:left="170"/>
              <w:rPr>
                <w:b/>
                <w:color w:val="auto"/>
                <w:sz w:val="21"/>
              </w:rPr>
            </w:pPr>
            <w:r>
              <w:rPr>
                <w:b/>
                <w:color w:val="auto"/>
                <w:sz w:val="21"/>
              </w:rPr>
              <w:t>处罚依据</w:t>
            </w:r>
          </w:p>
        </w:tc>
        <w:tc>
          <w:tcPr>
            <w:tcW w:w="12046" w:type="dxa"/>
            <w:gridSpan w:val="4"/>
            <w:vAlign w:val="top"/>
          </w:tcPr>
          <w:p>
            <w:r>
              <w:rPr>
                <w:color w:val="auto"/>
                <w:spacing w:val="-1"/>
                <w:sz w:val="21"/>
              </w:rPr>
              <w:t>根据《医疗器械监督管理条例》第八十三条第一款规定，不予行政许可，已经取得行政许可的，由作出行政许可决定的部门</w:t>
            </w:r>
            <w:r>
              <w:rPr>
                <w:color w:val="auto"/>
                <w:spacing w:val="-3"/>
                <w:sz w:val="21"/>
              </w:rPr>
              <w:t>撤销行政许可，没收违法所得、违法生产经营使用的医疗器械，</w:t>
            </w:r>
            <w:r>
              <w:rPr>
                <w:color w:val="auto"/>
                <w:sz w:val="21"/>
              </w:rPr>
              <w:t>10</w:t>
            </w:r>
            <w:r>
              <w:rPr>
                <w:color w:val="auto"/>
                <w:spacing w:val="-3"/>
                <w:sz w:val="21"/>
              </w:rPr>
              <w:t xml:space="preserve"> 年内不受理相关责任人以及单位提出的医疗器械许可申请；违</w:t>
            </w:r>
            <w:r>
              <w:rPr>
                <w:color w:val="auto"/>
                <w:spacing w:val="-6"/>
                <w:sz w:val="21"/>
              </w:rPr>
              <w:t xml:space="preserve">法生产经营使用的医疗器械货值金额不足 </w:t>
            </w:r>
            <w:r>
              <w:rPr>
                <w:color w:val="auto"/>
                <w:sz w:val="21"/>
              </w:rPr>
              <w:t>1</w:t>
            </w:r>
            <w:r>
              <w:rPr>
                <w:color w:val="auto"/>
                <w:spacing w:val="-18"/>
                <w:sz w:val="21"/>
              </w:rPr>
              <w:t xml:space="preserve"> 万元的，并处 </w:t>
            </w:r>
            <w:r>
              <w:rPr>
                <w:color w:val="auto"/>
                <w:sz w:val="21"/>
              </w:rPr>
              <w:t>5</w:t>
            </w:r>
            <w:r>
              <w:rPr>
                <w:color w:val="auto"/>
                <w:spacing w:val="-18"/>
                <w:sz w:val="21"/>
              </w:rPr>
              <w:t xml:space="preserve"> 万元以上 </w:t>
            </w:r>
            <w:r>
              <w:rPr>
                <w:color w:val="auto"/>
                <w:sz w:val="21"/>
              </w:rPr>
              <w:t>15</w:t>
            </w:r>
            <w:r>
              <w:rPr>
                <w:color w:val="auto"/>
                <w:spacing w:val="-13"/>
                <w:sz w:val="21"/>
              </w:rPr>
              <w:t xml:space="preserve"> 万元以下罚款；货值金额 </w:t>
            </w:r>
            <w:r>
              <w:rPr>
                <w:color w:val="auto"/>
                <w:sz w:val="21"/>
              </w:rPr>
              <w:t>1</w:t>
            </w:r>
            <w:r>
              <w:rPr>
                <w:color w:val="auto"/>
                <w:spacing w:val="-14"/>
                <w:sz w:val="21"/>
              </w:rPr>
              <w:t xml:space="preserve"> 万元以上的，并处货值金额 </w:t>
            </w:r>
            <w:r>
              <w:rPr>
                <w:color w:val="auto"/>
                <w:spacing w:val="-3"/>
                <w:sz w:val="21"/>
              </w:rPr>
              <w:t>15</w:t>
            </w:r>
          </w:p>
          <w:p>
            <w:pPr>
              <w:pStyle w:val="8"/>
              <w:spacing w:before="171" w:line="242" w:lineRule="auto"/>
              <w:ind w:left="107" w:right="95" w:firstLine="420"/>
              <w:rPr>
                <w:color w:val="auto"/>
                <w:sz w:val="21"/>
              </w:rPr>
            </w:pPr>
            <w:r>
              <w:rPr>
                <w:color w:val="auto"/>
                <w:spacing w:val="-8"/>
                <w:sz w:val="21"/>
              </w:rPr>
              <w:t xml:space="preserve">倍以上 </w:t>
            </w:r>
            <w:r>
              <w:rPr>
                <w:color w:val="auto"/>
                <w:sz w:val="21"/>
              </w:rPr>
              <w:t>30</w:t>
            </w:r>
            <w:r>
              <w:rPr>
                <w:color w:val="auto"/>
                <w:spacing w:val="-10"/>
                <w:sz w:val="21"/>
              </w:rPr>
              <w:t xml:space="preserve"> 倍以下罚款；情节严重的，责令停产停业，对违法单位的法定代表人、主要负责人、直接负责的主管人员和其他责任人</w:t>
            </w:r>
            <w:r>
              <w:rPr>
                <w:color w:val="auto"/>
                <w:spacing w:val="-7"/>
                <w:sz w:val="21"/>
              </w:rPr>
              <w:t xml:space="preserve">员，没收违法行为发生期间自本单位所获收入，并处所获收入 </w:t>
            </w:r>
            <w:r>
              <w:rPr>
                <w:color w:val="auto"/>
                <w:sz w:val="21"/>
              </w:rPr>
              <w:t>30</w:t>
            </w:r>
            <w:r>
              <w:rPr>
                <w:color w:val="auto"/>
                <w:spacing w:val="-11"/>
                <w:sz w:val="21"/>
              </w:rPr>
              <w:t xml:space="preserve">%以上 </w:t>
            </w:r>
            <w:r>
              <w:rPr>
                <w:color w:val="auto"/>
                <w:sz w:val="21"/>
              </w:rPr>
              <w:t>3</w:t>
            </w:r>
            <w:r>
              <w:rPr>
                <w:color w:val="auto"/>
                <w:spacing w:val="-8"/>
                <w:sz w:val="21"/>
              </w:rPr>
              <w:t xml:space="preserve"> 倍以下罚款，终身禁止其从事医疗器械生产经营活动。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9"/>
              <w:ind w:left="170"/>
              <w:rPr>
                <w:b/>
                <w:color w:val="auto"/>
                <w:sz w:val="21"/>
              </w:rPr>
            </w:pPr>
            <w:r>
              <w:rPr>
                <w:b/>
                <w:color w:val="auto"/>
                <w:sz w:val="21"/>
              </w:rPr>
              <w:t>裁量等级</w:t>
            </w:r>
          </w:p>
        </w:tc>
        <w:tc>
          <w:tcPr>
            <w:tcW w:w="2715" w:type="dxa"/>
            <w:vAlign w:val="top"/>
          </w:tcPr>
          <w:p>
            <w:pPr>
              <w:pStyle w:val="8"/>
              <w:spacing w:before="149"/>
              <w:ind w:left="107"/>
              <w:rPr>
                <w:b/>
                <w:color w:val="auto"/>
                <w:sz w:val="21"/>
              </w:rPr>
            </w:pPr>
            <w:r>
              <w:rPr>
                <w:b/>
                <w:color w:val="auto"/>
                <w:sz w:val="21"/>
              </w:rPr>
              <w:t>减轻</w:t>
            </w:r>
          </w:p>
        </w:tc>
        <w:tc>
          <w:tcPr>
            <w:tcW w:w="2714" w:type="dxa"/>
            <w:vAlign w:val="top"/>
          </w:tcPr>
          <w:p>
            <w:pPr>
              <w:pStyle w:val="8"/>
              <w:spacing w:before="149"/>
              <w:ind w:left="107"/>
              <w:rPr>
                <w:b/>
                <w:color w:val="auto"/>
                <w:sz w:val="21"/>
              </w:rPr>
            </w:pPr>
            <w:r>
              <w:rPr>
                <w:b/>
                <w:color w:val="auto"/>
                <w:sz w:val="21"/>
              </w:rPr>
              <w:t>从轻</w:t>
            </w:r>
          </w:p>
        </w:tc>
        <w:tc>
          <w:tcPr>
            <w:tcW w:w="2717" w:type="dxa"/>
            <w:vAlign w:val="top"/>
          </w:tcPr>
          <w:p>
            <w:pPr>
              <w:pStyle w:val="8"/>
              <w:spacing w:before="149"/>
              <w:ind w:left="107"/>
              <w:rPr>
                <w:b/>
                <w:color w:val="auto"/>
                <w:sz w:val="21"/>
              </w:rPr>
            </w:pPr>
            <w:r>
              <w:rPr>
                <w:b/>
                <w:color w:val="auto"/>
                <w:sz w:val="21"/>
              </w:rPr>
              <w:t>一般</w:t>
            </w:r>
          </w:p>
        </w:tc>
        <w:tc>
          <w:tcPr>
            <w:tcW w:w="3900" w:type="dxa"/>
            <w:vAlign w:val="top"/>
          </w:tcPr>
          <w:p>
            <w:pPr>
              <w:pStyle w:val="8"/>
              <w:spacing w:before="149"/>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2" w:lineRule="auto"/>
              <w:ind w:left="107" w:right="98"/>
              <w:rPr>
                <w:color w:val="auto"/>
                <w:sz w:val="21"/>
              </w:rPr>
            </w:pPr>
            <w:r>
              <w:rPr>
                <w:color w:val="auto"/>
                <w:sz w:val="21"/>
              </w:rPr>
              <w:t>符合裁量规定减轻行政处罚情形的。</w:t>
            </w:r>
          </w:p>
        </w:tc>
        <w:tc>
          <w:tcPr>
            <w:tcW w:w="2714" w:type="dxa"/>
            <w:vAlign w:val="top"/>
          </w:tcPr>
          <w:p>
            <w:pPr>
              <w:pStyle w:val="8"/>
              <w:spacing w:before="97" w:line="242"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2"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70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19"/>
              </w:rPr>
            </w:pPr>
          </w:p>
          <w:p>
            <w:pPr>
              <w:pStyle w:val="8"/>
              <w:spacing w:line="244" w:lineRule="auto"/>
              <w:ind w:left="141" w:right="130"/>
              <w:rPr>
                <w:b/>
                <w:color w:val="auto"/>
                <w:sz w:val="21"/>
              </w:rPr>
            </w:pPr>
            <w:r>
              <w:rPr>
                <w:b/>
                <w:color w:val="auto"/>
                <w:sz w:val="21"/>
              </w:rPr>
              <w:t>裁量基准</w:t>
            </w:r>
          </w:p>
        </w:tc>
        <w:tc>
          <w:tcPr>
            <w:tcW w:w="478" w:type="dxa"/>
            <w:vAlign w:val="top"/>
          </w:tcPr>
          <w:p>
            <w:pPr>
              <w:pStyle w:val="8"/>
              <w:rPr>
                <w:rFonts w:ascii="Times New Roman"/>
                <w:color w:val="auto"/>
                <w:sz w:val="20"/>
              </w:rPr>
            </w:pPr>
          </w:p>
          <w:p>
            <w:pPr>
              <w:pStyle w:val="8"/>
              <w:spacing w:before="162" w:line="242" w:lineRule="auto"/>
              <w:ind w:left="131" w:right="123"/>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tc>
        <w:tc>
          <w:tcPr>
            <w:tcW w:w="2714" w:type="dxa"/>
            <w:vAlign w:val="top"/>
          </w:tcPr>
          <w:p>
            <w:pPr>
              <w:pStyle w:val="8"/>
              <w:spacing w:before="2"/>
              <w:rPr>
                <w:rFonts w:ascii="Times New Roman"/>
                <w:color w:val="auto"/>
                <w:sz w:val="22"/>
              </w:rPr>
            </w:pPr>
          </w:p>
          <w:p>
            <w:pPr>
              <w:pStyle w:val="8"/>
              <w:ind w:left="107"/>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5"/>
              <w:ind w:left="107" w:right="-15"/>
              <w:rPr>
                <w:color w:val="auto"/>
                <w:sz w:val="21"/>
              </w:rPr>
            </w:pPr>
            <w:r>
              <w:rPr>
                <w:color w:val="auto"/>
                <w:sz w:val="21"/>
              </w:rPr>
              <w:t>5</w:t>
            </w:r>
            <w:r>
              <w:rPr>
                <w:color w:val="auto"/>
                <w:spacing w:val="-11"/>
                <w:sz w:val="21"/>
              </w:rPr>
              <w:t xml:space="preserve"> 万元以上</w:t>
            </w:r>
            <w:r>
              <w:rPr>
                <w:color w:val="auto"/>
                <w:sz w:val="21"/>
              </w:rPr>
              <w:t>8</w:t>
            </w:r>
            <w:r>
              <w:rPr>
                <w:color w:val="auto"/>
                <w:spacing w:val="-13"/>
                <w:sz w:val="21"/>
              </w:rPr>
              <w:t xml:space="preserve"> 万元以下罚款；</w:t>
            </w:r>
          </w:p>
          <w:p>
            <w:pPr>
              <w:pStyle w:val="8"/>
              <w:spacing w:before="2"/>
              <w:ind w:left="107"/>
              <w:rPr>
                <w:color w:val="auto"/>
                <w:sz w:val="21"/>
              </w:rPr>
            </w:pPr>
            <w:r>
              <w:rPr>
                <w:color w:val="auto"/>
                <w:spacing w:val="-11"/>
                <w:sz w:val="21"/>
              </w:rPr>
              <w:t xml:space="preserve">货值金额 </w:t>
            </w:r>
            <w:r>
              <w:rPr>
                <w:color w:val="auto"/>
                <w:sz w:val="21"/>
              </w:rPr>
              <w:t>1</w:t>
            </w:r>
            <w:r>
              <w:rPr>
                <w:color w:val="auto"/>
                <w:spacing w:val="-12"/>
                <w:sz w:val="21"/>
              </w:rPr>
              <w:t xml:space="preserve"> 万元以上的，处</w:t>
            </w:r>
          </w:p>
          <w:p>
            <w:pPr>
              <w:pStyle w:val="8"/>
              <w:spacing w:before="5" w:line="242" w:lineRule="auto"/>
              <w:ind w:left="107" w:right="94"/>
              <w:rPr>
                <w:color w:val="auto"/>
                <w:sz w:val="21"/>
              </w:rPr>
            </w:pPr>
            <w:r>
              <w:rPr>
                <w:color w:val="auto"/>
                <w:spacing w:val="-13"/>
                <w:sz w:val="21"/>
              </w:rPr>
              <w:t xml:space="preserve">货值金额 </w:t>
            </w:r>
            <w:r>
              <w:rPr>
                <w:color w:val="auto"/>
                <w:sz w:val="21"/>
              </w:rPr>
              <w:t>15</w:t>
            </w:r>
            <w:r>
              <w:rPr>
                <w:color w:val="auto"/>
                <w:spacing w:val="-24"/>
                <w:sz w:val="21"/>
              </w:rPr>
              <w:t xml:space="preserve"> 倍以上 </w:t>
            </w:r>
            <w:r>
              <w:rPr>
                <w:color w:val="auto"/>
                <w:sz w:val="21"/>
              </w:rPr>
              <w:t>19.5</w:t>
            </w:r>
            <w:r>
              <w:rPr>
                <w:color w:val="auto"/>
                <w:spacing w:val="-36"/>
                <w:sz w:val="21"/>
              </w:rPr>
              <w:t xml:space="preserve"> 倍</w:t>
            </w:r>
            <w:r>
              <w:rPr>
                <w:color w:val="auto"/>
                <w:spacing w:val="-1"/>
                <w:sz w:val="21"/>
              </w:rPr>
              <w:t>以下罚款。</w:t>
            </w:r>
          </w:p>
        </w:tc>
        <w:tc>
          <w:tcPr>
            <w:tcW w:w="2717" w:type="dxa"/>
            <w:vAlign w:val="top"/>
          </w:tcPr>
          <w:p>
            <w:pPr>
              <w:pStyle w:val="8"/>
              <w:spacing w:before="2"/>
              <w:rPr>
                <w:rFonts w:ascii="Times New Roman"/>
                <w:color w:val="auto"/>
                <w:sz w:val="22"/>
              </w:rPr>
            </w:pPr>
          </w:p>
          <w:p>
            <w:pPr>
              <w:pStyle w:val="8"/>
              <w:ind w:left="107"/>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5"/>
              <w:ind w:left="107"/>
              <w:rPr>
                <w:color w:val="auto"/>
                <w:sz w:val="21"/>
              </w:rPr>
            </w:pPr>
            <w:r>
              <w:rPr>
                <w:color w:val="auto"/>
                <w:sz w:val="21"/>
              </w:rPr>
              <w:t>8</w:t>
            </w:r>
            <w:r>
              <w:rPr>
                <w:color w:val="auto"/>
                <w:spacing w:val="-3"/>
                <w:sz w:val="21"/>
              </w:rPr>
              <w:t xml:space="preserve"> 万元以上 </w:t>
            </w:r>
            <w:r>
              <w:rPr>
                <w:color w:val="auto"/>
                <w:sz w:val="21"/>
              </w:rPr>
              <w:t>12</w:t>
            </w:r>
            <w:r>
              <w:rPr>
                <w:color w:val="auto"/>
                <w:spacing w:val="-3"/>
                <w:sz w:val="21"/>
              </w:rPr>
              <w:t xml:space="preserve"> 万元以下罚</w:t>
            </w:r>
          </w:p>
          <w:p>
            <w:pPr>
              <w:pStyle w:val="8"/>
              <w:spacing w:before="2"/>
              <w:ind w:left="107" w:right="-15"/>
              <w:rPr>
                <w:color w:val="auto"/>
                <w:sz w:val="21"/>
              </w:rPr>
            </w:pPr>
            <w:r>
              <w:rPr>
                <w:color w:val="auto"/>
                <w:spacing w:val="-26"/>
                <w:sz w:val="21"/>
              </w:rPr>
              <w:t xml:space="preserve">款；货值金额 </w:t>
            </w:r>
            <w:r>
              <w:rPr>
                <w:color w:val="auto"/>
                <w:sz w:val="21"/>
              </w:rPr>
              <w:t>1</w:t>
            </w:r>
            <w:r>
              <w:rPr>
                <w:color w:val="auto"/>
                <w:spacing w:val="-11"/>
                <w:sz w:val="21"/>
              </w:rPr>
              <w:t xml:space="preserve"> 万元以上的，</w:t>
            </w:r>
          </w:p>
          <w:p>
            <w:pPr>
              <w:pStyle w:val="8"/>
              <w:spacing w:before="5"/>
              <w:ind w:left="107"/>
              <w:rPr>
                <w:color w:val="auto"/>
                <w:sz w:val="21"/>
              </w:rPr>
            </w:pPr>
            <w:r>
              <w:rPr>
                <w:color w:val="auto"/>
                <w:sz w:val="21"/>
              </w:rPr>
              <w:t>处货值金额 19.5 倍以上</w:t>
            </w:r>
          </w:p>
          <w:p>
            <w:pPr>
              <w:pStyle w:val="8"/>
              <w:spacing w:before="2"/>
              <w:ind w:left="107"/>
              <w:rPr>
                <w:color w:val="auto"/>
                <w:sz w:val="21"/>
              </w:rPr>
            </w:pPr>
            <w:r>
              <w:rPr>
                <w:color w:val="auto"/>
                <w:sz w:val="21"/>
              </w:rPr>
              <w:t>25.5 倍以下罚款。</w:t>
            </w:r>
          </w:p>
        </w:tc>
        <w:tc>
          <w:tcPr>
            <w:tcW w:w="3900" w:type="dxa"/>
            <w:vAlign w:val="top"/>
          </w:tcPr>
          <w:p>
            <w:pPr>
              <w:pStyle w:val="8"/>
              <w:rPr>
                <w:rFonts w:ascii="Times New Roman"/>
                <w:color w:val="auto"/>
                <w:sz w:val="20"/>
              </w:rPr>
            </w:pPr>
          </w:p>
          <w:p>
            <w:pPr>
              <w:pStyle w:val="8"/>
              <w:spacing w:before="162"/>
              <w:ind w:left="105"/>
              <w:rPr>
                <w:color w:val="auto"/>
                <w:sz w:val="21"/>
              </w:rPr>
            </w:pPr>
            <w:r>
              <w:rPr>
                <w:color w:val="auto"/>
                <w:spacing w:val="-9"/>
                <w:sz w:val="21"/>
              </w:rPr>
              <w:t xml:space="preserve">货值金额不足 </w:t>
            </w:r>
            <w:r>
              <w:rPr>
                <w:color w:val="auto"/>
                <w:sz w:val="21"/>
              </w:rPr>
              <w:t>1</w:t>
            </w:r>
            <w:r>
              <w:rPr>
                <w:color w:val="auto"/>
                <w:spacing w:val="-15"/>
                <w:sz w:val="21"/>
              </w:rPr>
              <w:t xml:space="preserve"> 万元的，处 </w:t>
            </w:r>
            <w:r>
              <w:rPr>
                <w:color w:val="auto"/>
                <w:sz w:val="21"/>
              </w:rPr>
              <w:t>12</w:t>
            </w:r>
            <w:r>
              <w:rPr>
                <w:color w:val="auto"/>
                <w:spacing w:val="-11"/>
                <w:sz w:val="21"/>
              </w:rPr>
              <w:t xml:space="preserve"> 万元以上</w:t>
            </w:r>
          </w:p>
          <w:p>
            <w:pPr>
              <w:pStyle w:val="8"/>
              <w:spacing w:before="2"/>
              <w:ind w:left="105"/>
              <w:rPr>
                <w:color w:val="auto"/>
                <w:sz w:val="21"/>
              </w:rPr>
            </w:pPr>
            <w:r>
              <w:rPr>
                <w:color w:val="auto"/>
                <w:sz w:val="21"/>
              </w:rPr>
              <w:t>15</w:t>
            </w:r>
            <w:r>
              <w:rPr>
                <w:color w:val="auto"/>
                <w:spacing w:val="-9"/>
                <w:sz w:val="21"/>
              </w:rPr>
              <w:t xml:space="preserve"> 万元以下罚款；货值金额 </w:t>
            </w:r>
            <w:r>
              <w:rPr>
                <w:color w:val="auto"/>
                <w:sz w:val="21"/>
              </w:rPr>
              <w:t>1</w:t>
            </w:r>
            <w:r>
              <w:rPr>
                <w:color w:val="auto"/>
                <w:spacing w:val="-8"/>
                <w:sz w:val="21"/>
              </w:rPr>
              <w:t xml:space="preserve"> 万元以上</w:t>
            </w:r>
          </w:p>
          <w:p>
            <w:pPr>
              <w:pStyle w:val="8"/>
              <w:spacing w:before="5" w:line="242" w:lineRule="auto"/>
              <w:ind w:left="105" w:right="95"/>
              <w:rPr>
                <w:color w:val="auto"/>
                <w:sz w:val="21"/>
              </w:rPr>
            </w:pPr>
            <w:r>
              <w:rPr>
                <w:color w:val="auto"/>
                <w:spacing w:val="-21"/>
                <w:sz w:val="21"/>
              </w:rPr>
              <w:t xml:space="preserve">的，处货值金额 </w:t>
            </w:r>
            <w:r>
              <w:rPr>
                <w:color w:val="auto"/>
                <w:sz w:val="21"/>
              </w:rPr>
              <w:t>25.5</w:t>
            </w:r>
            <w:r>
              <w:rPr>
                <w:color w:val="auto"/>
                <w:spacing w:val="-22"/>
                <w:sz w:val="21"/>
              </w:rPr>
              <w:t xml:space="preserve"> 倍以上 </w:t>
            </w:r>
            <w:r>
              <w:rPr>
                <w:color w:val="auto"/>
                <w:sz w:val="21"/>
              </w:rPr>
              <w:t>30</w:t>
            </w:r>
            <w:r>
              <w:rPr>
                <w:color w:val="auto"/>
                <w:spacing w:val="-12"/>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706" w:type="dxa"/>
            <w:vMerge w:val="continue"/>
            <w:tcBorders>
              <w:top w:val="nil"/>
            </w:tcBorders>
            <w:vAlign w:val="top"/>
          </w:tcPr>
          <w:p>
            <w:pPr>
              <w:rPr>
                <w:color w:val="auto"/>
                <w:sz w:val="2"/>
                <w:szCs w:val="2"/>
              </w:rPr>
            </w:pPr>
          </w:p>
        </w:tc>
        <w:tc>
          <w:tcPr>
            <w:tcW w:w="478" w:type="dxa"/>
            <w:vAlign w:val="top"/>
          </w:tcPr>
          <w:p>
            <w:pPr>
              <w:pStyle w:val="8"/>
              <w:spacing w:before="2"/>
              <w:rPr>
                <w:rFonts w:ascii="Times New Roman"/>
                <w:color w:val="auto"/>
                <w:sz w:val="22"/>
              </w:rPr>
            </w:pPr>
          </w:p>
          <w:p>
            <w:pPr>
              <w:pStyle w:val="8"/>
              <w:spacing w:line="242" w:lineRule="auto"/>
              <w:ind w:left="131" w:right="123"/>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spacing w:before="162" w:line="242" w:lineRule="auto"/>
              <w:ind w:left="107" w:right="93"/>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1"/>
              <w:ind w:left="107"/>
              <w:jc w:val="both"/>
              <w:rPr>
                <w:color w:val="auto"/>
                <w:sz w:val="21"/>
              </w:rPr>
            </w:pPr>
            <w:r>
              <w:rPr>
                <w:color w:val="auto"/>
                <w:sz w:val="21"/>
              </w:rPr>
              <w:t>0.3</w:t>
            </w:r>
            <w:r>
              <w:rPr>
                <w:color w:val="auto"/>
                <w:spacing w:val="-13"/>
                <w:sz w:val="21"/>
              </w:rPr>
              <w:t xml:space="preserve"> 倍以上</w:t>
            </w:r>
            <w:r>
              <w:rPr>
                <w:color w:val="auto"/>
                <w:sz w:val="21"/>
              </w:rPr>
              <w:t>1.1</w:t>
            </w:r>
            <w:r>
              <w:rPr>
                <w:rFonts w:hint="eastAsia"/>
                <w:color w:val="auto"/>
                <w:sz w:val="21"/>
                <w:lang w:val="en-US" w:eastAsia="zh-CN"/>
              </w:rPr>
              <w:t>1</w:t>
            </w:r>
            <w:r>
              <w:rPr>
                <w:color w:val="auto"/>
                <w:spacing w:val="-16"/>
                <w:sz w:val="21"/>
              </w:rPr>
              <w:t xml:space="preserve"> 倍以下罚款。</w:t>
            </w:r>
          </w:p>
        </w:tc>
        <w:tc>
          <w:tcPr>
            <w:tcW w:w="2717" w:type="dxa"/>
            <w:vAlign w:val="top"/>
          </w:tcPr>
          <w:p>
            <w:pPr>
              <w:pStyle w:val="8"/>
              <w:rPr>
                <w:rFonts w:ascii="Times New Roman"/>
                <w:color w:val="auto"/>
                <w:sz w:val="20"/>
              </w:rPr>
            </w:pPr>
          </w:p>
          <w:p>
            <w:pPr>
              <w:pStyle w:val="8"/>
              <w:spacing w:before="162" w:line="242" w:lineRule="auto"/>
              <w:ind w:left="107" w:right="96"/>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1"/>
              <w:ind w:left="107"/>
              <w:jc w:val="both"/>
              <w:rPr>
                <w:color w:val="auto"/>
                <w:sz w:val="21"/>
              </w:rPr>
            </w:pPr>
            <w:r>
              <w:rPr>
                <w:color w:val="auto"/>
                <w:sz w:val="21"/>
              </w:rPr>
              <w:t>1.1</w:t>
            </w:r>
            <w:r>
              <w:rPr>
                <w:rFonts w:hint="eastAsia"/>
                <w:color w:val="auto"/>
                <w:sz w:val="21"/>
                <w:lang w:val="en-US" w:eastAsia="zh-CN"/>
              </w:rPr>
              <w:t>1</w:t>
            </w:r>
            <w:r>
              <w:rPr>
                <w:color w:val="auto"/>
                <w:spacing w:val="-13"/>
                <w:sz w:val="21"/>
              </w:rPr>
              <w:t xml:space="preserve"> 倍以上</w:t>
            </w:r>
            <w:r>
              <w:rPr>
                <w:color w:val="auto"/>
                <w:sz w:val="21"/>
              </w:rPr>
              <w:t>2.</w:t>
            </w:r>
            <w:r>
              <w:rPr>
                <w:rFonts w:hint="eastAsia"/>
                <w:color w:val="auto"/>
                <w:sz w:val="21"/>
                <w:lang w:val="en-US" w:eastAsia="zh-CN"/>
              </w:rPr>
              <w:t>19</w:t>
            </w:r>
            <w:r>
              <w:rPr>
                <w:color w:val="auto"/>
                <w:spacing w:val="-16"/>
                <w:sz w:val="21"/>
              </w:rPr>
              <w:t xml:space="preserve"> 倍以下罚款。</w:t>
            </w:r>
          </w:p>
        </w:tc>
        <w:tc>
          <w:tcPr>
            <w:tcW w:w="3900" w:type="dxa"/>
            <w:vAlign w:val="top"/>
          </w:tcPr>
          <w:p>
            <w:pPr>
              <w:pStyle w:val="8"/>
              <w:rPr>
                <w:rFonts w:ascii="Times New Roman"/>
                <w:color w:val="auto"/>
                <w:sz w:val="20"/>
              </w:rPr>
            </w:pPr>
          </w:p>
          <w:p>
            <w:pPr>
              <w:pStyle w:val="8"/>
              <w:spacing w:before="9"/>
              <w:rPr>
                <w:rFonts w:ascii="Times New Roman"/>
                <w:color w:val="auto"/>
                <w:sz w:val="25"/>
              </w:rPr>
            </w:pPr>
          </w:p>
          <w:p>
            <w:pPr>
              <w:pStyle w:val="8"/>
              <w:spacing w:line="244" w:lineRule="auto"/>
              <w:ind w:left="105" w:right="93"/>
              <w:rPr>
                <w:color w:val="auto"/>
                <w:sz w:val="21"/>
              </w:rPr>
            </w:pPr>
            <w:r>
              <w:rPr>
                <w:color w:val="auto"/>
                <w:spacing w:val="-13"/>
                <w:sz w:val="21"/>
              </w:rPr>
              <w:t>对法定代表人、主要负责人、直接负责的</w:t>
            </w:r>
            <w:r>
              <w:rPr>
                <w:color w:val="auto"/>
                <w:spacing w:val="17"/>
                <w:sz w:val="21"/>
              </w:rPr>
              <w:t>主管人员和其他责任人员处所获收入</w:t>
            </w:r>
          </w:p>
          <w:p>
            <w:pPr>
              <w:pStyle w:val="8"/>
              <w:spacing w:line="265" w:lineRule="exact"/>
              <w:ind w:left="105"/>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pPr>
        <w:spacing w:after="0" w:line="265" w:lineRule="exact"/>
        <w:rPr>
          <w:color w:val="auto"/>
          <w:sz w:val="21"/>
        </w:rPr>
        <w:sectPr>
          <w:pgSz w:w="16840" w:h="11910" w:orient="landscape"/>
          <w:pgMar w:top="1100" w:right="1400" w:bottom="1760" w:left="1400" w:header="0" w:footer="1572" w:gutter="0"/>
          <w:pgNumType w:fmt="numberInDash"/>
          <w:cols w:space="720" w:num="1"/>
        </w:sectPr>
      </w:pPr>
    </w:p>
    <w:p>
      <w:pPr>
        <w:pStyle w:val="4"/>
        <w:rPr>
          <w:rFonts w:ascii="Times New Roman"/>
          <w:color w:val="auto"/>
          <w:sz w:val="20"/>
        </w:rPr>
      </w:pPr>
    </w:p>
    <w:p>
      <w:pPr>
        <w:pStyle w:val="4"/>
        <w:rPr>
          <w:rFonts w:ascii="Times New Roman"/>
          <w:color w:val="auto"/>
          <w:sz w:val="20"/>
        </w:rPr>
      </w:pPr>
    </w:p>
    <w:p>
      <w:pPr>
        <w:pStyle w:val="4"/>
        <w:rPr>
          <w:rFonts w:ascii="Times New Roman"/>
          <w:color w:val="auto"/>
          <w:sz w:val="20"/>
        </w:rPr>
      </w:pPr>
    </w:p>
    <w:p>
      <w:pPr>
        <w:pStyle w:val="4"/>
        <w:spacing w:before="2"/>
        <w:rPr>
          <w:rFonts w:ascii="Times New Roman"/>
          <w:color w:val="auto"/>
          <w:sz w:val="26"/>
        </w:r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42"/>
              <w:ind w:left="4"/>
              <w:jc w:val="center"/>
              <w:rPr>
                <w:b/>
                <w:color w:val="auto"/>
                <w:sz w:val="21"/>
              </w:rPr>
            </w:pPr>
            <w:r>
              <w:rPr>
                <w:b/>
                <w:color w:val="auto"/>
                <w:w w:val="99"/>
                <w:sz w:val="21"/>
              </w:rPr>
              <w:t>3</w:t>
            </w:r>
          </w:p>
        </w:tc>
        <w:tc>
          <w:tcPr>
            <w:tcW w:w="1179" w:type="dxa"/>
            <w:vAlign w:val="top"/>
          </w:tcPr>
          <w:p>
            <w:pPr>
              <w:pStyle w:val="8"/>
              <w:spacing w:before="3"/>
              <w:rPr>
                <w:rFonts w:ascii="Times New Roman"/>
                <w:color w:val="auto"/>
                <w:sz w:val="20"/>
              </w:rPr>
            </w:pPr>
          </w:p>
          <w:p>
            <w:pPr>
              <w:pStyle w:val="8"/>
              <w:spacing w:before="1"/>
              <w:ind w:left="145" w:right="139"/>
              <w:jc w:val="center"/>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伪造、变造、买卖、出租、出借相关医疗器械许可证件的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47"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5"/>
              </w:rPr>
            </w:pPr>
          </w:p>
          <w:p>
            <w:pPr>
              <w:pStyle w:val="8"/>
              <w:spacing w:before="1"/>
              <w:ind w:left="145" w:right="139"/>
              <w:jc w:val="center"/>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rPr>
                <w:rFonts w:ascii="Times New Roman"/>
                <w:color w:val="auto"/>
                <w:sz w:val="20"/>
              </w:rPr>
            </w:pPr>
          </w:p>
          <w:p>
            <w:pPr>
              <w:pStyle w:val="8"/>
              <w:spacing w:before="5"/>
              <w:rPr>
                <w:rFonts w:ascii="Times New Roman"/>
                <w:color w:val="auto"/>
                <w:sz w:val="21"/>
              </w:rPr>
            </w:pPr>
          </w:p>
          <w:p>
            <w:pPr>
              <w:pStyle w:val="8"/>
              <w:ind w:left="527"/>
              <w:rPr>
                <w:color w:val="auto"/>
                <w:sz w:val="21"/>
              </w:rPr>
            </w:pPr>
            <w:r>
              <w:rPr>
                <w:color w:val="auto"/>
                <w:sz w:val="21"/>
              </w:rPr>
              <w:t>根据《医疗器械监督管理条例》第八十三条第二款规定，由原发证部门予以收缴或者吊销，没收违法所得；违法所得不足 1</w:t>
            </w:r>
          </w:p>
          <w:p>
            <w:pPr>
              <w:pStyle w:val="8"/>
              <w:spacing w:before="3" w:line="244" w:lineRule="auto"/>
              <w:ind w:left="107" w:right="95"/>
              <w:rPr>
                <w:color w:val="auto"/>
                <w:sz w:val="21"/>
              </w:rPr>
            </w:pPr>
            <w:r>
              <w:rPr>
                <w:color w:val="auto"/>
                <w:spacing w:val="-11"/>
                <w:sz w:val="21"/>
              </w:rPr>
              <w:t xml:space="preserve">万元的，并处 </w:t>
            </w:r>
            <w:r>
              <w:rPr>
                <w:color w:val="auto"/>
                <w:sz w:val="21"/>
              </w:rPr>
              <w:t>5</w:t>
            </w:r>
            <w:r>
              <w:rPr>
                <w:color w:val="auto"/>
                <w:spacing w:val="-19"/>
                <w:sz w:val="21"/>
              </w:rPr>
              <w:t xml:space="preserve"> 万元以上 </w:t>
            </w:r>
            <w:r>
              <w:rPr>
                <w:color w:val="auto"/>
                <w:sz w:val="21"/>
              </w:rPr>
              <w:t>10</w:t>
            </w:r>
            <w:r>
              <w:rPr>
                <w:color w:val="auto"/>
                <w:spacing w:val="-12"/>
                <w:sz w:val="21"/>
              </w:rPr>
              <w:t xml:space="preserve"> 万元以下罚款；违法所得 </w:t>
            </w:r>
            <w:r>
              <w:rPr>
                <w:color w:val="auto"/>
                <w:sz w:val="21"/>
              </w:rPr>
              <w:t>1</w:t>
            </w:r>
            <w:r>
              <w:rPr>
                <w:color w:val="auto"/>
                <w:spacing w:val="-12"/>
                <w:sz w:val="21"/>
              </w:rPr>
              <w:t xml:space="preserve"> 万元以上的，并处违法所得 </w:t>
            </w:r>
            <w:r>
              <w:rPr>
                <w:color w:val="auto"/>
                <w:sz w:val="21"/>
              </w:rPr>
              <w:t>10</w:t>
            </w:r>
            <w:r>
              <w:rPr>
                <w:color w:val="auto"/>
                <w:spacing w:val="-21"/>
                <w:sz w:val="21"/>
              </w:rPr>
              <w:t xml:space="preserve"> 倍以上 </w:t>
            </w:r>
            <w:r>
              <w:rPr>
                <w:color w:val="auto"/>
                <w:sz w:val="21"/>
              </w:rPr>
              <w:t>20</w:t>
            </w:r>
            <w:r>
              <w:rPr>
                <w:color w:val="auto"/>
                <w:spacing w:val="-9"/>
                <w:sz w:val="21"/>
              </w:rPr>
              <w:t xml:space="preserve"> 倍以下罚款；构成违反治安管理</w:t>
            </w:r>
            <w:r>
              <w:rPr>
                <w:color w:val="auto"/>
                <w:spacing w:val="-5"/>
                <w:sz w:val="21"/>
              </w:rPr>
              <w:t>行为的，由公安机关依法予以治安管理处罚。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7" w:type="dxa"/>
            <w:vMerge w:val="continue"/>
            <w:tcBorders>
              <w:top w:val="nil"/>
            </w:tcBorders>
            <w:vAlign w:val="top"/>
          </w:tcPr>
          <w:p>
            <w:pPr>
              <w:rPr>
                <w:color w:val="auto"/>
                <w:sz w:val="2"/>
                <w:szCs w:val="2"/>
              </w:rPr>
            </w:pPr>
          </w:p>
        </w:tc>
        <w:tc>
          <w:tcPr>
            <w:tcW w:w="1179" w:type="dxa"/>
            <w:vAlign w:val="top"/>
          </w:tcPr>
          <w:p>
            <w:pPr>
              <w:pStyle w:val="8"/>
              <w:spacing w:before="147"/>
              <w:ind w:left="145" w:right="139"/>
              <w:jc w:val="center"/>
              <w:rPr>
                <w:b/>
                <w:color w:val="auto"/>
                <w:sz w:val="21"/>
              </w:rPr>
            </w:pPr>
            <w:r>
              <w:rPr>
                <w:b/>
                <w:color w:val="auto"/>
                <w:sz w:val="21"/>
              </w:rPr>
              <w:t>裁量等级</w:t>
            </w:r>
          </w:p>
        </w:tc>
        <w:tc>
          <w:tcPr>
            <w:tcW w:w="2715" w:type="dxa"/>
            <w:vAlign w:val="top"/>
          </w:tcPr>
          <w:p>
            <w:pPr>
              <w:pStyle w:val="8"/>
              <w:spacing w:before="147"/>
              <w:ind w:left="107"/>
              <w:rPr>
                <w:b/>
                <w:color w:val="auto"/>
                <w:sz w:val="21"/>
              </w:rPr>
            </w:pPr>
            <w:r>
              <w:rPr>
                <w:b/>
                <w:color w:val="auto"/>
                <w:sz w:val="21"/>
              </w:rPr>
              <w:t>减轻</w:t>
            </w:r>
          </w:p>
        </w:tc>
        <w:tc>
          <w:tcPr>
            <w:tcW w:w="2714" w:type="dxa"/>
            <w:vAlign w:val="top"/>
          </w:tcPr>
          <w:p>
            <w:pPr>
              <w:pStyle w:val="8"/>
              <w:spacing w:before="147"/>
              <w:ind w:left="107"/>
              <w:rPr>
                <w:b/>
                <w:color w:val="auto"/>
                <w:sz w:val="21"/>
              </w:rPr>
            </w:pPr>
            <w:r>
              <w:rPr>
                <w:b/>
                <w:color w:val="auto"/>
                <w:sz w:val="21"/>
              </w:rPr>
              <w:t>从轻</w:t>
            </w:r>
          </w:p>
        </w:tc>
        <w:tc>
          <w:tcPr>
            <w:tcW w:w="2717" w:type="dxa"/>
            <w:vAlign w:val="top"/>
          </w:tcPr>
          <w:p>
            <w:pPr>
              <w:pStyle w:val="8"/>
              <w:spacing w:before="147"/>
              <w:ind w:left="107"/>
              <w:rPr>
                <w:b/>
                <w:color w:val="auto"/>
                <w:sz w:val="21"/>
              </w:rPr>
            </w:pPr>
            <w:r>
              <w:rPr>
                <w:b/>
                <w:color w:val="auto"/>
                <w:sz w:val="21"/>
              </w:rPr>
              <w:t>一般</w:t>
            </w:r>
          </w:p>
        </w:tc>
        <w:tc>
          <w:tcPr>
            <w:tcW w:w="3900" w:type="dxa"/>
            <w:vAlign w:val="top"/>
          </w:tcPr>
          <w:p>
            <w:pPr>
              <w:pStyle w:val="8"/>
              <w:spacing w:before="147"/>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7" w:type="dxa"/>
            <w:vMerge w:val="continue"/>
            <w:tcBorders>
              <w:top w:val="nil"/>
            </w:tcBorders>
            <w:vAlign w:val="top"/>
          </w:tcPr>
          <w:p>
            <w:pPr>
              <w:rPr>
                <w:color w:val="auto"/>
                <w:sz w:val="2"/>
                <w:szCs w:val="2"/>
              </w:rPr>
            </w:pPr>
          </w:p>
        </w:tc>
        <w:tc>
          <w:tcPr>
            <w:tcW w:w="1179" w:type="dxa"/>
            <w:vAlign w:val="top"/>
          </w:tcPr>
          <w:p>
            <w:pPr>
              <w:pStyle w:val="8"/>
              <w:spacing w:before="3"/>
              <w:rPr>
                <w:rFonts w:ascii="Times New Roman"/>
                <w:color w:val="auto"/>
                <w:sz w:val="20"/>
              </w:rPr>
            </w:pPr>
          </w:p>
          <w:p>
            <w:pPr>
              <w:pStyle w:val="8"/>
              <w:spacing w:before="1"/>
              <w:ind w:left="145" w:right="139"/>
              <w:jc w:val="center"/>
              <w:rPr>
                <w:b/>
                <w:color w:val="auto"/>
                <w:sz w:val="21"/>
              </w:rPr>
            </w:pPr>
            <w:r>
              <w:rPr>
                <w:b/>
                <w:color w:val="auto"/>
                <w:sz w:val="21"/>
              </w:rPr>
              <w:t>裁量情节</w:t>
            </w:r>
          </w:p>
        </w:tc>
        <w:tc>
          <w:tcPr>
            <w:tcW w:w="2715" w:type="dxa"/>
            <w:vAlign w:val="top"/>
          </w:tcPr>
          <w:p>
            <w:pPr>
              <w:pStyle w:val="8"/>
              <w:spacing w:before="97" w:line="244" w:lineRule="auto"/>
              <w:ind w:left="107" w:right="98"/>
              <w:rPr>
                <w:color w:val="auto"/>
                <w:sz w:val="21"/>
              </w:rPr>
            </w:pPr>
            <w:r>
              <w:rPr>
                <w:color w:val="auto"/>
                <w:sz w:val="21"/>
              </w:rPr>
              <w:t>符合裁量规定减轻行政处罚情形的。</w:t>
            </w:r>
            <w:r>
              <w:rPr>
                <w:rFonts w:hint="eastAsia"/>
                <w:color w:val="auto"/>
                <w:sz w:val="21"/>
                <w:lang w:eastAsia="zh-CN"/>
              </w:rPr>
              <w:t>伪造、变造的不适用。</w:t>
            </w:r>
          </w:p>
        </w:tc>
        <w:tc>
          <w:tcPr>
            <w:tcW w:w="2714" w:type="dxa"/>
            <w:vAlign w:val="top"/>
          </w:tcPr>
          <w:p>
            <w:pPr>
              <w:pStyle w:val="8"/>
              <w:spacing w:before="97" w:line="244"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4"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9"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5"/>
              </w:rPr>
            </w:pPr>
          </w:p>
          <w:p>
            <w:pPr>
              <w:pStyle w:val="8"/>
              <w:ind w:left="145" w:right="139"/>
              <w:jc w:val="center"/>
              <w:rPr>
                <w:b/>
                <w:color w:val="auto"/>
                <w:sz w:val="21"/>
              </w:rPr>
            </w:pPr>
            <w:r>
              <w:rPr>
                <w:b/>
                <w:color w:val="auto"/>
                <w:sz w:val="21"/>
              </w:rPr>
              <w:t>裁量基准</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7"/>
              </w:rPr>
            </w:pPr>
          </w:p>
          <w:p>
            <w:pPr>
              <w:pStyle w:val="8"/>
              <w:ind w:left="107"/>
              <w:rPr>
                <w:color w:val="auto"/>
                <w:sz w:val="21"/>
              </w:rPr>
            </w:pPr>
            <w:r>
              <w:rPr>
                <w:color w:val="auto"/>
                <w:spacing w:val="-9"/>
                <w:sz w:val="21"/>
              </w:rPr>
              <w:t xml:space="preserve">违法所得不足 </w:t>
            </w:r>
            <w:r>
              <w:rPr>
                <w:color w:val="auto"/>
                <w:sz w:val="21"/>
              </w:rPr>
              <w:t>1</w:t>
            </w:r>
            <w:r>
              <w:rPr>
                <w:color w:val="auto"/>
                <w:spacing w:val="-15"/>
                <w:sz w:val="21"/>
              </w:rPr>
              <w:t xml:space="preserve"> 万元的，处</w:t>
            </w:r>
          </w:p>
          <w:p>
            <w:pPr>
              <w:pStyle w:val="8"/>
              <w:spacing w:before="5" w:line="242" w:lineRule="auto"/>
              <w:ind w:left="107" w:right="-15"/>
              <w:rPr>
                <w:color w:val="auto"/>
                <w:sz w:val="21"/>
              </w:rPr>
            </w:pPr>
            <w:r>
              <w:rPr>
                <w:color w:val="auto"/>
                <w:sz w:val="21"/>
              </w:rPr>
              <w:t>0.5</w:t>
            </w:r>
            <w:r>
              <w:rPr>
                <w:color w:val="auto"/>
                <w:spacing w:val="-16"/>
                <w:sz w:val="21"/>
              </w:rPr>
              <w:t xml:space="preserve"> 万元以上 </w:t>
            </w:r>
            <w:r>
              <w:rPr>
                <w:color w:val="auto"/>
                <w:sz w:val="21"/>
              </w:rPr>
              <w:t>5</w:t>
            </w:r>
            <w:r>
              <w:rPr>
                <w:color w:val="auto"/>
                <w:spacing w:val="-10"/>
                <w:sz w:val="21"/>
              </w:rPr>
              <w:t xml:space="preserve"> 万元以下罚</w:t>
            </w:r>
            <w:r>
              <w:rPr>
                <w:color w:val="auto"/>
                <w:spacing w:val="-26"/>
                <w:sz w:val="21"/>
              </w:rPr>
              <w:t xml:space="preserve">款；违法所得 </w:t>
            </w:r>
            <w:r>
              <w:rPr>
                <w:color w:val="auto"/>
                <w:sz w:val="21"/>
              </w:rPr>
              <w:t>1</w:t>
            </w:r>
            <w:r>
              <w:rPr>
                <w:color w:val="auto"/>
                <w:spacing w:val="-12"/>
                <w:sz w:val="21"/>
              </w:rPr>
              <w:t xml:space="preserve"> 万元以上的， 处违法所得 </w:t>
            </w:r>
            <w:r>
              <w:rPr>
                <w:color w:val="auto"/>
                <w:sz w:val="21"/>
              </w:rPr>
              <w:t>1</w:t>
            </w:r>
            <w:r>
              <w:rPr>
                <w:color w:val="auto"/>
                <w:spacing w:val="-13"/>
                <w:sz w:val="21"/>
              </w:rPr>
              <w:t xml:space="preserve"> 倍以上 </w:t>
            </w:r>
            <w:r>
              <w:rPr>
                <w:color w:val="auto"/>
                <w:sz w:val="21"/>
              </w:rPr>
              <w:t>10</w:t>
            </w:r>
            <w:r>
              <w:rPr>
                <w:color w:val="auto"/>
                <w:spacing w:val="-16"/>
                <w:sz w:val="21"/>
              </w:rPr>
              <w:t xml:space="preserve"> 倍</w:t>
            </w:r>
            <w:r>
              <w:rPr>
                <w:color w:val="auto"/>
                <w:spacing w:val="-8"/>
                <w:sz w:val="21"/>
              </w:rPr>
              <w:t>以下罚款。</w:t>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7"/>
              </w:rPr>
            </w:pPr>
          </w:p>
          <w:p>
            <w:pPr>
              <w:pStyle w:val="8"/>
              <w:ind w:left="107"/>
              <w:rPr>
                <w:color w:val="auto"/>
                <w:sz w:val="21"/>
              </w:rPr>
            </w:pPr>
            <w:r>
              <w:rPr>
                <w:color w:val="auto"/>
                <w:spacing w:val="-9"/>
                <w:sz w:val="21"/>
              </w:rPr>
              <w:t xml:space="preserve">违法所得不足 </w:t>
            </w:r>
            <w:r>
              <w:rPr>
                <w:color w:val="auto"/>
                <w:sz w:val="21"/>
              </w:rPr>
              <w:t>1</w:t>
            </w:r>
            <w:r>
              <w:rPr>
                <w:color w:val="auto"/>
                <w:spacing w:val="-15"/>
                <w:sz w:val="21"/>
              </w:rPr>
              <w:t xml:space="preserve"> 万元的，处</w:t>
            </w:r>
          </w:p>
          <w:p>
            <w:pPr>
              <w:pStyle w:val="8"/>
              <w:spacing w:before="5"/>
              <w:ind w:left="107"/>
              <w:rPr>
                <w:color w:val="auto"/>
                <w:sz w:val="21"/>
              </w:rPr>
            </w:pPr>
            <w:r>
              <w:rPr>
                <w:color w:val="auto"/>
                <w:sz w:val="21"/>
              </w:rPr>
              <w:t>5</w:t>
            </w:r>
            <w:r>
              <w:rPr>
                <w:color w:val="auto"/>
                <w:spacing w:val="-15"/>
                <w:sz w:val="21"/>
              </w:rPr>
              <w:t xml:space="preserve"> 万元以上 </w:t>
            </w:r>
            <w:r>
              <w:rPr>
                <w:color w:val="auto"/>
                <w:sz w:val="21"/>
              </w:rPr>
              <w:t>6.5</w:t>
            </w:r>
            <w:r>
              <w:rPr>
                <w:color w:val="auto"/>
                <w:spacing w:val="-10"/>
                <w:sz w:val="21"/>
              </w:rPr>
              <w:t xml:space="preserve"> 万元以下罚</w:t>
            </w:r>
          </w:p>
          <w:p>
            <w:pPr>
              <w:pStyle w:val="8"/>
              <w:spacing w:before="2"/>
              <w:ind w:left="107" w:right="-15"/>
              <w:rPr>
                <w:color w:val="auto"/>
                <w:sz w:val="21"/>
              </w:rPr>
            </w:pPr>
            <w:r>
              <w:rPr>
                <w:color w:val="auto"/>
                <w:spacing w:val="-26"/>
                <w:sz w:val="21"/>
              </w:rPr>
              <w:t xml:space="preserve">款；违法所得 </w:t>
            </w:r>
            <w:r>
              <w:rPr>
                <w:color w:val="auto"/>
                <w:sz w:val="21"/>
              </w:rPr>
              <w:t>1</w:t>
            </w:r>
            <w:r>
              <w:rPr>
                <w:color w:val="auto"/>
                <w:spacing w:val="-11"/>
                <w:sz w:val="21"/>
              </w:rPr>
              <w:t xml:space="preserve"> 万元以上的，</w:t>
            </w:r>
          </w:p>
          <w:p>
            <w:pPr>
              <w:pStyle w:val="8"/>
              <w:spacing w:before="5" w:line="242" w:lineRule="auto"/>
              <w:ind w:left="107" w:right="94"/>
              <w:rPr>
                <w:color w:val="auto"/>
                <w:sz w:val="21"/>
              </w:rPr>
            </w:pPr>
            <w:r>
              <w:rPr>
                <w:color w:val="auto"/>
                <w:spacing w:val="-11"/>
                <w:sz w:val="21"/>
              </w:rPr>
              <w:t xml:space="preserve">处违法所得 </w:t>
            </w:r>
            <w:r>
              <w:rPr>
                <w:color w:val="auto"/>
                <w:sz w:val="21"/>
              </w:rPr>
              <w:t>10</w:t>
            </w:r>
            <w:r>
              <w:rPr>
                <w:color w:val="auto"/>
                <w:spacing w:val="-24"/>
                <w:sz w:val="21"/>
              </w:rPr>
              <w:t xml:space="preserve"> 倍以上 </w:t>
            </w:r>
            <w:r>
              <w:rPr>
                <w:color w:val="auto"/>
                <w:sz w:val="21"/>
              </w:rPr>
              <w:t>13</w:t>
            </w:r>
            <w:r>
              <w:rPr>
                <w:color w:val="auto"/>
                <w:spacing w:val="-36"/>
                <w:sz w:val="21"/>
              </w:rPr>
              <w:t xml:space="preserve"> 倍</w:t>
            </w:r>
            <w:r>
              <w:rPr>
                <w:color w:val="auto"/>
                <w:spacing w:val="-1"/>
                <w:sz w:val="21"/>
              </w:rPr>
              <w:t>以下罚款。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7"/>
              </w:rPr>
            </w:pPr>
          </w:p>
          <w:p>
            <w:pPr>
              <w:pStyle w:val="8"/>
              <w:ind w:left="107"/>
              <w:rPr>
                <w:color w:val="auto"/>
                <w:sz w:val="21"/>
              </w:rPr>
            </w:pPr>
            <w:r>
              <w:rPr>
                <w:color w:val="auto"/>
                <w:spacing w:val="-9"/>
                <w:sz w:val="21"/>
              </w:rPr>
              <w:t xml:space="preserve">违法所得不足 </w:t>
            </w:r>
            <w:r>
              <w:rPr>
                <w:color w:val="auto"/>
                <w:sz w:val="21"/>
              </w:rPr>
              <w:t>1</w:t>
            </w:r>
            <w:r>
              <w:rPr>
                <w:color w:val="auto"/>
                <w:spacing w:val="-15"/>
                <w:sz w:val="21"/>
              </w:rPr>
              <w:t xml:space="preserve"> 万元的，处</w:t>
            </w:r>
          </w:p>
          <w:p>
            <w:pPr>
              <w:pStyle w:val="8"/>
              <w:spacing w:before="5" w:line="242" w:lineRule="auto"/>
              <w:ind w:left="107" w:right="96"/>
              <w:jc w:val="both"/>
              <w:rPr>
                <w:color w:val="auto"/>
                <w:sz w:val="21"/>
              </w:rPr>
            </w:pPr>
            <w:r>
              <w:rPr>
                <w:color w:val="auto"/>
                <w:sz w:val="21"/>
              </w:rPr>
              <w:t>6.5</w:t>
            </w:r>
            <w:r>
              <w:rPr>
                <w:color w:val="auto"/>
                <w:spacing w:val="-15"/>
                <w:sz w:val="21"/>
              </w:rPr>
              <w:t xml:space="preserve"> 万元以上 </w:t>
            </w:r>
            <w:r>
              <w:rPr>
                <w:color w:val="auto"/>
                <w:sz w:val="21"/>
              </w:rPr>
              <w:t>8.5</w:t>
            </w:r>
            <w:r>
              <w:rPr>
                <w:color w:val="auto"/>
                <w:spacing w:val="-13"/>
                <w:sz w:val="21"/>
              </w:rPr>
              <w:t xml:space="preserve"> 万元以下</w:t>
            </w:r>
            <w:r>
              <w:rPr>
                <w:color w:val="auto"/>
                <w:spacing w:val="-12"/>
                <w:sz w:val="21"/>
              </w:rPr>
              <w:t xml:space="preserve">罚款；违法所得 </w:t>
            </w:r>
            <w:r>
              <w:rPr>
                <w:color w:val="auto"/>
                <w:sz w:val="21"/>
              </w:rPr>
              <w:t>1</w:t>
            </w:r>
            <w:r>
              <w:rPr>
                <w:color w:val="auto"/>
                <w:spacing w:val="-14"/>
                <w:sz w:val="21"/>
              </w:rPr>
              <w:t xml:space="preserve"> 万元以上</w:t>
            </w:r>
            <w:r>
              <w:rPr>
                <w:color w:val="auto"/>
                <w:spacing w:val="-3"/>
                <w:sz w:val="21"/>
              </w:rPr>
              <w:t xml:space="preserve">的，处违法所得 </w:t>
            </w:r>
            <w:r>
              <w:rPr>
                <w:color w:val="auto"/>
                <w:sz w:val="21"/>
              </w:rPr>
              <w:t>13</w:t>
            </w:r>
            <w:r>
              <w:rPr>
                <w:color w:val="auto"/>
                <w:spacing w:val="-7"/>
                <w:sz w:val="21"/>
              </w:rPr>
              <w:t xml:space="preserve"> 倍以上</w:t>
            </w:r>
          </w:p>
          <w:p>
            <w:pPr>
              <w:pStyle w:val="8"/>
              <w:spacing w:before="1"/>
              <w:ind w:left="107"/>
              <w:jc w:val="both"/>
              <w:rPr>
                <w:color w:val="auto"/>
                <w:sz w:val="21"/>
              </w:rPr>
            </w:pPr>
            <w:r>
              <w:rPr>
                <w:color w:val="auto"/>
                <w:sz w:val="21"/>
              </w:rPr>
              <w:t>17 倍以下罚款。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21"/>
              </w:rPr>
            </w:pPr>
          </w:p>
          <w:p>
            <w:pPr>
              <w:pStyle w:val="8"/>
              <w:ind w:left="105"/>
              <w:rPr>
                <w:color w:val="auto"/>
                <w:sz w:val="21"/>
              </w:rPr>
            </w:pPr>
            <w:r>
              <w:rPr>
                <w:color w:val="auto"/>
                <w:spacing w:val="-9"/>
                <w:sz w:val="21"/>
              </w:rPr>
              <w:t xml:space="preserve">违法所得不足 </w:t>
            </w:r>
            <w:r>
              <w:rPr>
                <w:color w:val="auto"/>
                <w:sz w:val="21"/>
              </w:rPr>
              <w:t>1</w:t>
            </w:r>
            <w:r>
              <w:rPr>
                <w:color w:val="auto"/>
                <w:spacing w:val="-30"/>
                <w:sz w:val="21"/>
              </w:rPr>
              <w:t xml:space="preserve"> 万元的，处 </w:t>
            </w:r>
            <w:r>
              <w:rPr>
                <w:color w:val="auto"/>
                <w:sz w:val="21"/>
              </w:rPr>
              <w:t>8.5</w:t>
            </w:r>
            <w:r>
              <w:rPr>
                <w:color w:val="auto"/>
                <w:spacing w:val="-12"/>
                <w:sz w:val="21"/>
              </w:rPr>
              <w:t xml:space="preserve"> 万元以上</w:t>
            </w:r>
          </w:p>
          <w:p>
            <w:pPr>
              <w:pStyle w:val="8"/>
              <w:spacing w:before="2" w:line="244" w:lineRule="auto"/>
              <w:ind w:left="105" w:right="-15"/>
              <w:rPr>
                <w:color w:val="auto"/>
                <w:sz w:val="21"/>
              </w:rPr>
            </w:pPr>
            <w:r>
              <w:rPr>
                <w:color w:val="auto"/>
                <w:sz w:val="21"/>
              </w:rPr>
              <w:t>10</w:t>
            </w:r>
            <w:r>
              <w:rPr>
                <w:color w:val="auto"/>
                <w:spacing w:val="-9"/>
                <w:sz w:val="21"/>
              </w:rPr>
              <w:t xml:space="preserve"> 万元以下罚款；违法所得 </w:t>
            </w:r>
            <w:r>
              <w:rPr>
                <w:color w:val="auto"/>
                <w:sz w:val="21"/>
              </w:rPr>
              <w:t>1</w:t>
            </w:r>
            <w:r>
              <w:rPr>
                <w:color w:val="auto"/>
                <w:spacing w:val="-8"/>
                <w:sz w:val="21"/>
              </w:rPr>
              <w:t xml:space="preserve"> 万元以上</w:t>
            </w:r>
            <w:r>
              <w:rPr>
                <w:color w:val="auto"/>
                <w:spacing w:val="-15"/>
                <w:sz w:val="21"/>
              </w:rPr>
              <w:t>的，处违法所得</w:t>
            </w:r>
            <w:r>
              <w:rPr>
                <w:color w:val="auto"/>
                <w:sz w:val="21"/>
              </w:rPr>
              <w:t>17</w:t>
            </w:r>
            <w:r>
              <w:rPr>
                <w:color w:val="auto"/>
                <w:spacing w:val="-13"/>
                <w:sz w:val="21"/>
              </w:rPr>
              <w:t xml:space="preserve"> 倍以上</w:t>
            </w:r>
            <w:r>
              <w:rPr>
                <w:color w:val="auto"/>
                <w:sz w:val="21"/>
              </w:rPr>
              <w:t>20</w:t>
            </w:r>
            <w:r>
              <w:rPr>
                <w:color w:val="auto"/>
                <w:spacing w:val="-12"/>
                <w:sz w:val="21"/>
              </w:rPr>
              <w:t xml:space="preserve"> 倍以下罚款。</w:t>
            </w:r>
          </w:p>
        </w:tc>
      </w:tr>
    </w:tbl>
    <w:p>
      <w:pPr>
        <w:spacing w:after="0" w:line="244" w:lineRule="auto"/>
        <w:rPr>
          <w:color w:val="auto"/>
          <w:sz w:val="21"/>
        </w:rPr>
        <w:sectPr>
          <w:pgSz w:w="16840" w:h="11910" w:orient="landscape"/>
          <w:pgMar w:top="1100" w:right="1400" w:bottom="1760" w:left="1400" w:header="0" w:footer="1572" w:gutter="0"/>
          <w:pgNumType w:fmt="numberInDash"/>
          <w:cols w:space="720" w:num="1"/>
        </w:sectPr>
      </w:pPr>
    </w:p>
    <w:tbl>
      <w:tblPr>
        <w:tblStyle w:val="7"/>
        <w:tblpPr w:leftFromText="180" w:rightFromText="180" w:vertAnchor="text" w:horzAnchor="page" w:tblpX="1509" w:tblpY="117"/>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27"/>
        <w:gridCol w:w="45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9"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16"/>
              </w:rPr>
            </w:pPr>
          </w:p>
          <w:p>
            <w:pPr>
              <w:pStyle w:val="8"/>
              <w:ind w:left="9"/>
              <w:jc w:val="center"/>
              <w:rPr>
                <w:b/>
                <w:color w:val="auto"/>
                <w:sz w:val="21"/>
              </w:rPr>
            </w:pPr>
            <w:r>
              <w:rPr>
                <w:b/>
                <w:color w:val="auto"/>
                <w:w w:val="99"/>
                <w:sz w:val="21"/>
              </w:rPr>
              <w:t>4</w:t>
            </w:r>
          </w:p>
        </w:tc>
        <w:tc>
          <w:tcPr>
            <w:tcW w:w="1183" w:type="dxa"/>
            <w:gridSpan w:val="2"/>
            <w:vAlign w:val="top"/>
          </w:tcPr>
          <w:p>
            <w:pPr>
              <w:pStyle w:val="8"/>
              <w:rPr>
                <w:rFonts w:ascii="Times New Roman"/>
                <w:color w:val="auto"/>
                <w:sz w:val="20"/>
              </w:rPr>
            </w:pPr>
          </w:p>
          <w:p>
            <w:pPr>
              <w:pStyle w:val="8"/>
              <w:spacing w:before="8"/>
              <w:rPr>
                <w:rFonts w:ascii="Times New Roman"/>
                <w:color w:val="auto"/>
                <w:sz w:val="15"/>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1" w:line="244" w:lineRule="auto"/>
              <w:ind w:left="530" w:right="7720" w:hanging="3"/>
              <w:rPr>
                <w:color w:val="auto"/>
                <w:sz w:val="21"/>
              </w:rPr>
            </w:pPr>
            <w:r>
              <w:rPr>
                <w:color w:val="auto"/>
                <w:sz w:val="21"/>
              </w:rPr>
              <w:t>生产、经营未经备案的第一类医疗器械； 未经备案从事第一类医疗器械生产；</w:t>
            </w:r>
          </w:p>
          <w:p>
            <w:pPr>
              <w:pStyle w:val="8"/>
              <w:spacing w:line="265" w:lineRule="exact"/>
              <w:ind w:left="530"/>
              <w:rPr>
                <w:color w:val="auto"/>
                <w:sz w:val="21"/>
              </w:rPr>
            </w:pPr>
            <w:r>
              <w:rPr>
                <w:color w:val="auto"/>
                <w:sz w:val="21"/>
              </w:rPr>
              <w:t>经营第二类医疗器械，应当备案但未备案；</w:t>
            </w:r>
          </w:p>
          <w:p>
            <w:pPr>
              <w:pStyle w:val="8"/>
              <w:spacing w:before="4" w:line="250" w:lineRule="exact"/>
              <w:ind w:left="530"/>
              <w:rPr>
                <w:color w:val="auto"/>
                <w:sz w:val="21"/>
              </w:rPr>
            </w:pPr>
            <w:r>
              <w:rPr>
                <w:color w:val="auto"/>
                <w:sz w:val="21"/>
              </w:rPr>
              <w:t>已经备案的资料不符合要求。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2"/>
              </w:rPr>
            </w:pPr>
          </w:p>
          <w:p>
            <w:pPr>
              <w:pStyle w:val="8"/>
              <w:spacing w:before="1"/>
              <w:ind w:left="170"/>
              <w:rPr>
                <w:b/>
                <w:color w:val="auto"/>
                <w:sz w:val="21"/>
              </w:rPr>
            </w:pPr>
            <w:r>
              <w:rPr>
                <w:b/>
                <w:color w:val="auto"/>
                <w:sz w:val="21"/>
              </w:rPr>
              <w:t>处罚依据</w:t>
            </w:r>
          </w:p>
        </w:tc>
        <w:tc>
          <w:tcPr>
            <w:tcW w:w="12046" w:type="dxa"/>
            <w:gridSpan w:val="4"/>
            <w:vAlign w:val="top"/>
          </w:tcPr>
          <w:p>
            <w:pPr>
              <w:pStyle w:val="8"/>
              <w:spacing w:before="171" w:line="244" w:lineRule="auto"/>
              <w:ind w:left="108" w:right="94" w:firstLine="420"/>
              <w:rPr>
                <w:color w:val="auto"/>
                <w:sz w:val="21"/>
              </w:rPr>
            </w:pPr>
            <w:r>
              <w:rPr>
                <w:color w:val="auto"/>
                <w:spacing w:val="-1"/>
                <w:sz w:val="21"/>
              </w:rPr>
              <w:t xml:space="preserve">根据《医疗器械监督管理条例》第八十四条规定，由负责药品监督管理的部门向社会公告单位和产品名称，责令限期改正； </w:t>
            </w:r>
            <w:r>
              <w:rPr>
                <w:color w:val="auto"/>
                <w:spacing w:val="-4"/>
                <w:sz w:val="21"/>
              </w:rPr>
              <w:t xml:space="preserve">逾期不改正的，没收违法所得、违法生产经营的医疗器械；违法生产经营的医疗器械货值金额不足 </w:t>
            </w:r>
            <w:r>
              <w:rPr>
                <w:color w:val="auto"/>
                <w:sz w:val="21"/>
              </w:rPr>
              <w:t>1</w:t>
            </w:r>
            <w:r>
              <w:rPr>
                <w:color w:val="auto"/>
                <w:spacing w:val="-7"/>
                <w:sz w:val="21"/>
              </w:rPr>
              <w:t xml:space="preserve"> 万元的，并处 </w:t>
            </w:r>
            <w:r>
              <w:rPr>
                <w:color w:val="auto"/>
                <w:sz w:val="21"/>
              </w:rPr>
              <w:t>1</w:t>
            </w:r>
            <w:r>
              <w:rPr>
                <w:color w:val="auto"/>
                <w:spacing w:val="-9"/>
                <w:sz w:val="21"/>
              </w:rPr>
              <w:t xml:space="preserve"> 万元以上 </w:t>
            </w:r>
            <w:r>
              <w:rPr>
                <w:color w:val="auto"/>
                <w:sz w:val="21"/>
              </w:rPr>
              <w:t>5</w:t>
            </w:r>
          </w:p>
          <w:p>
            <w:pPr>
              <w:pStyle w:val="8"/>
              <w:spacing w:line="242" w:lineRule="auto"/>
              <w:ind w:left="108" w:right="92"/>
              <w:jc w:val="both"/>
              <w:rPr>
                <w:color w:val="auto"/>
                <w:sz w:val="21"/>
              </w:rPr>
            </w:pPr>
            <w:r>
              <w:rPr>
                <w:color w:val="auto"/>
                <w:spacing w:val="-8"/>
                <w:sz w:val="21"/>
              </w:rPr>
              <w:t xml:space="preserve">万元以下罚款；货值金额 </w:t>
            </w:r>
            <w:r>
              <w:rPr>
                <w:color w:val="auto"/>
                <w:sz w:val="21"/>
              </w:rPr>
              <w:t>1</w:t>
            </w:r>
            <w:r>
              <w:rPr>
                <w:color w:val="auto"/>
                <w:spacing w:val="-12"/>
                <w:sz w:val="21"/>
              </w:rPr>
              <w:t xml:space="preserve"> 万元以上的，并处货值金额 </w:t>
            </w:r>
            <w:r>
              <w:rPr>
                <w:color w:val="auto"/>
                <w:sz w:val="21"/>
              </w:rPr>
              <w:t>5</w:t>
            </w:r>
            <w:r>
              <w:rPr>
                <w:color w:val="auto"/>
                <w:spacing w:val="-19"/>
                <w:sz w:val="21"/>
              </w:rPr>
              <w:t xml:space="preserve"> 倍以上 </w:t>
            </w:r>
            <w:r>
              <w:rPr>
                <w:color w:val="auto"/>
                <w:sz w:val="21"/>
              </w:rPr>
              <w:t>20</w:t>
            </w:r>
            <w:r>
              <w:rPr>
                <w:color w:val="auto"/>
                <w:spacing w:val="-10"/>
                <w:sz w:val="21"/>
              </w:rPr>
              <w:t xml:space="preserve"> 倍以下罚款；情节严重的，对违法单位的法定代表人、主要负</w:t>
            </w:r>
            <w:r>
              <w:rPr>
                <w:color w:val="auto"/>
                <w:spacing w:val="-6"/>
                <w:sz w:val="21"/>
              </w:rPr>
              <w:t xml:space="preserve">责人、直接负责的主管人员和其他责任人员，没收违法行为发生期间自本单位所获收入，并处所获收入 </w:t>
            </w:r>
            <w:r>
              <w:rPr>
                <w:color w:val="auto"/>
                <w:sz w:val="21"/>
              </w:rPr>
              <w:t>30</w:t>
            </w:r>
            <w:r>
              <w:rPr>
                <w:color w:val="auto"/>
                <w:spacing w:val="-8"/>
                <w:sz w:val="21"/>
              </w:rPr>
              <w:t xml:space="preserve">%以上 </w:t>
            </w:r>
            <w:r>
              <w:rPr>
                <w:color w:val="auto"/>
                <w:sz w:val="21"/>
              </w:rPr>
              <w:t>2</w:t>
            </w:r>
            <w:r>
              <w:rPr>
                <w:color w:val="auto"/>
                <w:spacing w:val="-7"/>
                <w:sz w:val="21"/>
              </w:rPr>
              <w:t xml:space="preserve"> 倍以下罚款，</w:t>
            </w:r>
            <w:r>
              <w:rPr>
                <w:color w:val="auto"/>
                <w:sz w:val="21"/>
              </w:rPr>
              <w:t xml:space="preserve">5 </w:t>
            </w:r>
            <w:r>
              <w:rPr>
                <w:color w:val="auto"/>
                <w:spacing w:val="-3"/>
                <w:sz w:val="21"/>
              </w:rPr>
              <w:t>年内禁止其从事医疗器械生产经营活动。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9"/>
              <w:ind w:left="170"/>
              <w:rPr>
                <w:b/>
                <w:color w:val="auto"/>
                <w:sz w:val="21"/>
              </w:rPr>
            </w:pPr>
            <w:r>
              <w:rPr>
                <w:b/>
                <w:color w:val="auto"/>
                <w:sz w:val="21"/>
              </w:rPr>
              <w:t>裁量等级</w:t>
            </w:r>
          </w:p>
        </w:tc>
        <w:tc>
          <w:tcPr>
            <w:tcW w:w="2715" w:type="dxa"/>
            <w:vAlign w:val="top"/>
          </w:tcPr>
          <w:p>
            <w:pPr>
              <w:pStyle w:val="8"/>
              <w:spacing w:before="149"/>
              <w:ind w:left="108"/>
              <w:rPr>
                <w:b/>
                <w:color w:val="auto"/>
                <w:sz w:val="21"/>
              </w:rPr>
            </w:pPr>
            <w:r>
              <w:rPr>
                <w:b/>
                <w:color w:val="auto"/>
                <w:sz w:val="21"/>
              </w:rPr>
              <w:t>减轻</w:t>
            </w:r>
          </w:p>
        </w:tc>
        <w:tc>
          <w:tcPr>
            <w:tcW w:w="2714" w:type="dxa"/>
            <w:vAlign w:val="top"/>
          </w:tcPr>
          <w:p>
            <w:pPr>
              <w:pStyle w:val="8"/>
              <w:spacing w:before="149"/>
              <w:ind w:left="108"/>
              <w:rPr>
                <w:b/>
                <w:color w:val="auto"/>
                <w:sz w:val="21"/>
              </w:rPr>
            </w:pPr>
            <w:r>
              <w:rPr>
                <w:b/>
                <w:color w:val="auto"/>
                <w:sz w:val="21"/>
              </w:rPr>
              <w:t>从轻</w:t>
            </w:r>
          </w:p>
        </w:tc>
        <w:tc>
          <w:tcPr>
            <w:tcW w:w="2717" w:type="dxa"/>
            <w:vAlign w:val="top"/>
          </w:tcPr>
          <w:p>
            <w:pPr>
              <w:pStyle w:val="8"/>
              <w:spacing w:before="149"/>
              <w:ind w:left="108"/>
              <w:rPr>
                <w:b/>
                <w:color w:val="auto"/>
                <w:sz w:val="21"/>
              </w:rPr>
            </w:pPr>
            <w:r>
              <w:rPr>
                <w:b/>
                <w:color w:val="auto"/>
                <w:sz w:val="21"/>
              </w:rPr>
              <w:t>一般</w:t>
            </w:r>
          </w:p>
        </w:tc>
        <w:tc>
          <w:tcPr>
            <w:tcW w:w="3900" w:type="dxa"/>
            <w:vAlign w:val="top"/>
          </w:tcPr>
          <w:p>
            <w:pPr>
              <w:pStyle w:val="8"/>
              <w:spacing w:before="149"/>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2"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2"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2"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72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4"/>
              </w:rPr>
            </w:pPr>
          </w:p>
          <w:p>
            <w:pPr>
              <w:pStyle w:val="8"/>
              <w:spacing w:line="244" w:lineRule="auto"/>
              <w:ind w:left="151" w:right="141"/>
              <w:rPr>
                <w:b/>
                <w:color w:val="auto"/>
                <w:sz w:val="21"/>
              </w:rPr>
            </w:pPr>
            <w:r>
              <w:rPr>
                <w:b/>
                <w:color w:val="auto"/>
                <w:sz w:val="21"/>
              </w:rPr>
              <w:t>裁量基准</w:t>
            </w:r>
          </w:p>
        </w:tc>
        <w:tc>
          <w:tcPr>
            <w:tcW w:w="456" w:type="dxa"/>
            <w:vAlign w:val="top"/>
          </w:tcPr>
          <w:p>
            <w:pPr>
              <w:pStyle w:val="8"/>
              <w:spacing w:before="7"/>
              <w:rPr>
                <w:rFonts w:ascii="Times New Roman"/>
                <w:color w:val="auto"/>
                <w:sz w:val="26"/>
              </w:rPr>
            </w:pPr>
          </w:p>
          <w:p>
            <w:pPr>
              <w:pStyle w:val="8"/>
              <w:spacing w:line="242" w:lineRule="auto"/>
              <w:ind w:left="122" w:right="110"/>
              <w:jc w:val="both"/>
              <w:rPr>
                <w:b/>
                <w:color w:val="auto"/>
                <w:sz w:val="21"/>
              </w:rPr>
            </w:pPr>
            <w:r>
              <w:rPr>
                <w:b/>
                <w:color w:val="auto"/>
                <w:sz w:val="21"/>
              </w:rPr>
              <w:t>一般情形</w:t>
            </w:r>
          </w:p>
        </w:tc>
        <w:tc>
          <w:tcPr>
            <w:tcW w:w="2715" w:type="dxa"/>
            <w:vAlign w:val="top"/>
          </w:tcPr>
          <w:p>
            <w:pPr>
              <w:pStyle w:val="8"/>
              <w:spacing w:before="171"/>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3" w:line="242" w:lineRule="auto"/>
              <w:ind w:left="108" w:right="-15"/>
              <w:rPr>
                <w:color w:val="auto"/>
                <w:sz w:val="21"/>
              </w:rPr>
            </w:pPr>
            <w:r>
              <w:rPr>
                <w:color w:val="auto"/>
                <w:sz w:val="21"/>
              </w:rPr>
              <w:t>0.1</w:t>
            </w:r>
            <w:r>
              <w:rPr>
                <w:color w:val="auto"/>
                <w:spacing w:val="-16"/>
                <w:sz w:val="21"/>
              </w:rPr>
              <w:t xml:space="preserve"> 万元以上 </w:t>
            </w:r>
            <w:r>
              <w:rPr>
                <w:color w:val="auto"/>
                <w:sz w:val="21"/>
              </w:rPr>
              <w:t>1</w:t>
            </w:r>
            <w:r>
              <w:rPr>
                <w:color w:val="auto"/>
                <w:spacing w:val="-10"/>
                <w:sz w:val="21"/>
              </w:rPr>
              <w:t xml:space="preserve"> 万元以下罚</w:t>
            </w:r>
            <w:r>
              <w:rPr>
                <w:color w:val="auto"/>
                <w:spacing w:val="-26"/>
                <w:sz w:val="21"/>
              </w:rPr>
              <w:t xml:space="preserve">款；货值金额 </w:t>
            </w:r>
            <w:r>
              <w:rPr>
                <w:color w:val="auto"/>
                <w:sz w:val="21"/>
              </w:rPr>
              <w:t>1</w:t>
            </w:r>
            <w:r>
              <w:rPr>
                <w:color w:val="auto"/>
                <w:spacing w:val="-12"/>
                <w:sz w:val="21"/>
              </w:rPr>
              <w:t xml:space="preserve"> 万元以上的， </w:t>
            </w:r>
            <w:r>
              <w:rPr>
                <w:color w:val="auto"/>
                <w:spacing w:val="-16"/>
                <w:sz w:val="21"/>
              </w:rPr>
              <w:t xml:space="preserve">处货值金额 </w:t>
            </w:r>
            <w:r>
              <w:rPr>
                <w:color w:val="auto"/>
                <w:sz w:val="21"/>
              </w:rPr>
              <w:t>0.5</w:t>
            </w:r>
            <w:r>
              <w:rPr>
                <w:color w:val="auto"/>
                <w:spacing w:val="-25"/>
                <w:sz w:val="21"/>
              </w:rPr>
              <w:t xml:space="preserve"> 倍以上 </w:t>
            </w:r>
            <w:r>
              <w:rPr>
                <w:color w:val="auto"/>
                <w:sz w:val="21"/>
              </w:rPr>
              <w:t>5</w:t>
            </w:r>
            <w:r>
              <w:rPr>
                <w:color w:val="auto"/>
                <w:spacing w:val="-29"/>
                <w:sz w:val="21"/>
              </w:rPr>
              <w:t xml:space="preserve"> 倍</w:t>
            </w:r>
            <w:r>
              <w:rPr>
                <w:color w:val="auto"/>
                <w:spacing w:val="-13"/>
                <w:sz w:val="21"/>
              </w:rPr>
              <w:t>以下罚款。</w:t>
            </w:r>
          </w:p>
        </w:tc>
        <w:tc>
          <w:tcPr>
            <w:tcW w:w="2714" w:type="dxa"/>
            <w:vAlign w:val="top"/>
          </w:tcPr>
          <w:p>
            <w:pPr>
              <w:pStyle w:val="8"/>
              <w:spacing w:before="171"/>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3"/>
              <w:ind w:left="108"/>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2.2</w:t>
            </w:r>
            <w:r>
              <w:rPr>
                <w:color w:val="auto"/>
                <w:spacing w:val="-13"/>
                <w:sz w:val="21"/>
              </w:rPr>
              <w:t xml:space="preserve"> 万元以下</w:t>
            </w:r>
          </w:p>
          <w:p>
            <w:pPr>
              <w:pStyle w:val="8"/>
              <w:spacing w:before="4"/>
              <w:ind w:left="108"/>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pPr>
              <w:pStyle w:val="8"/>
              <w:spacing w:before="2"/>
              <w:ind w:left="108"/>
              <w:rPr>
                <w:color w:val="auto"/>
                <w:sz w:val="21"/>
              </w:rPr>
            </w:pPr>
            <w:r>
              <w:rPr>
                <w:color w:val="auto"/>
                <w:spacing w:val="-11"/>
                <w:sz w:val="21"/>
              </w:rPr>
              <w:t xml:space="preserve">的，并处货值金额 </w:t>
            </w:r>
            <w:r>
              <w:rPr>
                <w:color w:val="auto"/>
                <w:sz w:val="21"/>
              </w:rPr>
              <w:t>5</w:t>
            </w:r>
            <w:r>
              <w:rPr>
                <w:color w:val="auto"/>
                <w:spacing w:val="-14"/>
                <w:sz w:val="21"/>
              </w:rPr>
              <w:t xml:space="preserve"> 倍以上</w:t>
            </w:r>
          </w:p>
          <w:p>
            <w:pPr>
              <w:pStyle w:val="8"/>
              <w:spacing w:before="5"/>
              <w:ind w:left="108"/>
              <w:rPr>
                <w:color w:val="auto"/>
                <w:sz w:val="21"/>
              </w:rPr>
            </w:pPr>
            <w:r>
              <w:rPr>
                <w:color w:val="auto"/>
                <w:sz w:val="21"/>
              </w:rPr>
              <w:t>9.5 倍以下罚款。</w:t>
            </w:r>
          </w:p>
        </w:tc>
        <w:tc>
          <w:tcPr>
            <w:tcW w:w="2717" w:type="dxa"/>
            <w:vAlign w:val="top"/>
          </w:tcPr>
          <w:p>
            <w:pPr>
              <w:pStyle w:val="8"/>
              <w:spacing w:before="171"/>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3"/>
              <w:ind w:left="108"/>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w:t>
            </w:r>
          </w:p>
          <w:p>
            <w:pPr>
              <w:pStyle w:val="8"/>
              <w:spacing w:before="4"/>
              <w:ind w:left="108"/>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pPr>
              <w:pStyle w:val="8"/>
              <w:spacing w:before="2"/>
              <w:ind w:left="108"/>
              <w:rPr>
                <w:color w:val="auto"/>
                <w:sz w:val="21"/>
              </w:rPr>
            </w:pPr>
            <w:r>
              <w:rPr>
                <w:color w:val="auto"/>
                <w:spacing w:val="-11"/>
                <w:sz w:val="21"/>
              </w:rPr>
              <w:t xml:space="preserve">上的，并处货值金额 </w:t>
            </w:r>
            <w:r>
              <w:rPr>
                <w:color w:val="auto"/>
                <w:sz w:val="21"/>
              </w:rPr>
              <w:t>9.5</w:t>
            </w:r>
            <w:r>
              <w:rPr>
                <w:color w:val="auto"/>
                <w:spacing w:val="-24"/>
                <w:sz w:val="21"/>
              </w:rPr>
              <w:t xml:space="preserve"> 倍</w:t>
            </w:r>
          </w:p>
          <w:p>
            <w:pPr>
              <w:pStyle w:val="8"/>
              <w:spacing w:before="5"/>
              <w:ind w:left="108"/>
              <w:rPr>
                <w:color w:val="auto"/>
                <w:sz w:val="21"/>
              </w:rPr>
            </w:pPr>
            <w:r>
              <w:rPr>
                <w:color w:val="auto"/>
                <w:sz w:val="21"/>
              </w:rPr>
              <w:t>以上 15.5 款。</w:t>
            </w:r>
          </w:p>
        </w:tc>
        <w:tc>
          <w:tcPr>
            <w:tcW w:w="3900" w:type="dxa"/>
            <w:vAlign w:val="top"/>
          </w:tcPr>
          <w:p>
            <w:pPr>
              <w:pStyle w:val="8"/>
              <w:spacing w:before="7"/>
              <w:rPr>
                <w:rFonts w:ascii="Times New Roman"/>
                <w:color w:val="auto"/>
                <w:sz w:val="26"/>
              </w:rPr>
            </w:pPr>
          </w:p>
          <w:p>
            <w:pPr>
              <w:pStyle w:val="8"/>
              <w:ind w:left="106"/>
              <w:rPr>
                <w:color w:val="auto"/>
                <w:sz w:val="21"/>
              </w:rPr>
            </w:pPr>
            <w:r>
              <w:rPr>
                <w:color w:val="auto"/>
                <w:spacing w:val="-9"/>
                <w:sz w:val="21"/>
              </w:rPr>
              <w:t xml:space="preserve">货值金额不足 </w:t>
            </w:r>
            <w:r>
              <w:rPr>
                <w:color w:val="auto"/>
                <w:sz w:val="21"/>
              </w:rPr>
              <w:t>1</w:t>
            </w:r>
            <w:r>
              <w:rPr>
                <w:color w:val="auto"/>
                <w:spacing w:val="-27"/>
                <w:sz w:val="21"/>
              </w:rPr>
              <w:t xml:space="preserve"> 万元的，并处 </w:t>
            </w:r>
            <w:r>
              <w:rPr>
                <w:color w:val="auto"/>
                <w:sz w:val="21"/>
              </w:rPr>
              <w:t>3.8</w:t>
            </w:r>
            <w:r>
              <w:rPr>
                <w:color w:val="auto"/>
                <w:spacing w:val="-14"/>
                <w:sz w:val="21"/>
              </w:rPr>
              <w:t xml:space="preserve"> 万元以</w:t>
            </w:r>
          </w:p>
          <w:p>
            <w:pPr>
              <w:pStyle w:val="8"/>
              <w:spacing w:before="4"/>
              <w:ind w:left="106"/>
              <w:rPr>
                <w:color w:val="auto"/>
                <w:sz w:val="21"/>
              </w:rPr>
            </w:pPr>
            <w:r>
              <w:rPr>
                <w:color w:val="auto"/>
                <w:spacing w:val="-24"/>
                <w:sz w:val="21"/>
              </w:rPr>
              <w:t xml:space="preserve">上 </w:t>
            </w:r>
            <w:r>
              <w:rPr>
                <w:color w:val="auto"/>
                <w:sz w:val="21"/>
              </w:rPr>
              <w:t>5</w:t>
            </w:r>
            <w:r>
              <w:rPr>
                <w:color w:val="auto"/>
                <w:spacing w:val="-20"/>
                <w:sz w:val="21"/>
              </w:rPr>
              <w:t xml:space="preserve"> 万元以下罚款；货值金额 </w:t>
            </w:r>
            <w:r>
              <w:rPr>
                <w:color w:val="auto"/>
                <w:sz w:val="21"/>
              </w:rPr>
              <w:t>1</w:t>
            </w:r>
            <w:r>
              <w:rPr>
                <w:color w:val="auto"/>
                <w:spacing w:val="-12"/>
                <w:sz w:val="21"/>
              </w:rPr>
              <w:t xml:space="preserve"> 万元以上</w:t>
            </w:r>
          </w:p>
          <w:p>
            <w:pPr>
              <w:pStyle w:val="8"/>
              <w:spacing w:before="3" w:line="244" w:lineRule="auto"/>
              <w:ind w:left="106" w:right="94"/>
              <w:rPr>
                <w:color w:val="auto"/>
                <w:sz w:val="21"/>
              </w:rPr>
            </w:pPr>
            <w:r>
              <w:rPr>
                <w:color w:val="auto"/>
                <w:spacing w:val="-19"/>
                <w:sz w:val="21"/>
              </w:rPr>
              <w:t xml:space="preserve">的，并处货值金额 </w:t>
            </w:r>
            <w:r>
              <w:rPr>
                <w:color w:val="auto"/>
                <w:sz w:val="21"/>
              </w:rPr>
              <w:t>15.5</w:t>
            </w:r>
            <w:r>
              <w:rPr>
                <w:color w:val="auto"/>
                <w:spacing w:val="-22"/>
                <w:sz w:val="21"/>
              </w:rPr>
              <w:t xml:space="preserve"> 倍以上 </w:t>
            </w:r>
            <w:r>
              <w:rPr>
                <w:color w:val="auto"/>
                <w:sz w:val="21"/>
              </w:rPr>
              <w:t>20</w:t>
            </w:r>
            <w:r>
              <w:rPr>
                <w:color w:val="auto"/>
                <w:spacing w:val="-14"/>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727" w:type="dxa"/>
            <w:vMerge w:val="continue"/>
            <w:tcBorders>
              <w:top w:val="nil"/>
            </w:tcBorders>
            <w:vAlign w:val="top"/>
          </w:tcPr>
          <w:p>
            <w:pPr>
              <w:rPr>
                <w:color w:val="auto"/>
                <w:sz w:val="2"/>
                <w:szCs w:val="2"/>
              </w:rPr>
            </w:pPr>
          </w:p>
        </w:tc>
        <w:tc>
          <w:tcPr>
            <w:tcW w:w="456" w:type="dxa"/>
            <w:vAlign w:val="top"/>
          </w:tcPr>
          <w:p>
            <w:pPr>
              <w:pStyle w:val="8"/>
              <w:spacing w:before="171" w:line="242" w:lineRule="auto"/>
              <w:ind w:left="122" w:right="110"/>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spacing w:before="6"/>
              <w:rPr>
                <w:rFonts w:ascii="Times New Roman"/>
                <w:color w:val="auto"/>
                <w:sz w:val="26"/>
              </w:rPr>
            </w:pPr>
          </w:p>
          <w:p>
            <w:pPr>
              <w:pStyle w:val="8"/>
              <w:spacing w:before="1"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3"/>
              <w:ind w:left="108"/>
              <w:jc w:val="both"/>
              <w:rPr>
                <w:color w:val="auto"/>
                <w:sz w:val="21"/>
              </w:rPr>
            </w:pPr>
            <w:r>
              <w:rPr>
                <w:color w:val="auto"/>
                <w:sz w:val="21"/>
              </w:rPr>
              <w:t>0.3</w:t>
            </w:r>
            <w:r>
              <w:rPr>
                <w:color w:val="auto"/>
                <w:spacing w:val="-13"/>
                <w:sz w:val="21"/>
              </w:rPr>
              <w:t xml:space="preserve"> 倍以上</w:t>
            </w:r>
            <w:r>
              <w:rPr>
                <w:color w:val="auto"/>
                <w:sz w:val="21"/>
              </w:rPr>
              <w:t>0.8</w:t>
            </w:r>
            <w:r>
              <w:rPr>
                <w:color w:val="auto"/>
                <w:spacing w:val="-16"/>
                <w:sz w:val="21"/>
              </w:rPr>
              <w:t xml:space="preserve"> </w:t>
            </w:r>
            <w:r>
              <w:rPr>
                <w:rFonts w:hint="eastAsia"/>
                <w:color w:val="auto"/>
                <w:spacing w:val="-16"/>
                <w:sz w:val="21"/>
                <w:lang w:val="en-US" w:eastAsia="zh-CN"/>
              </w:rPr>
              <w:t>1</w:t>
            </w:r>
            <w:r>
              <w:rPr>
                <w:color w:val="auto"/>
                <w:spacing w:val="-16"/>
                <w:sz w:val="21"/>
              </w:rPr>
              <w:t>倍以下罚款。</w:t>
            </w:r>
          </w:p>
        </w:tc>
        <w:tc>
          <w:tcPr>
            <w:tcW w:w="2717" w:type="dxa"/>
            <w:vAlign w:val="top"/>
          </w:tcPr>
          <w:p>
            <w:pPr>
              <w:pStyle w:val="8"/>
              <w:spacing w:before="6"/>
              <w:rPr>
                <w:rFonts w:ascii="Times New Roman"/>
                <w:color w:val="auto"/>
                <w:sz w:val="26"/>
              </w:rPr>
            </w:pPr>
          </w:p>
          <w:p>
            <w:pPr>
              <w:pStyle w:val="8"/>
              <w:spacing w:before="1"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3"/>
              <w:ind w:left="108"/>
              <w:jc w:val="both"/>
              <w:rPr>
                <w:color w:val="auto"/>
                <w:sz w:val="21"/>
              </w:rPr>
            </w:pPr>
            <w:r>
              <w:rPr>
                <w:color w:val="auto"/>
                <w:sz w:val="21"/>
              </w:rPr>
              <w:t>0.8</w:t>
            </w:r>
            <w:r>
              <w:rPr>
                <w:color w:val="auto"/>
                <w:spacing w:val="-13"/>
                <w:sz w:val="21"/>
              </w:rPr>
              <w:t xml:space="preserve"> </w:t>
            </w:r>
            <w:r>
              <w:rPr>
                <w:rFonts w:hint="eastAsia"/>
                <w:color w:val="auto"/>
                <w:spacing w:val="-13"/>
                <w:sz w:val="21"/>
                <w:lang w:val="en-US" w:eastAsia="zh-CN"/>
              </w:rPr>
              <w:t>1</w:t>
            </w:r>
            <w:r>
              <w:rPr>
                <w:color w:val="auto"/>
                <w:spacing w:val="-13"/>
                <w:sz w:val="21"/>
              </w:rPr>
              <w:t>倍以上</w:t>
            </w:r>
            <w:r>
              <w:rPr>
                <w:color w:val="auto"/>
                <w:sz w:val="21"/>
              </w:rPr>
              <w:t>1.</w:t>
            </w:r>
            <w:r>
              <w:rPr>
                <w:rFonts w:hint="eastAsia"/>
                <w:color w:val="auto"/>
                <w:sz w:val="21"/>
                <w:lang w:val="en-US" w:eastAsia="zh-CN"/>
              </w:rPr>
              <w:t>49</w:t>
            </w:r>
            <w:r>
              <w:rPr>
                <w:color w:val="auto"/>
                <w:spacing w:val="-16"/>
                <w:sz w:val="21"/>
              </w:rPr>
              <w:t xml:space="preserve"> 倍以下罚款。</w:t>
            </w:r>
          </w:p>
        </w:tc>
        <w:tc>
          <w:tcPr>
            <w:tcW w:w="3900" w:type="dxa"/>
            <w:vAlign w:val="top"/>
          </w:tcPr>
          <w:p>
            <w:pPr>
              <w:pStyle w:val="8"/>
              <w:rPr>
                <w:rFonts w:ascii="Times New Roman"/>
                <w:color w:val="auto"/>
                <w:sz w:val="20"/>
              </w:rPr>
            </w:pPr>
          </w:p>
          <w:p>
            <w:pPr>
              <w:pStyle w:val="8"/>
              <w:spacing w:before="5"/>
              <w:rPr>
                <w:rFonts w:ascii="Times New Roman"/>
                <w:color w:val="auto"/>
                <w:sz w:val="18"/>
              </w:rPr>
            </w:pPr>
          </w:p>
          <w:p>
            <w:pPr>
              <w:pStyle w:val="8"/>
              <w:spacing w:line="244" w:lineRule="auto"/>
              <w:ind w:left="106" w:right="92"/>
              <w:rPr>
                <w:color w:val="auto"/>
                <w:sz w:val="21"/>
              </w:rPr>
            </w:pPr>
            <w:r>
              <w:rPr>
                <w:color w:val="auto"/>
                <w:spacing w:val="-13"/>
                <w:sz w:val="21"/>
              </w:rPr>
              <w:t>对法定代表人、主要负责人、直接负责的</w:t>
            </w:r>
            <w:r>
              <w:rPr>
                <w:color w:val="auto"/>
                <w:spacing w:val="17"/>
                <w:sz w:val="21"/>
              </w:rPr>
              <w:t>主管人员和其他责任人员处所获收入</w:t>
            </w:r>
          </w:p>
          <w:p>
            <w:pPr>
              <w:pStyle w:val="8"/>
              <w:spacing w:line="265" w:lineRule="exact"/>
              <w:ind w:left="106"/>
              <w:rPr>
                <w:color w:val="auto"/>
                <w:sz w:val="21"/>
              </w:rPr>
            </w:pPr>
            <w:r>
              <w:rPr>
                <w:color w:val="auto"/>
                <w:sz w:val="21"/>
              </w:rPr>
              <w:t>1.</w:t>
            </w:r>
            <w:r>
              <w:rPr>
                <w:rFonts w:hint="eastAsia"/>
                <w:color w:val="auto"/>
                <w:sz w:val="21"/>
                <w:lang w:val="en-US" w:eastAsia="zh-CN"/>
              </w:rPr>
              <w:t>49</w:t>
            </w:r>
            <w:r>
              <w:rPr>
                <w:color w:val="auto"/>
                <w:sz w:val="21"/>
              </w:rPr>
              <w:t xml:space="preserve"> 倍以上 2 倍以下罚款。</w:t>
            </w:r>
          </w:p>
        </w:tc>
      </w:tr>
    </w:tbl>
    <w:p>
      <w:pPr>
        <w:pStyle w:val="4"/>
        <w:rPr>
          <w:rFonts w:ascii="Times New Roman"/>
          <w:color w:val="auto"/>
          <w:sz w:val="20"/>
        </w:rPr>
      </w:pPr>
    </w:p>
    <w:p>
      <w:pPr>
        <w:pStyle w:val="4"/>
        <w:rPr>
          <w:rFonts w:ascii="Times New Roman"/>
          <w:color w:val="auto"/>
          <w:sz w:val="20"/>
        </w:rPr>
      </w:pPr>
    </w:p>
    <w:p>
      <w:pPr>
        <w:pStyle w:val="4"/>
        <w:rPr>
          <w:rFonts w:ascii="Times New Roman"/>
          <w:color w:val="auto"/>
          <w:sz w:val="20"/>
        </w:r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18"/>
        <w:gridCol w:w="46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8"/>
              </w:rPr>
            </w:pPr>
          </w:p>
          <w:p>
            <w:pPr>
              <w:pStyle w:val="8"/>
              <w:spacing w:before="1"/>
              <w:ind w:left="9"/>
              <w:jc w:val="center"/>
              <w:rPr>
                <w:b/>
                <w:color w:val="auto"/>
                <w:sz w:val="21"/>
              </w:rPr>
            </w:pPr>
            <w:r>
              <w:rPr>
                <w:b/>
                <w:color w:val="auto"/>
                <w:w w:val="99"/>
                <w:sz w:val="21"/>
              </w:rPr>
              <w:t>5</w:t>
            </w: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备案时提供虚假资料的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2"/>
              </w:rPr>
            </w:pPr>
          </w:p>
          <w:p>
            <w:pPr>
              <w:pStyle w:val="8"/>
              <w:ind w:left="170"/>
              <w:rPr>
                <w:b/>
                <w:color w:val="auto"/>
                <w:sz w:val="21"/>
              </w:rPr>
            </w:pPr>
            <w:r>
              <w:rPr>
                <w:b/>
                <w:color w:val="auto"/>
                <w:sz w:val="21"/>
              </w:rPr>
              <w:t>处罚依据</w:t>
            </w:r>
          </w:p>
        </w:tc>
        <w:tc>
          <w:tcPr>
            <w:tcW w:w="12046" w:type="dxa"/>
            <w:gridSpan w:val="4"/>
            <w:vAlign w:val="top"/>
          </w:tcPr>
          <w:p>
            <w:r>
              <w:rPr>
                <w:color w:val="auto"/>
                <w:spacing w:val="-1"/>
                <w:sz w:val="21"/>
              </w:rPr>
              <w:t>根据《医疗器械监督管理条例》第八十五条规定，由负责药品监督管理的部门向社会公告备案单位和产品名称，没收违法所</w:t>
            </w:r>
            <w:r>
              <w:rPr>
                <w:color w:val="auto"/>
                <w:spacing w:val="-4"/>
                <w:sz w:val="21"/>
              </w:rPr>
              <w:t xml:space="preserve">得、违法生产经营的医疗器械；违法生产经营的医疗器械货值金额不足 </w:t>
            </w:r>
            <w:r>
              <w:rPr>
                <w:color w:val="auto"/>
                <w:sz w:val="21"/>
              </w:rPr>
              <w:t>1</w:t>
            </w:r>
            <w:r>
              <w:rPr>
                <w:color w:val="auto"/>
                <w:spacing w:val="-9"/>
                <w:sz w:val="21"/>
              </w:rPr>
              <w:t xml:space="preserve"> 万元的，并处 </w:t>
            </w:r>
            <w:r>
              <w:rPr>
                <w:color w:val="auto"/>
                <w:sz w:val="21"/>
              </w:rPr>
              <w:t>2</w:t>
            </w:r>
            <w:r>
              <w:rPr>
                <w:color w:val="auto"/>
                <w:spacing w:val="-12"/>
                <w:sz w:val="21"/>
              </w:rPr>
              <w:t xml:space="preserve"> 万元以上 </w:t>
            </w:r>
            <w:r>
              <w:rPr>
                <w:color w:val="auto"/>
                <w:sz w:val="21"/>
              </w:rPr>
              <w:t>5</w:t>
            </w:r>
            <w:r>
              <w:rPr>
                <w:color w:val="auto"/>
                <w:spacing w:val="-9"/>
                <w:sz w:val="21"/>
              </w:rPr>
              <w:t xml:space="preserve"> 万元以下罚款；货值金额 </w:t>
            </w:r>
            <w:r>
              <w:rPr>
                <w:color w:val="auto"/>
                <w:sz w:val="21"/>
              </w:rPr>
              <w:t>1</w:t>
            </w:r>
          </w:p>
          <w:p>
            <w:pPr>
              <w:pStyle w:val="8"/>
              <w:spacing w:before="171" w:line="244" w:lineRule="auto"/>
              <w:ind w:left="107" w:right="95" w:firstLine="420"/>
              <w:jc w:val="both"/>
              <w:rPr>
                <w:color w:val="auto"/>
                <w:sz w:val="21"/>
              </w:rPr>
            </w:pPr>
            <w:r>
              <w:rPr>
                <w:color w:val="auto"/>
                <w:spacing w:val="-6"/>
                <w:sz w:val="21"/>
              </w:rPr>
              <w:t xml:space="preserve">万元以上的，并处货值金额 </w:t>
            </w:r>
            <w:r>
              <w:rPr>
                <w:color w:val="auto"/>
                <w:sz w:val="21"/>
              </w:rPr>
              <w:t>5</w:t>
            </w:r>
            <w:r>
              <w:rPr>
                <w:color w:val="auto"/>
                <w:spacing w:val="-18"/>
                <w:sz w:val="21"/>
              </w:rPr>
              <w:t xml:space="preserve"> 倍以上 </w:t>
            </w:r>
            <w:r>
              <w:rPr>
                <w:color w:val="auto"/>
                <w:sz w:val="21"/>
              </w:rPr>
              <w:t>20</w:t>
            </w:r>
            <w:r>
              <w:rPr>
                <w:color w:val="auto"/>
                <w:spacing w:val="-10"/>
                <w:sz w:val="21"/>
              </w:rPr>
              <w:t xml:space="preserve"> 倍以下罚款；情节严重的，责令停产停业，对违法单位的法定代表人、主要负责人、直接</w:t>
            </w:r>
            <w:r>
              <w:rPr>
                <w:color w:val="auto"/>
                <w:spacing w:val="-6"/>
                <w:sz w:val="21"/>
              </w:rPr>
              <w:t xml:space="preserve">负责的主管人员和其他责任人员，没收违法行为发生期间自本单位所获收入，并处所获收入 </w:t>
            </w:r>
            <w:r>
              <w:rPr>
                <w:color w:val="auto"/>
                <w:sz w:val="21"/>
              </w:rPr>
              <w:t>30</w:t>
            </w:r>
            <w:r>
              <w:rPr>
                <w:color w:val="auto"/>
                <w:spacing w:val="-6"/>
                <w:sz w:val="21"/>
              </w:rPr>
              <w:t xml:space="preserve">%以上 </w:t>
            </w:r>
            <w:r>
              <w:rPr>
                <w:color w:val="auto"/>
                <w:sz w:val="21"/>
              </w:rPr>
              <w:t>3</w:t>
            </w:r>
            <w:r>
              <w:rPr>
                <w:color w:val="auto"/>
                <w:spacing w:val="-6"/>
                <w:sz w:val="21"/>
              </w:rPr>
              <w:t xml:space="preserve"> 倍以下罚款，</w:t>
            </w:r>
            <w:r>
              <w:rPr>
                <w:color w:val="auto"/>
                <w:sz w:val="21"/>
              </w:rPr>
              <w:t>10</w:t>
            </w:r>
            <w:r>
              <w:rPr>
                <w:color w:val="auto"/>
                <w:spacing w:val="-8"/>
                <w:sz w:val="21"/>
              </w:rPr>
              <w:t xml:space="preserve"> 年内禁止</w:t>
            </w:r>
            <w:r>
              <w:rPr>
                <w:color w:val="auto"/>
                <w:spacing w:val="-3"/>
                <w:sz w:val="21"/>
              </w:rPr>
              <w:t>其从事医疗器械生产经营活动。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50"/>
              <w:ind w:left="170"/>
              <w:rPr>
                <w:b/>
                <w:color w:val="auto"/>
                <w:sz w:val="21"/>
              </w:rPr>
            </w:pPr>
            <w:r>
              <w:rPr>
                <w:b/>
                <w:color w:val="auto"/>
                <w:sz w:val="21"/>
              </w:rPr>
              <w:t>裁量等级</w:t>
            </w:r>
          </w:p>
        </w:tc>
        <w:tc>
          <w:tcPr>
            <w:tcW w:w="2715" w:type="dxa"/>
            <w:vAlign w:val="top"/>
          </w:tcPr>
          <w:p>
            <w:pPr>
              <w:pStyle w:val="8"/>
              <w:spacing w:before="150"/>
              <w:ind w:left="107"/>
              <w:rPr>
                <w:b/>
                <w:color w:val="auto"/>
                <w:sz w:val="21"/>
              </w:rPr>
            </w:pPr>
            <w:r>
              <w:rPr>
                <w:b/>
                <w:color w:val="auto"/>
                <w:sz w:val="21"/>
              </w:rPr>
              <w:t>减轻</w:t>
            </w:r>
          </w:p>
        </w:tc>
        <w:tc>
          <w:tcPr>
            <w:tcW w:w="2714" w:type="dxa"/>
            <w:vAlign w:val="top"/>
          </w:tcPr>
          <w:p>
            <w:pPr>
              <w:pStyle w:val="8"/>
              <w:spacing w:before="150"/>
              <w:ind w:left="107"/>
              <w:rPr>
                <w:b/>
                <w:color w:val="auto"/>
                <w:sz w:val="21"/>
              </w:rPr>
            </w:pPr>
            <w:r>
              <w:rPr>
                <w:b/>
                <w:color w:val="auto"/>
                <w:sz w:val="21"/>
              </w:rPr>
              <w:t>从轻</w:t>
            </w:r>
          </w:p>
        </w:tc>
        <w:tc>
          <w:tcPr>
            <w:tcW w:w="2717" w:type="dxa"/>
            <w:vAlign w:val="top"/>
          </w:tcPr>
          <w:p>
            <w:pPr>
              <w:pStyle w:val="8"/>
              <w:spacing w:before="150"/>
              <w:ind w:left="107"/>
              <w:rPr>
                <w:b/>
                <w:color w:val="auto"/>
                <w:sz w:val="21"/>
              </w:rPr>
            </w:pPr>
            <w:r>
              <w:rPr>
                <w:b/>
                <w:color w:val="auto"/>
                <w:sz w:val="21"/>
              </w:rPr>
              <w:t>一般</w:t>
            </w:r>
          </w:p>
        </w:tc>
        <w:tc>
          <w:tcPr>
            <w:tcW w:w="3900" w:type="dxa"/>
            <w:vAlign w:val="top"/>
          </w:tcPr>
          <w:p>
            <w:pPr>
              <w:pStyle w:val="8"/>
              <w:spacing w:before="150"/>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2" w:lineRule="auto"/>
              <w:ind w:left="107" w:right="98"/>
              <w:rPr>
                <w:color w:val="auto"/>
                <w:sz w:val="21"/>
              </w:rPr>
            </w:pPr>
            <w:r>
              <w:rPr>
                <w:color w:val="auto"/>
                <w:sz w:val="21"/>
              </w:rPr>
              <w:t>符合裁量规定减轻行政处罚情形的。</w:t>
            </w:r>
          </w:p>
        </w:tc>
        <w:tc>
          <w:tcPr>
            <w:tcW w:w="2714" w:type="dxa"/>
            <w:vAlign w:val="top"/>
          </w:tcPr>
          <w:p>
            <w:pPr>
              <w:pStyle w:val="8"/>
              <w:spacing w:before="97" w:line="242"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2"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718"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2"/>
              </w:rPr>
            </w:pPr>
          </w:p>
          <w:p>
            <w:pPr>
              <w:pStyle w:val="8"/>
              <w:spacing w:line="244" w:lineRule="auto"/>
              <w:ind w:left="146" w:right="137"/>
              <w:rPr>
                <w:b/>
                <w:color w:val="auto"/>
                <w:sz w:val="21"/>
              </w:rPr>
            </w:pPr>
            <w:r>
              <w:rPr>
                <w:b/>
                <w:color w:val="auto"/>
                <w:sz w:val="21"/>
              </w:rPr>
              <w:t>裁量基准</w:t>
            </w:r>
          </w:p>
        </w:tc>
        <w:tc>
          <w:tcPr>
            <w:tcW w:w="466" w:type="dxa"/>
            <w:vAlign w:val="top"/>
          </w:tcPr>
          <w:p>
            <w:pPr>
              <w:pStyle w:val="8"/>
              <w:rPr>
                <w:rFonts w:ascii="Times New Roman"/>
                <w:color w:val="auto"/>
                <w:sz w:val="20"/>
              </w:rPr>
            </w:pPr>
          </w:p>
          <w:p>
            <w:pPr>
              <w:pStyle w:val="8"/>
              <w:spacing w:before="162" w:line="242" w:lineRule="auto"/>
              <w:ind w:left="126" w:right="116"/>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tc>
        <w:tc>
          <w:tcPr>
            <w:tcW w:w="2714" w:type="dxa"/>
            <w:vAlign w:val="top"/>
          </w:tcPr>
          <w:p>
            <w:pPr>
              <w:pStyle w:val="8"/>
              <w:spacing w:before="2"/>
              <w:rPr>
                <w:rFonts w:ascii="Times New Roman"/>
                <w:color w:val="auto"/>
                <w:sz w:val="22"/>
              </w:rPr>
            </w:pPr>
          </w:p>
          <w:p>
            <w:pPr>
              <w:pStyle w:val="8"/>
              <w:ind w:left="107"/>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7"/>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2.9</w:t>
            </w:r>
            <w:r>
              <w:rPr>
                <w:color w:val="auto"/>
                <w:spacing w:val="-13"/>
                <w:sz w:val="21"/>
              </w:rPr>
              <w:t xml:space="preserve"> 万元以下</w:t>
            </w:r>
          </w:p>
          <w:p>
            <w:pPr>
              <w:pStyle w:val="8"/>
              <w:spacing w:before="2"/>
              <w:ind w:left="107"/>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pPr>
              <w:pStyle w:val="8"/>
              <w:spacing w:before="5"/>
              <w:ind w:left="107"/>
              <w:rPr>
                <w:color w:val="auto"/>
                <w:sz w:val="21"/>
              </w:rPr>
            </w:pPr>
            <w:r>
              <w:rPr>
                <w:color w:val="auto"/>
                <w:spacing w:val="-11"/>
                <w:sz w:val="21"/>
              </w:rPr>
              <w:t xml:space="preserve">的，并处货值金额 </w:t>
            </w:r>
            <w:r>
              <w:rPr>
                <w:color w:val="auto"/>
                <w:sz w:val="21"/>
              </w:rPr>
              <w:t>5</w:t>
            </w:r>
            <w:r>
              <w:rPr>
                <w:color w:val="auto"/>
                <w:spacing w:val="-14"/>
                <w:sz w:val="21"/>
              </w:rPr>
              <w:t xml:space="preserve"> 倍以上</w:t>
            </w:r>
          </w:p>
          <w:p>
            <w:pPr>
              <w:pStyle w:val="8"/>
              <w:spacing w:before="2"/>
              <w:ind w:left="107"/>
              <w:rPr>
                <w:color w:val="auto"/>
                <w:sz w:val="21"/>
              </w:rPr>
            </w:pPr>
            <w:r>
              <w:rPr>
                <w:color w:val="auto"/>
                <w:sz w:val="21"/>
              </w:rPr>
              <w:t>9.5 倍以下罚款。</w:t>
            </w:r>
          </w:p>
        </w:tc>
        <w:tc>
          <w:tcPr>
            <w:tcW w:w="2717" w:type="dxa"/>
            <w:vAlign w:val="top"/>
          </w:tcPr>
          <w:p>
            <w:pPr>
              <w:pStyle w:val="8"/>
              <w:spacing w:before="2"/>
              <w:rPr>
                <w:rFonts w:ascii="Times New Roman"/>
                <w:color w:val="auto"/>
                <w:sz w:val="22"/>
              </w:rPr>
            </w:pPr>
          </w:p>
          <w:p>
            <w:pPr>
              <w:pStyle w:val="8"/>
              <w:ind w:left="107"/>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7"/>
              <w:rPr>
                <w:color w:val="auto"/>
                <w:sz w:val="21"/>
              </w:rPr>
            </w:pPr>
            <w:r>
              <w:rPr>
                <w:color w:val="auto"/>
                <w:spacing w:val="-28"/>
                <w:sz w:val="21"/>
              </w:rPr>
              <w:t xml:space="preserve">处 </w:t>
            </w:r>
            <w:r>
              <w:rPr>
                <w:color w:val="auto"/>
                <w:sz w:val="21"/>
              </w:rPr>
              <w:t>2.9</w:t>
            </w:r>
            <w:r>
              <w:rPr>
                <w:color w:val="auto"/>
                <w:spacing w:val="-20"/>
                <w:sz w:val="21"/>
              </w:rPr>
              <w:t xml:space="preserve"> 万元以上 </w:t>
            </w:r>
            <w:r>
              <w:rPr>
                <w:color w:val="auto"/>
                <w:sz w:val="21"/>
              </w:rPr>
              <w:t>4.1</w:t>
            </w:r>
            <w:r>
              <w:rPr>
                <w:color w:val="auto"/>
                <w:spacing w:val="-16"/>
                <w:sz w:val="21"/>
              </w:rPr>
              <w:t xml:space="preserve"> 万元以</w:t>
            </w:r>
          </w:p>
          <w:p>
            <w:pPr>
              <w:pStyle w:val="8"/>
              <w:spacing w:before="2"/>
              <w:ind w:left="107"/>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pPr>
              <w:pStyle w:val="8"/>
              <w:spacing w:before="5"/>
              <w:ind w:left="107"/>
              <w:rPr>
                <w:color w:val="auto"/>
                <w:sz w:val="21"/>
              </w:rPr>
            </w:pPr>
            <w:r>
              <w:rPr>
                <w:color w:val="auto"/>
                <w:spacing w:val="-11"/>
                <w:sz w:val="21"/>
              </w:rPr>
              <w:t xml:space="preserve">上的，并处货值金额 </w:t>
            </w:r>
            <w:r>
              <w:rPr>
                <w:color w:val="auto"/>
                <w:sz w:val="21"/>
              </w:rPr>
              <w:t>9.5</w:t>
            </w:r>
            <w:r>
              <w:rPr>
                <w:color w:val="auto"/>
                <w:spacing w:val="-24"/>
                <w:sz w:val="21"/>
              </w:rPr>
              <w:t xml:space="preserve"> 倍</w:t>
            </w:r>
          </w:p>
          <w:p>
            <w:pPr>
              <w:pStyle w:val="8"/>
              <w:spacing w:before="2"/>
              <w:ind w:left="107"/>
              <w:rPr>
                <w:color w:val="auto"/>
                <w:sz w:val="21"/>
              </w:rPr>
            </w:pPr>
            <w:r>
              <w:rPr>
                <w:color w:val="auto"/>
                <w:sz w:val="21"/>
              </w:rPr>
              <w:t>以上 15.5 倍以下罚款。</w:t>
            </w:r>
          </w:p>
        </w:tc>
        <w:tc>
          <w:tcPr>
            <w:tcW w:w="3900" w:type="dxa"/>
            <w:vAlign w:val="top"/>
          </w:tcPr>
          <w:p>
            <w:pPr>
              <w:pStyle w:val="8"/>
              <w:rPr>
                <w:rFonts w:ascii="Times New Roman"/>
                <w:color w:val="auto"/>
                <w:sz w:val="20"/>
              </w:rPr>
            </w:pPr>
          </w:p>
          <w:p>
            <w:pPr>
              <w:pStyle w:val="8"/>
              <w:spacing w:before="162"/>
              <w:ind w:left="105"/>
              <w:rPr>
                <w:color w:val="auto"/>
                <w:sz w:val="21"/>
              </w:rPr>
            </w:pPr>
            <w:r>
              <w:rPr>
                <w:color w:val="auto"/>
                <w:spacing w:val="-9"/>
                <w:sz w:val="21"/>
              </w:rPr>
              <w:t xml:space="preserve">货值金额不足 </w:t>
            </w:r>
            <w:r>
              <w:rPr>
                <w:color w:val="auto"/>
                <w:sz w:val="21"/>
              </w:rPr>
              <w:t>1</w:t>
            </w:r>
            <w:r>
              <w:rPr>
                <w:color w:val="auto"/>
                <w:spacing w:val="-27"/>
                <w:sz w:val="21"/>
              </w:rPr>
              <w:t xml:space="preserve"> 万元的，并处 </w:t>
            </w:r>
            <w:r>
              <w:rPr>
                <w:color w:val="auto"/>
                <w:sz w:val="21"/>
              </w:rPr>
              <w:t>4.1</w:t>
            </w:r>
            <w:r>
              <w:rPr>
                <w:color w:val="auto"/>
                <w:spacing w:val="-14"/>
                <w:sz w:val="21"/>
              </w:rPr>
              <w:t xml:space="preserve"> 万元以</w:t>
            </w:r>
          </w:p>
          <w:p>
            <w:pPr>
              <w:pStyle w:val="8"/>
              <w:spacing w:before="2"/>
              <w:ind w:left="105"/>
              <w:rPr>
                <w:color w:val="auto"/>
                <w:sz w:val="21"/>
              </w:rPr>
            </w:pPr>
            <w:r>
              <w:rPr>
                <w:color w:val="auto"/>
                <w:spacing w:val="-24"/>
                <w:sz w:val="21"/>
              </w:rPr>
              <w:t xml:space="preserve">上 </w:t>
            </w:r>
            <w:r>
              <w:rPr>
                <w:color w:val="auto"/>
                <w:sz w:val="21"/>
              </w:rPr>
              <w:t>5</w:t>
            </w:r>
            <w:r>
              <w:rPr>
                <w:color w:val="auto"/>
                <w:spacing w:val="-20"/>
                <w:sz w:val="21"/>
              </w:rPr>
              <w:t xml:space="preserve"> 万元以下罚款；货值金额 </w:t>
            </w:r>
            <w:r>
              <w:rPr>
                <w:color w:val="auto"/>
                <w:sz w:val="21"/>
              </w:rPr>
              <w:t>1</w:t>
            </w:r>
            <w:r>
              <w:rPr>
                <w:color w:val="auto"/>
                <w:spacing w:val="-12"/>
                <w:sz w:val="21"/>
              </w:rPr>
              <w:t xml:space="preserve"> 万元以上</w:t>
            </w:r>
          </w:p>
          <w:p>
            <w:pPr>
              <w:pStyle w:val="8"/>
              <w:spacing w:before="5" w:line="242" w:lineRule="auto"/>
              <w:ind w:left="105" w:right="95"/>
              <w:rPr>
                <w:color w:val="auto"/>
                <w:sz w:val="21"/>
              </w:rPr>
            </w:pPr>
            <w:r>
              <w:rPr>
                <w:color w:val="auto"/>
                <w:spacing w:val="-19"/>
                <w:sz w:val="21"/>
              </w:rPr>
              <w:t xml:space="preserve">的，并处货值金额 </w:t>
            </w:r>
            <w:r>
              <w:rPr>
                <w:color w:val="auto"/>
                <w:sz w:val="21"/>
              </w:rPr>
              <w:t>15.5</w:t>
            </w:r>
            <w:r>
              <w:rPr>
                <w:color w:val="auto"/>
                <w:spacing w:val="-22"/>
                <w:sz w:val="21"/>
              </w:rPr>
              <w:t xml:space="preserve"> 倍以上 </w:t>
            </w:r>
            <w:r>
              <w:rPr>
                <w:color w:val="auto"/>
                <w:sz w:val="21"/>
              </w:rPr>
              <w:t>20</w:t>
            </w:r>
            <w:r>
              <w:rPr>
                <w:color w:val="auto"/>
                <w:spacing w:val="-14"/>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27" w:hRule="atLeast"/>
        </w:trPr>
        <w:tc>
          <w:tcPr>
            <w:tcW w:w="562" w:type="dxa"/>
            <w:vMerge w:val="continue"/>
            <w:tcBorders>
              <w:top w:val="nil"/>
            </w:tcBorders>
            <w:vAlign w:val="top"/>
          </w:tcPr>
          <w:p>
            <w:pPr>
              <w:rPr>
                <w:color w:val="auto"/>
                <w:sz w:val="2"/>
                <w:szCs w:val="2"/>
              </w:rPr>
            </w:pPr>
          </w:p>
        </w:tc>
        <w:tc>
          <w:tcPr>
            <w:tcW w:w="718" w:type="dxa"/>
            <w:vMerge w:val="continue"/>
            <w:tcBorders>
              <w:top w:val="nil"/>
            </w:tcBorders>
            <w:vAlign w:val="top"/>
          </w:tcPr>
          <w:p>
            <w:pPr>
              <w:rPr>
                <w:color w:val="auto"/>
                <w:sz w:val="2"/>
                <w:szCs w:val="2"/>
              </w:rPr>
            </w:pPr>
          </w:p>
        </w:tc>
        <w:tc>
          <w:tcPr>
            <w:tcW w:w="466" w:type="dxa"/>
            <w:vAlign w:val="top"/>
          </w:tcPr>
          <w:p>
            <w:pPr>
              <w:pStyle w:val="8"/>
              <w:spacing w:before="8"/>
              <w:rPr>
                <w:rFonts w:ascii="Times New Roman"/>
                <w:color w:val="auto"/>
                <w:sz w:val="24"/>
              </w:rPr>
            </w:pPr>
          </w:p>
          <w:p>
            <w:pPr>
              <w:pStyle w:val="8"/>
              <w:spacing w:line="242" w:lineRule="auto"/>
              <w:ind w:left="126" w:right="116"/>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spacing w:before="7"/>
              <w:rPr>
                <w:rFonts w:ascii="Times New Roman"/>
                <w:color w:val="auto"/>
                <w:sz w:val="16"/>
              </w:rPr>
            </w:pPr>
          </w:p>
          <w:p>
            <w:pPr>
              <w:pStyle w:val="8"/>
              <w:spacing w:line="242" w:lineRule="auto"/>
              <w:ind w:left="107" w:right="93"/>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ind w:left="107"/>
              <w:jc w:val="both"/>
              <w:rPr>
                <w:color w:val="auto"/>
                <w:sz w:val="21"/>
              </w:rPr>
            </w:pPr>
            <w:r>
              <w:rPr>
                <w:color w:val="auto"/>
                <w:sz w:val="21"/>
              </w:rPr>
              <w:t>0.3</w:t>
            </w:r>
            <w:r>
              <w:rPr>
                <w:color w:val="auto"/>
                <w:spacing w:val="-13"/>
                <w:sz w:val="21"/>
              </w:rPr>
              <w:t xml:space="preserve"> 倍以上</w:t>
            </w:r>
            <w:r>
              <w:rPr>
                <w:color w:val="auto"/>
                <w:sz w:val="21"/>
              </w:rPr>
              <w:t>1.1</w:t>
            </w:r>
            <w:r>
              <w:rPr>
                <w:color w:val="auto"/>
                <w:spacing w:val="-16"/>
                <w:sz w:val="21"/>
              </w:rPr>
              <w:t xml:space="preserve"> </w:t>
            </w:r>
            <w:r>
              <w:rPr>
                <w:rFonts w:hint="eastAsia"/>
                <w:color w:val="auto"/>
                <w:spacing w:val="-16"/>
                <w:sz w:val="21"/>
                <w:lang w:val="en-US" w:eastAsia="zh-CN"/>
              </w:rPr>
              <w:t>1</w:t>
            </w:r>
            <w:r>
              <w:rPr>
                <w:color w:val="auto"/>
                <w:spacing w:val="-16"/>
                <w:sz w:val="21"/>
              </w:rPr>
              <w:t>倍以下罚款。</w:t>
            </w:r>
          </w:p>
        </w:tc>
        <w:tc>
          <w:tcPr>
            <w:tcW w:w="2717" w:type="dxa"/>
            <w:vAlign w:val="top"/>
          </w:tcPr>
          <w:p>
            <w:pPr>
              <w:pStyle w:val="8"/>
              <w:rPr>
                <w:rFonts w:ascii="Times New Roman"/>
                <w:color w:val="auto"/>
                <w:sz w:val="20"/>
              </w:rPr>
            </w:pPr>
          </w:p>
          <w:p>
            <w:pPr>
              <w:pStyle w:val="8"/>
              <w:spacing w:before="7"/>
              <w:rPr>
                <w:rFonts w:ascii="Times New Roman"/>
                <w:color w:val="auto"/>
                <w:sz w:val="16"/>
              </w:rPr>
            </w:pPr>
          </w:p>
          <w:p>
            <w:pPr>
              <w:pStyle w:val="8"/>
              <w:spacing w:line="242" w:lineRule="auto"/>
              <w:ind w:left="107" w:right="96"/>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ind w:left="107"/>
              <w:jc w:val="both"/>
              <w:rPr>
                <w:color w:val="auto"/>
                <w:sz w:val="21"/>
              </w:rPr>
            </w:pPr>
            <w:r>
              <w:rPr>
                <w:color w:val="auto"/>
                <w:sz w:val="21"/>
              </w:rPr>
              <w:t>1.1</w:t>
            </w:r>
            <w:r>
              <w:rPr>
                <w:rFonts w:hint="eastAsia"/>
                <w:color w:val="auto"/>
                <w:sz w:val="21"/>
                <w:lang w:val="en-US" w:eastAsia="zh-CN"/>
              </w:rPr>
              <w:t>1</w:t>
            </w:r>
            <w:r>
              <w:rPr>
                <w:color w:val="auto"/>
                <w:spacing w:val="-13"/>
                <w:sz w:val="21"/>
              </w:rPr>
              <w:t xml:space="preserve"> 倍以上</w:t>
            </w:r>
            <w:r>
              <w:rPr>
                <w:color w:val="auto"/>
                <w:sz w:val="21"/>
              </w:rPr>
              <w:t>2.</w:t>
            </w:r>
            <w:r>
              <w:rPr>
                <w:rFonts w:hint="eastAsia"/>
                <w:color w:val="auto"/>
                <w:sz w:val="21"/>
                <w:lang w:val="en-US" w:eastAsia="zh-CN"/>
              </w:rPr>
              <w:t>19</w:t>
            </w:r>
            <w:r>
              <w:rPr>
                <w:color w:val="auto"/>
                <w:spacing w:val="-16"/>
                <w:sz w:val="21"/>
              </w:rPr>
              <w:t>倍以下罚款。</w:t>
            </w:r>
          </w:p>
        </w:tc>
        <w:tc>
          <w:tcPr>
            <w:tcW w:w="3900" w:type="dxa"/>
            <w:vAlign w:val="top"/>
          </w:tcPr>
          <w:p>
            <w:pPr>
              <w:pStyle w:val="8"/>
              <w:rPr>
                <w:rFonts w:ascii="Times New Roman"/>
                <w:color w:val="auto"/>
                <w:sz w:val="20"/>
              </w:rPr>
            </w:pPr>
          </w:p>
          <w:p>
            <w:pPr>
              <w:pStyle w:val="8"/>
              <w:spacing w:before="3"/>
              <w:rPr>
                <w:rFonts w:ascii="Times New Roman"/>
                <w:color w:val="auto"/>
                <w:sz w:val="28"/>
              </w:rPr>
            </w:pPr>
          </w:p>
          <w:p>
            <w:pPr>
              <w:pStyle w:val="8"/>
              <w:spacing w:line="244" w:lineRule="auto"/>
              <w:ind w:left="105" w:right="93"/>
              <w:rPr>
                <w:color w:val="auto"/>
                <w:sz w:val="21"/>
              </w:rPr>
            </w:pPr>
            <w:r>
              <w:rPr>
                <w:color w:val="auto"/>
                <w:spacing w:val="-13"/>
                <w:sz w:val="21"/>
              </w:rPr>
              <w:t>对法定代表人、主要负责人、直接负责的</w:t>
            </w:r>
            <w:r>
              <w:rPr>
                <w:color w:val="auto"/>
                <w:spacing w:val="17"/>
                <w:sz w:val="21"/>
              </w:rPr>
              <w:t>主管人员和其他责任人员处所获收入</w:t>
            </w:r>
          </w:p>
          <w:p>
            <w:pPr>
              <w:pStyle w:val="8"/>
              <w:spacing w:line="265" w:lineRule="exact"/>
              <w:ind w:left="105"/>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pPr>
        <w:spacing w:after="0" w:line="265" w:lineRule="exact"/>
        <w:rPr>
          <w:color w:val="auto"/>
          <w:sz w:val="21"/>
        </w:rPr>
        <w:sectPr>
          <w:pgSz w:w="16840" w:h="11910" w:orient="landscape"/>
          <w:pgMar w:top="1100" w:right="1400" w:bottom="1760" w:left="1400" w:header="0" w:footer="1572" w:gutter="0"/>
          <w:pgNumType w:fmt="numberInDash"/>
          <w:cols w:space="720" w:num="1"/>
        </w:sectPr>
      </w:pPr>
    </w:p>
    <w:p>
      <w:pPr>
        <w:pStyle w:val="4"/>
        <w:rPr>
          <w:rFonts w:ascii="Times New Roman"/>
          <w:color w:val="auto"/>
          <w:sz w:val="20"/>
        </w:rPr>
      </w:pPr>
    </w:p>
    <w:tbl>
      <w:tblPr>
        <w:tblStyle w:val="7"/>
        <w:tblpPr w:leftFromText="180" w:rightFromText="180" w:vertAnchor="text" w:horzAnchor="page" w:tblpX="1734" w:tblpY="62"/>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7"/>
        <w:gridCol w:w="51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79"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1"/>
              </w:rPr>
            </w:pPr>
          </w:p>
          <w:p>
            <w:pPr>
              <w:pStyle w:val="8"/>
              <w:spacing w:before="1"/>
              <w:ind w:left="9"/>
              <w:jc w:val="center"/>
              <w:rPr>
                <w:b/>
                <w:color w:val="auto"/>
                <w:sz w:val="21"/>
              </w:rPr>
            </w:pPr>
            <w:r>
              <w:rPr>
                <w:b/>
                <w:color w:val="auto"/>
                <w:w w:val="99"/>
                <w:sz w:val="21"/>
              </w:rPr>
              <w:t>6</w:t>
            </w: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3"/>
              </w:rPr>
            </w:pPr>
          </w:p>
          <w:p>
            <w:pPr>
              <w:pStyle w:val="8"/>
              <w:ind w:left="170"/>
              <w:rPr>
                <w:b/>
                <w:color w:val="auto"/>
                <w:sz w:val="21"/>
              </w:rPr>
            </w:pPr>
            <w:r>
              <w:rPr>
                <w:b/>
                <w:color w:val="auto"/>
                <w:sz w:val="21"/>
              </w:rPr>
              <w:t>违法行为</w:t>
            </w:r>
          </w:p>
        </w:tc>
        <w:tc>
          <w:tcPr>
            <w:tcW w:w="12046" w:type="dxa"/>
            <w:gridSpan w:val="4"/>
            <w:vAlign w:val="top"/>
          </w:tcPr>
          <w:p>
            <w:pPr>
              <w:pStyle w:val="8"/>
              <w:spacing w:before="1"/>
              <w:ind w:left="528"/>
              <w:rPr>
                <w:color w:val="auto"/>
                <w:sz w:val="21"/>
              </w:rPr>
            </w:pPr>
            <w:r>
              <w:rPr>
                <w:color w:val="auto"/>
                <w:sz w:val="21"/>
              </w:rPr>
              <w:t>生产、经营、使用不符合强制性标准或者不符合经注册或者备案的产品技术要求的医疗器械；</w:t>
            </w:r>
          </w:p>
          <w:p>
            <w:pPr>
              <w:pStyle w:val="8"/>
              <w:spacing w:before="4" w:line="242" w:lineRule="auto"/>
              <w:ind w:left="108" w:right="-15" w:firstLine="422"/>
              <w:rPr>
                <w:color w:val="auto"/>
                <w:sz w:val="21"/>
              </w:rPr>
            </w:pPr>
            <w:r>
              <w:rPr>
                <w:color w:val="auto"/>
                <w:spacing w:val="-5"/>
                <w:sz w:val="21"/>
              </w:rPr>
              <w:t>未按照经注册或者备案的产品技术要求组织生产，或者未依照本条例规定建立质量管理体系并保持有效运行，影响产品安全、有效；</w:t>
            </w:r>
          </w:p>
          <w:p>
            <w:pPr>
              <w:pStyle w:val="8"/>
              <w:spacing w:before="2"/>
              <w:ind w:left="530"/>
              <w:rPr>
                <w:color w:val="auto"/>
                <w:sz w:val="21"/>
              </w:rPr>
            </w:pPr>
            <w:r>
              <w:rPr>
                <w:color w:val="auto"/>
                <w:sz w:val="21"/>
              </w:rPr>
              <w:t>经营、使用无合格证明文件、过期、失效、淘汰的医疗器械，或者使用未依法注册的医疗器械；</w:t>
            </w:r>
          </w:p>
          <w:p>
            <w:pPr>
              <w:pStyle w:val="8"/>
              <w:spacing w:before="2" w:line="244" w:lineRule="auto"/>
              <w:ind w:left="108" w:right="-15" w:firstLine="422"/>
              <w:rPr>
                <w:color w:val="auto"/>
                <w:sz w:val="21"/>
              </w:rPr>
            </w:pPr>
            <w:r>
              <w:rPr>
                <w:color w:val="auto"/>
                <w:spacing w:val="-6"/>
                <w:sz w:val="21"/>
              </w:rPr>
              <w:t xml:space="preserve">在负责药品监督管理的部门责令召回后仍拒不召回，或者在负责药品监督管理的部门责令停止或者暂停生产、进口、经营后， </w:t>
            </w:r>
            <w:r>
              <w:rPr>
                <w:color w:val="auto"/>
                <w:spacing w:val="-4"/>
                <w:sz w:val="21"/>
              </w:rPr>
              <w:t>仍拒不停止生产、进口、经营医疗器械；</w:t>
            </w:r>
          </w:p>
          <w:p>
            <w:pPr>
              <w:pStyle w:val="8"/>
              <w:spacing w:line="265" w:lineRule="exact"/>
              <w:ind w:left="530"/>
              <w:rPr>
                <w:color w:val="auto"/>
                <w:sz w:val="21"/>
              </w:rPr>
            </w:pPr>
            <w:r>
              <w:rPr>
                <w:color w:val="auto"/>
                <w:sz w:val="21"/>
              </w:rPr>
              <w:t>委托不具备《医疗器械监督管理条例》规定条件的企业生产医疗器械，或者未对受托生产企业的生产行为进行管理；</w:t>
            </w:r>
          </w:p>
          <w:p>
            <w:pPr>
              <w:pStyle w:val="8"/>
              <w:spacing w:before="5" w:line="250" w:lineRule="exact"/>
              <w:ind w:left="530"/>
              <w:rPr>
                <w:color w:val="auto"/>
                <w:sz w:val="21"/>
              </w:rPr>
            </w:pPr>
            <w:r>
              <w:rPr>
                <w:color w:val="auto"/>
                <w:sz w:val="21"/>
              </w:rPr>
              <w:t>进口过期、失效、淘汰等已使用过的医疗器械。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18"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spacing w:before="11"/>
              <w:rPr>
                <w:rFonts w:ascii="Times New Roman"/>
                <w:color w:val="auto"/>
                <w:sz w:val="29"/>
              </w:rPr>
            </w:pPr>
          </w:p>
          <w:p>
            <w:pPr>
              <w:pStyle w:val="8"/>
              <w:ind w:left="170"/>
              <w:rPr>
                <w:b/>
                <w:color w:val="auto"/>
                <w:sz w:val="21"/>
              </w:rPr>
            </w:pPr>
            <w:r>
              <w:rPr>
                <w:b/>
                <w:color w:val="auto"/>
                <w:sz w:val="21"/>
              </w:rPr>
              <w:t>处罚依据</w:t>
            </w:r>
          </w:p>
        </w:tc>
        <w:tc>
          <w:tcPr>
            <w:tcW w:w="12046" w:type="dxa"/>
            <w:gridSpan w:val="4"/>
            <w:vAlign w:val="top"/>
          </w:tcPr>
          <w:p>
            <w:r>
              <w:rPr>
                <w:color w:val="auto"/>
                <w:spacing w:val="-1"/>
                <w:sz w:val="21"/>
              </w:rPr>
              <w:t xml:space="preserve">根据《医疗器械监督管理条例》第八十六规定，由负责药品监督管理的部门责令改正，没收违法生产经营使用的医疗器械； </w:t>
            </w:r>
            <w:r>
              <w:rPr>
                <w:color w:val="auto"/>
                <w:spacing w:val="-6"/>
                <w:sz w:val="21"/>
              </w:rPr>
              <w:t xml:space="preserve">违法生产经营使用的医疗器械货值金额不足 </w:t>
            </w:r>
            <w:r>
              <w:rPr>
                <w:color w:val="auto"/>
                <w:sz w:val="21"/>
              </w:rPr>
              <w:t>1</w:t>
            </w:r>
            <w:r>
              <w:rPr>
                <w:color w:val="auto"/>
                <w:spacing w:val="-18"/>
                <w:sz w:val="21"/>
              </w:rPr>
              <w:t xml:space="preserve"> 万元的，并处 </w:t>
            </w:r>
            <w:r>
              <w:rPr>
                <w:color w:val="auto"/>
                <w:sz w:val="21"/>
              </w:rPr>
              <w:t>2</w:t>
            </w:r>
            <w:r>
              <w:rPr>
                <w:color w:val="auto"/>
                <w:spacing w:val="-18"/>
                <w:sz w:val="21"/>
              </w:rPr>
              <w:t xml:space="preserve"> 万元以上 </w:t>
            </w:r>
            <w:r>
              <w:rPr>
                <w:color w:val="auto"/>
                <w:sz w:val="21"/>
              </w:rPr>
              <w:t>5</w:t>
            </w:r>
            <w:r>
              <w:rPr>
                <w:color w:val="auto"/>
                <w:spacing w:val="-13"/>
                <w:sz w:val="21"/>
              </w:rPr>
              <w:t xml:space="preserve"> 万元以下罚款；货值金额 </w:t>
            </w:r>
            <w:r>
              <w:rPr>
                <w:color w:val="auto"/>
                <w:sz w:val="21"/>
              </w:rPr>
              <w:t>1</w:t>
            </w:r>
            <w:r>
              <w:rPr>
                <w:color w:val="auto"/>
                <w:spacing w:val="-14"/>
                <w:sz w:val="21"/>
              </w:rPr>
              <w:t xml:space="preserve"> 万元以上的，并处货值金额 </w:t>
            </w:r>
            <w:r>
              <w:rPr>
                <w:color w:val="auto"/>
                <w:sz w:val="21"/>
              </w:rPr>
              <w:t>5</w:t>
            </w:r>
          </w:p>
          <w:p>
            <w:pPr>
              <w:pStyle w:val="8"/>
              <w:spacing w:before="1" w:line="242" w:lineRule="auto"/>
              <w:ind w:left="0" w:right="98"/>
              <w:jc w:val="both"/>
              <w:rPr>
                <w:color w:val="auto"/>
                <w:sz w:val="21"/>
              </w:rPr>
            </w:pPr>
            <w:r>
              <w:rPr>
                <w:color w:val="auto"/>
                <w:spacing w:val="-8"/>
                <w:sz w:val="21"/>
              </w:rPr>
              <w:t xml:space="preserve">倍以上 </w:t>
            </w:r>
            <w:r>
              <w:rPr>
                <w:color w:val="auto"/>
                <w:sz w:val="21"/>
              </w:rPr>
              <w:t>20</w:t>
            </w:r>
            <w:r>
              <w:rPr>
                <w:color w:val="auto"/>
                <w:spacing w:val="-9"/>
                <w:sz w:val="21"/>
              </w:rPr>
              <w:t xml:space="preserve"> 倍以下罚款；情节严重的，责令停产停业，直至由原发证部门吊销医疗器械注册证、医疗器械生产许可证、医疗器械经</w:t>
            </w:r>
            <w:r>
              <w:rPr>
                <w:color w:val="auto"/>
                <w:spacing w:val="-10"/>
                <w:sz w:val="21"/>
              </w:rPr>
              <w:t>营许可证，对违法单位的法定代表人、主要负责人、直接负责的主管人员和其他责任人员，没收违法行为发生期间自本单位所获</w:t>
            </w:r>
            <w:r>
              <w:rPr>
                <w:color w:val="auto"/>
                <w:spacing w:val="-8"/>
                <w:sz w:val="21"/>
              </w:rPr>
              <w:t xml:space="preserve">收入，并处所获收入 </w:t>
            </w:r>
            <w:r>
              <w:rPr>
                <w:color w:val="auto"/>
                <w:sz w:val="21"/>
              </w:rPr>
              <w:t>30</w:t>
            </w:r>
            <w:r>
              <w:rPr>
                <w:color w:val="auto"/>
                <w:spacing w:val="-13"/>
                <w:sz w:val="21"/>
              </w:rPr>
              <w:t xml:space="preserve">%以上 </w:t>
            </w:r>
            <w:r>
              <w:rPr>
                <w:color w:val="auto"/>
                <w:sz w:val="21"/>
              </w:rPr>
              <w:t>3</w:t>
            </w:r>
            <w:r>
              <w:rPr>
                <w:color w:val="auto"/>
                <w:spacing w:val="-10"/>
                <w:sz w:val="21"/>
              </w:rPr>
              <w:t xml:space="preserve"> 倍以下罚款，</w:t>
            </w:r>
            <w:r>
              <w:rPr>
                <w:color w:val="auto"/>
                <w:sz w:val="21"/>
              </w:rPr>
              <w:t>10</w:t>
            </w:r>
            <w:r>
              <w:rPr>
                <w:color w:val="auto"/>
                <w:spacing w:val="-9"/>
                <w:sz w:val="21"/>
              </w:rPr>
              <w:t xml:space="preserve"> 年内禁止其从事医疗器械生产经营活动。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79"/>
              <w:ind w:left="170"/>
              <w:rPr>
                <w:b/>
                <w:color w:val="auto"/>
                <w:sz w:val="21"/>
              </w:rPr>
            </w:pPr>
            <w:r>
              <w:rPr>
                <w:b/>
                <w:color w:val="auto"/>
                <w:sz w:val="21"/>
              </w:rPr>
              <w:t>裁量情节</w:t>
            </w:r>
          </w:p>
        </w:tc>
        <w:tc>
          <w:tcPr>
            <w:tcW w:w="2715" w:type="dxa"/>
            <w:vAlign w:val="top"/>
          </w:tcPr>
          <w:p>
            <w:pPr>
              <w:pStyle w:val="8"/>
              <w:spacing w:before="41" w:line="242" w:lineRule="auto"/>
              <w:ind w:left="108" w:right="97"/>
              <w:rPr>
                <w:color w:val="auto"/>
                <w:sz w:val="21"/>
              </w:rPr>
            </w:pPr>
            <w:r>
              <w:rPr>
                <w:color w:val="auto"/>
                <w:sz w:val="21"/>
              </w:rPr>
              <w:t>符合裁量规定减轻行政处罚情形的。</w:t>
            </w:r>
          </w:p>
        </w:tc>
        <w:tc>
          <w:tcPr>
            <w:tcW w:w="2714" w:type="dxa"/>
            <w:vAlign w:val="top"/>
          </w:tcPr>
          <w:p>
            <w:pPr>
              <w:pStyle w:val="8"/>
              <w:spacing w:before="41" w:line="242" w:lineRule="auto"/>
              <w:ind w:left="108" w:right="94"/>
              <w:rPr>
                <w:color w:val="auto"/>
                <w:sz w:val="21"/>
              </w:rPr>
            </w:pPr>
            <w:r>
              <w:rPr>
                <w:color w:val="auto"/>
                <w:sz w:val="21"/>
              </w:rPr>
              <w:t>符合裁量规定从轻行政处罚情形的。</w:t>
            </w:r>
          </w:p>
        </w:tc>
        <w:tc>
          <w:tcPr>
            <w:tcW w:w="2717" w:type="dxa"/>
            <w:vAlign w:val="top"/>
          </w:tcPr>
          <w:p>
            <w:pPr>
              <w:pStyle w:val="8"/>
              <w:spacing w:before="41" w:line="242" w:lineRule="auto"/>
              <w:ind w:left="108" w:right="97"/>
              <w:rPr>
                <w:color w:val="auto"/>
                <w:sz w:val="21"/>
              </w:rPr>
            </w:pPr>
            <w:r>
              <w:rPr>
                <w:color w:val="auto"/>
                <w:sz w:val="21"/>
              </w:rPr>
              <w:t>符合裁量规定一般行政处罚情形的。</w:t>
            </w:r>
          </w:p>
        </w:tc>
        <w:tc>
          <w:tcPr>
            <w:tcW w:w="3900" w:type="dxa"/>
            <w:vAlign w:val="top"/>
          </w:tcPr>
          <w:p>
            <w:pPr>
              <w:pStyle w:val="8"/>
              <w:spacing w:before="179"/>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0" w:hRule="atLeast"/>
        </w:trPr>
        <w:tc>
          <w:tcPr>
            <w:tcW w:w="562" w:type="dxa"/>
            <w:vMerge w:val="continue"/>
            <w:tcBorders>
              <w:top w:val="nil"/>
            </w:tcBorders>
            <w:vAlign w:val="top"/>
          </w:tcPr>
          <w:p>
            <w:pPr>
              <w:rPr>
                <w:color w:val="auto"/>
                <w:sz w:val="2"/>
                <w:szCs w:val="2"/>
              </w:rPr>
            </w:pPr>
          </w:p>
        </w:tc>
        <w:tc>
          <w:tcPr>
            <w:tcW w:w="6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line="244" w:lineRule="auto"/>
              <w:ind w:left="122" w:right="110"/>
              <w:rPr>
                <w:b/>
                <w:color w:val="auto"/>
                <w:sz w:val="21"/>
              </w:rPr>
            </w:pPr>
            <w:r>
              <w:rPr>
                <w:b/>
                <w:color w:val="auto"/>
                <w:sz w:val="21"/>
              </w:rPr>
              <w:t>裁量基准</w:t>
            </w:r>
          </w:p>
        </w:tc>
        <w:tc>
          <w:tcPr>
            <w:tcW w:w="516" w:type="dxa"/>
            <w:vAlign w:val="top"/>
          </w:tcPr>
          <w:p>
            <w:pPr>
              <w:pStyle w:val="8"/>
              <w:spacing w:before="9"/>
              <w:rPr>
                <w:rFonts w:ascii="Times New Roman"/>
                <w:color w:val="auto"/>
                <w:sz w:val="16"/>
              </w:rPr>
            </w:pPr>
          </w:p>
          <w:p>
            <w:pPr>
              <w:pStyle w:val="8"/>
              <w:spacing w:line="242" w:lineRule="auto"/>
              <w:ind w:left="151" w:right="141"/>
              <w:jc w:val="both"/>
              <w:rPr>
                <w:b/>
                <w:color w:val="auto"/>
                <w:sz w:val="21"/>
              </w:rPr>
            </w:pPr>
            <w:r>
              <w:rPr>
                <w:b/>
                <w:color w:val="auto"/>
                <w:sz w:val="21"/>
              </w:rPr>
              <w:t>一般情形</w:t>
            </w:r>
          </w:p>
        </w:tc>
        <w:tc>
          <w:tcPr>
            <w:tcW w:w="2715" w:type="dxa"/>
            <w:vAlign w:val="top"/>
          </w:tcPr>
          <w:p>
            <w:pPr>
              <w:pStyle w:val="8"/>
              <w:spacing w:before="56"/>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4"/>
              <w:ind w:left="108"/>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4"/>
                <w:sz w:val="21"/>
              </w:rPr>
              <w:t xml:space="preserve"> 万元以下</w:t>
            </w:r>
          </w:p>
          <w:p>
            <w:pPr>
              <w:pStyle w:val="8"/>
              <w:spacing w:before="3"/>
              <w:ind w:left="108"/>
              <w:rPr>
                <w:color w:val="auto"/>
                <w:sz w:val="21"/>
              </w:rPr>
            </w:pPr>
            <w:r>
              <w:rPr>
                <w:color w:val="auto"/>
                <w:spacing w:val="-11"/>
                <w:sz w:val="21"/>
              </w:rPr>
              <w:t xml:space="preserve">罚款；货值金额 </w:t>
            </w:r>
            <w:r>
              <w:rPr>
                <w:color w:val="auto"/>
                <w:sz w:val="21"/>
              </w:rPr>
              <w:t>1</w:t>
            </w:r>
            <w:r>
              <w:rPr>
                <w:color w:val="auto"/>
                <w:spacing w:val="-12"/>
                <w:sz w:val="21"/>
              </w:rPr>
              <w:t xml:space="preserve"> 万元以上</w:t>
            </w:r>
          </w:p>
          <w:p>
            <w:pPr>
              <w:pStyle w:val="8"/>
              <w:spacing w:before="4"/>
              <w:ind w:left="108"/>
              <w:rPr>
                <w:color w:val="auto"/>
                <w:sz w:val="21"/>
              </w:rPr>
            </w:pPr>
            <w:r>
              <w:rPr>
                <w:color w:val="auto"/>
                <w:spacing w:val="-11"/>
                <w:sz w:val="21"/>
              </w:rPr>
              <w:t xml:space="preserve">的，并处货值金额 </w:t>
            </w:r>
            <w:r>
              <w:rPr>
                <w:color w:val="auto"/>
                <w:sz w:val="21"/>
              </w:rPr>
              <w:t>0.5</w:t>
            </w:r>
            <w:r>
              <w:rPr>
                <w:color w:val="auto"/>
                <w:spacing w:val="-19"/>
                <w:sz w:val="21"/>
              </w:rPr>
              <w:t xml:space="preserve"> 倍以</w:t>
            </w:r>
          </w:p>
          <w:p>
            <w:pPr>
              <w:pStyle w:val="8"/>
              <w:spacing w:before="2"/>
              <w:ind w:left="108"/>
              <w:rPr>
                <w:color w:val="auto"/>
                <w:sz w:val="21"/>
              </w:rPr>
            </w:pPr>
            <w:r>
              <w:rPr>
                <w:color w:val="auto"/>
                <w:sz w:val="21"/>
              </w:rPr>
              <w:t>上 5 倍以下罚款。</w:t>
            </w:r>
          </w:p>
        </w:tc>
        <w:tc>
          <w:tcPr>
            <w:tcW w:w="2714" w:type="dxa"/>
            <w:vAlign w:val="top"/>
          </w:tcPr>
          <w:p>
            <w:pPr>
              <w:pStyle w:val="8"/>
              <w:spacing w:before="56"/>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4"/>
              <w:ind w:left="108"/>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2.9</w:t>
            </w:r>
            <w:r>
              <w:rPr>
                <w:color w:val="auto"/>
                <w:spacing w:val="-13"/>
                <w:sz w:val="21"/>
              </w:rPr>
              <w:t xml:space="preserve"> 万元以下</w:t>
            </w:r>
          </w:p>
          <w:p>
            <w:pPr>
              <w:pStyle w:val="8"/>
              <w:spacing w:before="3"/>
              <w:ind w:left="108"/>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pPr>
              <w:pStyle w:val="8"/>
              <w:spacing w:before="4"/>
              <w:ind w:left="108"/>
              <w:rPr>
                <w:color w:val="auto"/>
                <w:sz w:val="21"/>
              </w:rPr>
            </w:pPr>
            <w:r>
              <w:rPr>
                <w:color w:val="auto"/>
                <w:spacing w:val="-11"/>
                <w:sz w:val="21"/>
              </w:rPr>
              <w:t xml:space="preserve">的，并处货值金额 </w:t>
            </w:r>
            <w:r>
              <w:rPr>
                <w:color w:val="auto"/>
                <w:sz w:val="21"/>
              </w:rPr>
              <w:t>5</w:t>
            </w:r>
            <w:r>
              <w:rPr>
                <w:color w:val="auto"/>
                <w:spacing w:val="-14"/>
                <w:sz w:val="21"/>
              </w:rPr>
              <w:t xml:space="preserve"> 倍以上</w:t>
            </w:r>
          </w:p>
          <w:p>
            <w:pPr>
              <w:pStyle w:val="8"/>
              <w:spacing w:before="2"/>
              <w:ind w:left="108"/>
              <w:rPr>
                <w:color w:val="auto"/>
                <w:sz w:val="21"/>
              </w:rPr>
            </w:pPr>
            <w:r>
              <w:rPr>
                <w:color w:val="auto"/>
                <w:sz w:val="21"/>
              </w:rPr>
              <w:t>9.5 倍以下罚款。</w:t>
            </w:r>
          </w:p>
        </w:tc>
        <w:tc>
          <w:tcPr>
            <w:tcW w:w="2717" w:type="dxa"/>
            <w:vAlign w:val="top"/>
          </w:tcPr>
          <w:p>
            <w:pPr>
              <w:pStyle w:val="8"/>
              <w:spacing w:before="56"/>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万元的，处</w:t>
            </w:r>
          </w:p>
          <w:p>
            <w:pPr>
              <w:pStyle w:val="8"/>
              <w:spacing w:before="4" w:line="242" w:lineRule="auto"/>
              <w:ind w:left="108" w:right="95"/>
              <w:jc w:val="both"/>
              <w:rPr>
                <w:color w:val="auto"/>
                <w:sz w:val="21"/>
              </w:rPr>
            </w:pPr>
            <w:r>
              <w:rPr>
                <w:color w:val="auto"/>
                <w:sz w:val="21"/>
              </w:rPr>
              <w:t>2.9</w:t>
            </w:r>
            <w:r>
              <w:rPr>
                <w:color w:val="auto"/>
                <w:spacing w:val="-15"/>
                <w:sz w:val="21"/>
              </w:rPr>
              <w:t xml:space="preserve"> 万元以上 </w:t>
            </w:r>
            <w:r>
              <w:rPr>
                <w:color w:val="auto"/>
                <w:sz w:val="21"/>
              </w:rPr>
              <w:t>4.1</w:t>
            </w:r>
            <w:r>
              <w:rPr>
                <w:color w:val="auto"/>
                <w:spacing w:val="-13"/>
                <w:sz w:val="21"/>
              </w:rPr>
              <w:t xml:space="preserve"> 万元以下</w:t>
            </w:r>
            <w:r>
              <w:rPr>
                <w:color w:val="auto"/>
                <w:spacing w:val="-12"/>
                <w:sz w:val="21"/>
              </w:rPr>
              <w:t xml:space="preserve">罚款；货值金额 </w:t>
            </w:r>
            <w:r>
              <w:rPr>
                <w:color w:val="auto"/>
                <w:sz w:val="21"/>
              </w:rPr>
              <w:t>1</w:t>
            </w:r>
            <w:r>
              <w:rPr>
                <w:color w:val="auto"/>
                <w:spacing w:val="-14"/>
                <w:sz w:val="21"/>
              </w:rPr>
              <w:t xml:space="preserve"> 万元以上</w:t>
            </w:r>
            <w:r>
              <w:rPr>
                <w:color w:val="auto"/>
                <w:spacing w:val="-12"/>
                <w:sz w:val="21"/>
              </w:rPr>
              <w:t xml:space="preserve">的，处货值金额 </w:t>
            </w:r>
            <w:r>
              <w:rPr>
                <w:color w:val="auto"/>
                <w:sz w:val="21"/>
              </w:rPr>
              <w:t>9.5</w:t>
            </w:r>
            <w:r>
              <w:rPr>
                <w:color w:val="auto"/>
                <w:spacing w:val="-17"/>
                <w:sz w:val="21"/>
              </w:rPr>
              <w:t xml:space="preserve"> 倍以上</w:t>
            </w:r>
          </w:p>
          <w:p>
            <w:pPr>
              <w:pStyle w:val="8"/>
              <w:spacing w:before="1"/>
              <w:ind w:left="108"/>
              <w:jc w:val="both"/>
              <w:rPr>
                <w:color w:val="auto"/>
                <w:sz w:val="21"/>
              </w:rPr>
            </w:pPr>
            <w:r>
              <w:rPr>
                <w:color w:val="auto"/>
                <w:sz w:val="21"/>
              </w:rPr>
              <w:t>15.5 倍以下罚款。</w:t>
            </w:r>
          </w:p>
        </w:tc>
        <w:tc>
          <w:tcPr>
            <w:tcW w:w="3900" w:type="dxa"/>
            <w:vAlign w:val="top"/>
          </w:tcPr>
          <w:p>
            <w:pPr>
              <w:pStyle w:val="8"/>
              <w:spacing w:before="7"/>
              <w:rPr>
                <w:rFonts w:ascii="Times New Roman"/>
                <w:color w:val="auto"/>
                <w:sz w:val="28"/>
              </w:rPr>
            </w:pPr>
          </w:p>
          <w:p>
            <w:pPr>
              <w:pStyle w:val="8"/>
              <w:spacing w:before="1"/>
              <w:ind w:left="106"/>
              <w:rPr>
                <w:color w:val="auto"/>
                <w:sz w:val="21"/>
              </w:rPr>
            </w:pPr>
            <w:r>
              <w:rPr>
                <w:color w:val="auto"/>
                <w:spacing w:val="-9"/>
                <w:sz w:val="21"/>
              </w:rPr>
              <w:t xml:space="preserve">货值金额不足 </w:t>
            </w:r>
            <w:r>
              <w:rPr>
                <w:color w:val="auto"/>
                <w:sz w:val="21"/>
              </w:rPr>
              <w:t>1</w:t>
            </w:r>
            <w:r>
              <w:rPr>
                <w:color w:val="auto"/>
                <w:spacing w:val="-30"/>
                <w:sz w:val="21"/>
              </w:rPr>
              <w:t xml:space="preserve"> 万元的，处 </w:t>
            </w:r>
            <w:r>
              <w:rPr>
                <w:color w:val="auto"/>
                <w:sz w:val="21"/>
              </w:rPr>
              <w:t>4.1</w:t>
            </w:r>
            <w:r>
              <w:rPr>
                <w:color w:val="auto"/>
                <w:spacing w:val="-12"/>
                <w:sz w:val="21"/>
              </w:rPr>
              <w:t xml:space="preserve"> 万元以上</w:t>
            </w:r>
          </w:p>
          <w:p>
            <w:pPr>
              <w:pStyle w:val="8"/>
              <w:spacing w:before="2"/>
              <w:ind w:left="106" w:right="-15"/>
              <w:rPr>
                <w:color w:val="auto"/>
                <w:sz w:val="21"/>
              </w:rPr>
            </w:pPr>
            <w:r>
              <w:rPr>
                <w:color w:val="auto"/>
                <w:sz w:val="21"/>
              </w:rPr>
              <w:t>5</w:t>
            </w:r>
            <w:r>
              <w:rPr>
                <w:color w:val="auto"/>
                <w:spacing w:val="-14"/>
                <w:sz w:val="21"/>
              </w:rPr>
              <w:t xml:space="preserve"> 万元以下罚款；货值金额</w:t>
            </w:r>
            <w:r>
              <w:rPr>
                <w:color w:val="auto"/>
                <w:sz w:val="21"/>
              </w:rPr>
              <w:t>1</w:t>
            </w:r>
            <w:r>
              <w:rPr>
                <w:color w:val="auto"/>
                <w:spacing w:val="-10"/>
                <w:sz w:val="21"/>
              </w:rPr>
              <w:t xml:space="preserve"> 万元以上的，</w:t>
            </w:r>
          </w:p>
          <w:p>
            <w:pPr>
              <w:pStyle w:val="8"/>
              <w:spacing w:before="4"/>
              <w:ind w:left="106"/>
              <w:rPr>
                <w:color w:val="auto"/>
                <w:sz w:val="21"/>
              </w:rPr>
            </w:pPr>
            <w:r>
              <w:rPr>
                <w:color w:val="auto"/>
                <w:spacing w:val="-10"/>
                <w:sz w:val="21"/>
              </w:rPr>
              <w:t xml:space="preserve">处货值金额 </w:t>
            </w:r>
            <w:r>
              <w:rPr>
                <w:color w:val="auto"/>
                <w:sz w:val="21"/>
              </w:rPr>
              <w:t>15.5</w:t>
            </w:r>
            <w:r>
              <w:rPr>
                <w:color w:val="auto"/>
                <w:spacing w:val="-22"/>
                <w:sz w:val="21"/>
              </w:rPr>
              <w:t xml:space="preserve"> 倍以上 </w:t>
            </w:r>
            <w:r>
              <w:rPr>
                <w:color w:val="auto"/>
                <w:sz w:val="21"/>
              </w:rPr>
              <w:t>20</w:t>
            </w:r>
            <w:r>
              <w:rPr>
                <w:color w:val="auto"/>
                <w:spacing w:val="-11"/>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3" w:hRule="atLeast"/>
        </w:trPr>
        <w:tc>
          <w:tcPr>
            <w:tcW w:w="562" w:type="dxa"/>
            <w:vMerge w:val="continue"/>
            <w:tcBorders>
              <w:top w:val="nil"/>
            </w:tcBorders>
            <w:vAlign w:val="top"/>
          </w:tcPr>
          <w:p>
            <w:pPr>
              <w:rPr>
                <w:color w:val="auto"/>
                <w:sz w:val="2"/>
                <w:szCs w:val="2"/>
              </w:rPr>
            </w:pPr>
          </w:p>
        </w:tc>
        <w:tc>
          <w:tcPr>
            <w:tcW w:w="667" w:type="dxa"/>
            <w:vMerge w:val="continue"/>
            <w:tcBorders>
              <w:top w:val="nil"/>
            </w:tcBorders>
            <w:vAlign w:val="top"/>
          </w:tcPr>
          <w:p>
            <w:pPr>
              <w:rPr>
                <w:color w:val="auto"/>
                <w:sz w:val="2"/>
                <w:szCs w:val="2"/>
              </w:rPr>
            </w:pPr>
          </w:p>
        </w:tc>
        <w:tc>
          <w:tcPr>
            <w:tcW w:w="516" w:type="dxa"/>
            <w:vAlign w:val="top"/>
          </w:tcPr>
          <w:p>
            <w:pPr>
              <w:pStyle w:val="8"/>
              <w:spacing w:before="3" w:line="242" w:lineRule="auto"/>
              <w:ind w:left="151" w:right="141"/>
              <w:jc w:val="both"/>
              <w:rPr>
                <w:b/>
                <w:color w:val="auto"/>
                <w:sz w:val="21"/>
              </w:rPr>
            </w:pPr>
            <w:r>
              <w:rPr>
                <w:b/>
                <w:color w:val="auto"/>
                <w:sz w:val="21"/>
              </w:rPr>
              <w:t>情节严重</w:t>
            </w:r>
          </w:p>
          <w:p>
            <w:pPr>
              <w:pStyle w:val="8"/>
              <w:spacing w:before="1" w:line="252" w:lineRule="exact"/>
              <w:ind w:left="151"/>
              <w:jc w:val="both"/>
              <w:rPr>
                <w:b/>
                <w:color w:val="auto"/>
                <w:sz w:val="21"/>
              </w:rPr>
            </w:pPr>
            <w:r>
              <w:rPr>
                <w:b/>
                <w:color w:val="auto"/>
                <w:w w:val="100"/>
                <w:sz w:val="21"/>
              </w:rPr>
              <w:t>的</w:t>
            </w:r>
          </w:p>
        </w:tc>
        <w:tc>
          <w:tcPr>
            <w:tcW w:w="2715" w:type="dxa"/>
            <w:vAlign w:val="top"/>
          </w:tcPr>
          <w:p>
            <w:pPr>
              <w:pStyle w:val="8"/>
              <w:rPr>
                <w:rFonts w:ascii="Times New Roman"/>
                <w:color w:val="auto"/>
                <w:sz w:val="20"/>
              </w:rPr>
            </w:pPr>
          </w:p>
        </w:tc>
        <w:tc>
          <w:tcPr>
            <w:tcW w:w="2714" w:type="dxa"/>
            <w:vAlign w:val="top"/>
          </w:tcPr>
          <w:p>
            <w:pPr>
              <w:pStyle w:val="8"/>
              <w:spacing w:before="137"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4"/>
              <w:ind w:left="108"/>
              <w:jc w:val="both"/>
              <w:rPr>
                <w:color w:val="auto"/>
                <w:sz w:val="21"/>
              </w:rPr>
            </w:pPr>
            <w:r>
              <w:rPr>
                <w:color w:val="auto"/>
                <w:sz w:val="21"/>
              </w:rPr>
              <w:t>0.3</w:t>
            </w:r>
            <w:r>
              <w:rPr>
                <w:color w:val="auto"/>
                <w:spacing w:val="-13"/>
                <w:sz w:val="21"/>
              </w:rPr>
              <w:t xml:space="preserve"> 倍以上</w:t>
            </w:r>
            <w:r>
              <w:rPr>
                <w:color w:val="auto"/>
                <w:sz w:val="21"/>
              </w:rPr>
              <w:t>1.1</w:t>
            </w:r>
            <w:r>
              <w:rPr>
                <w:color w:val="auto"/>
                <w:spacing w:val="-16"/>
                <w:sz w:val="21"/>
              </w:rPr>
              <w:t xml:space="preserve"> </w:t>
            </w:r>
            <w:r>
              <w:rPr>
                <w:rFonts w:hint="eastAsia"/>
                <w:color w:val="auto"/>
                <w:spacing w:val="-16"/>
                <w:sz w:val="21"/>
                <w:lang w:val="en-US" w:eastAsia="zh-CN"/>
              </w:rPr>
              <w:t>1</w:t>
            </w:r>
            <w:r>
              <w:rPr>
                <w:color w:val="auto"/>
                <w:spacing w:val="-16"/>
                <w:sz w:val="21"/>
              </w:rPr>
              <w:t>倍以下罚款。</w:t>
            </w:r>
          </w:p>
        </w:tc>
        <w:tc>
          <w:tcPr>
            <w:tcW w:w="2717" w:type="dxa"/>
            <w:vAlign w:val="top"/>
          </w:tcPr>
          <w:p>
            <w:pPr>
              <w:pStyle w:val="8"/>
              <w:spacing w:before="137"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4"/>
              <w:ind w:left="108"/>
              <w:jc w:val="both"/>
              <w:rPr>
                <w:color w:val="auto"/>
                <w:sz w:val="21"/>
              </w:rPr>
            </w:pPr>
            <w:r>
              <w:rPr>
                <w:color w:val="auto"/>
                <w:sz w:val="21"/>
              </w:rPr>
              <w:t>1.1</w:t>
            </w:r>
            <w:r>
              <w:rPr>
                <w:rFonts w:hint="eastAsia"/>
                <w:color w:val="auto"/>
                <w:sz w:val="21"/>
                <w:lang w:val="en-US" w:eastAsia="zh-CN"/>
              </w:rPr>
              <w:t>1</w:t>
            </w:r>
            <w:r>
              <w:rPr>
                <w:color w:val="auto"/>
                <w:spacing w:val="-13"/>
                <w:sz w:val="21"/>
              </w:rPr>
              <w:t xml:space="preserve"> 倍以上</w:t>
            </w:r>
            <w:r>
              <w:rPr>
                <w:color w:val="auto"/>
                <w:sz w:val="21"/>
              </w:rPr>
              <w:t>2.</w:t>
            </w:r>
            <w:r>
              <w:rPr>
                <w:rFonts w:hint="eastAsia"/>
                <w:color w:val="auto"/>
                <w:sz w:val="21"/>
                <w:lang w:val="en-US" w:eastAsia="zh-CN"/>
              </w:rPr>
              <w:t>19</w:t>
            </w:r>
            <w:r>
              <w:rPr>
                <w:color w:val="auto"/>
                <w:spacing w:val="-16"/>
                <w:sz w:val="21"/>
              </w:rPr>
              <w:t xml:space="preserve"> 倍以下罚款。</w:t>
            </w:r>
          </w:p>
        </w:tc>
        <w:tc>
          <w:tcPr>
            <w:tcW w:w="3900" w:type="dxa"/>
            <w:vAlign w:val="top"/>
          </w:tcPr>
          <w:p>
            <w:pPr>
              <w:pStyle w:val="8"/>
              <w:spacing w:before="10"/>
              <w:rPr>
                <w:rFonts w:ascii="Times New Roman"/>
                <w:color w:val="auto"/>
                <w:sz w:val="23"/>
              </w:rPr>
            </w:pPr>
          </w:p>
          <w:p>
            <w:pPr>
              <w:pStyle w:val="8"/>
              <w:spacing w:line="244" w:lineRule="auto"/>
              <w:ind w:left="106" w:right="92"/>
              <w:rPr>
                <w:color w:val="auto"/>
                <w:sz w:val="21"/>
              </w:rPr>
            </w:pPr>
            <w:r>
              <w:rPr>
                <w:color w:val="auto"/>
                <w:spacing w:val="-13"/>
                <w:sz w:val="21"/>
              </w:rPr>
              <w:t>对法定代表人、主要负责人、直接负责的</w:t>
            </w:r>
            <w:r>
              <w:rPr>
                <w:color w:val="auto"/>
                <w:spacing w:val="17"/>
                <w:sz w:val="21"/>
              </w:rPr>
              <w:t>主管人员和其他责任人员处所获收入</w:t>
            </w:r>
          </w:p>
          <w:p>
            <w:pPr>
              <w:pStyle w:val="8"/>
              <w:spacing w:line="266" w:lineRule="exact"/>
              <w:ind w:left="106"/>
              <w:rPr>
                <w:color w:val="auto"/>
                <w:sz w:val="21"/>
              </w:rPr>
            </w:pPr>
            <w:r>
              <w:rPr>
                <w:color w:val="auto"/>
                <w:sz w:val="21"/>
              </w:rPr>
              <w:t>2.</w:t>
            </w:r>
            <w:r>
              <w:rPr>
                <w:rFonts w:hint="eastAsia"/>
                <w:color w:val="auto"/>
                <w:sz w:val="21"/>
                <w:lang w:val="en-US" w:eastAsia="zh-CN"/>
              </w:rPr>
              <w:t>19</w:t>
            </w:r>
            <w:r>
              <w:rPr>
                <w:color w:val="auto"/>
                <w:sz w:val="21"/>
              </w:rPr>
              <w:t xml:space="preserve"> 倍以上 3 倍以下罚款。</w:t>
            </w:r>
          </w:p>
        </w:tc>
      </w:tr>
    </w:tbl>
    <w:p>
      <w:pPr>
        <w:pStyle w:val="4"/>
        <w:rPr>
          <w:rFonts w:ascii="Times New Roman"/>
          <w:color w:val="auto"/>
          <w:sz w:val="20"/>
        </w:rPr>
      </w:pPr>
    </w:p>
    <w:p>
      <w:pPr>
        <w:spacing w:after="0" w:line="266" w:lineRule="exact"/>
        <w:rPr>
          <w:color w:val="auto"/>
          <w:sz w:val="21"/>
        </w:rPr>
        <w:sectPr>
          <w:pgSz w:w="16840" w:h="11910" w:orient="landscape"/>
          <w:pgMar w:top="1100" w:right="1400" w:bottom="1760" w:left="1400" w:header="0" w:footer="1572" w:gutter="0"/>
          <w:pgNumType w:fmt="numberInDash"/>
          <w:cols w:space="720" w:num="1"/>
        </w:sectPr>
      </w:pPr>
    </w:p>
    <w:tbl>
      <w:tblPr>
        <w:tblStyle w:val="7"/>
        <w:tblpPr w:leftFromText="180" w:rightFromText="180" w:vertAnchor="text" w:horzAnchor="page" w:tblpX="1464" w:tblpY="264"/>
        <w:tblOverlap w:val="never"/>
        <w:tblW w:w="137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46"/>
        <w:gridCol w:w="538"/>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05"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8"/>
              </w:rPr>
            </w:pPr>
          </w:p>
          <w:p>
            <w:pPr>
              <w:pStyle w:val="8"/>
              <w:spacing w:before="1"/>
              <w:ind w:left="9"/>
              <w:jc w:val="center"/>
              <w:rPr>
                <w:b/>
                <w:color w:val="auto"/>
                <w:sz w:val="21"/>
              </w:rPr>
            </w:pPr>
            <w:r>
              <w:rPr>
                <w:b/>
                <w:color w:val="auto"/>
                <w:w w:val="99"/>
                <w:sz w:val="21"/>
              </w:rPr>
              <w:t>7</w:t>
            </w:r>
          </w:p>
        </w:tc>
        <w:tc>
          <w:tcPr>
            <w:tcW w:w="1184" w:type="dxa"/>
            <w:gridSpan w:val="2"/>
            <w:vAlign w:val="top"/>
          </w:tcPr>
          <w:p>
            <w:pPr>
              <w:pStyle w:val="8"/>
              <w:rPr>
                <w:rFonts w:ascii="Times New Roman"/>
                <w:color w:val="auto"/>
                <w:sz w:val="20"/>
              </w:rPr>
            </w:pPr>
          </w:p>
          <w:p>
            <w:pPr>
              <w:pStyle w:val="8"/>
              <w:spacing w:before="11"/>
              <w:rPr>
                <w:rFonts w:ascii="Times New Roman"/>
                <w:color w:val="auto"/>
                <w:sz w:val="24"/>
              </w:rPr>
            </w:pPr>
          </w:p>
          <w:p>
            <w:pPr>
              <w:pStyle w:val="8"/>
              <w:ind w:left="170"/>
              <w:rPr>
                <w:b/>
                <w:color w:val="auto"/>
                <w:sz w:val="21"/>
              </w:rPr>
            </w:pPr>
            <w:r>
              <w:rPr>
                <w:b/>
                <w:color w:val="auto"/>
                <w:sz w:val="21"/>
              </w:rPr>
              <w:t>违法行为</w:t>
            </w:r>
          </w:p>
        </w:tc>
        <w:tc>
          <w:tcPr>
            <w:tcW w:w="12046" w:type="dxa"/>
            <w:gridSpan w:val="4"/>
            <w:vAlign w:val="top"/>
          </w:tcPr>
          <w:p>
            <w:pPr>
              <w:pStyle w:val="8"/>
              <w:spacing w:before="109" w:line="244" w:lineRule="auto"/>
              <w:ind w:left="529" w:right="157" w:hanging="3"/>
              <w:rPr>
                <w:color w:val="auto"/>
                <w:sz w:val="21"/>
              </w:rPr>
            </w:pPr>
            <w:r>
              <w:rPr>
                <w:color w:val="auto"/>
                <w:sz w:val="21"/>
              </w:rPr>
              <w:t>生产条件发生变化、不再符合医疗器械质量管理体系要求，未依照《医疗器械监督管理条例》规定整改、停止生产、报告； 生产、经营说明书、标签不符合《医疗器械监督管理条例》规定的医疗器械；</w:t>
            </w:r>
          </w:p>
          <w:p>
            <w:pPr>
              <w:pStyle w:val="8"/>
              <w:spacing w:line="242" w:lineRule="auto"/>
              <w:ind w:left="529" w:right="5830"/>
              <w:rPr>
                <w:color w:val="auto"/>
                <w:sz w:val="21"/>
              </w:rPr>
            </w:pPr>
            <w:r>
              <w:rPr>
                <w:color w:val="auto"/>
                <w:sz w:val="21"/>
              </w:rPr>
              <w:t>未按照医疗器械说明书和标签标示要求运输、贮存医疗器械； 转让过期、失效、淘汰或者检验不合格的在用医疗器械。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03"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5"/>
              </w:rPr>
            </w:pPr>
          </w:p>
          <w:p>
            <w:pPr>
              <w:pStyle w:val="8"/>
              <w:ind w:left="170"/>
              <w:rPr>
                <w:b/>
                <w:color w:val="auto"/>
                <w:sz w:val="21"/>
              </w:rPr>
            </w:pPr>
            <w:r>
              <w:rPr>
                <w:b/>
                <w:color w:val="auto"/>
                <w:sz w:val="21"/>
              </w:rPr>
              <w:t>处罚依据</w:t>
            </w:r>
          </w:p>
        </w:tc>
        <w:tc>
          <w:tcPr>
            <w:tcW w:w="12046" w:type="dxa"/>
            <w:gridSpan w:val="4"/>
            <w:vAlign w:val="top"/>
          </w:tcPr>
          <w:p>
            <w:pPr>
              <w:pStyle w:val="8"/>
              <w:spacing w:before="109"/>
              <w:ind w:left="527"/>
              <w:rPr>
                <w:color w:val="auto"/>
                <w:sz w:val="21"/>
              </w:rPr>
            </w:pPr>
            <w:r>
              <w:rPr>
                <w:color w:val="auto"/>
                <w:spacing w:val="-4"/>
                <w:sz w:val="21"/>
              </w:rPr>
              <w:t xml:space="preserve">根据《医疗器械监督管理条例》第八十八条，由负责药品监督管理的部门责令改正，处 </w:t>
            </w:r>
            <w:r>
              <w:rPr>
                <w:color w:val="auto"/>
                <w:sz w:val="21"/>
              </w:rPr>
              <w:t>1</w:t>
            </w:r>
            <w:r>
              <w:rPr>
                <w:color w:val="auto"/>
                <w:spacing w:val="-11"/>
                <w:sz w:val="21"/>
              </w:rPr>
              <w:t xml:space="preserve"> 万元以上 </w:t>
            </w:r>
            <w:r>
              <w:rPr>
                <w:color w:val="auto"/>
                <w:sz w:val="21"/>
              </w:rPr>
              <w:t>5</w:t>
            </w:r>
            <w:r>
              <w:rPr>
                <w:color w:val="auto"/>
                <w:spacing w:val="-7"/>
                <w:sz w:val="21"/>
              </w:rPr>
              <w:t xml:space="preserve"> 万元以下罚款；拒不改</w:t>
            </w:r>
          </w:p>
          <w:p>
            <w:pPr>
              <w:pStyle w:val="8"/>
              <w:spacing w:before="2" w:line="242" w:lineRule="auto"/>
              <w:ind w:left="107" w:right="97"/>
              <w:jc w:val="both"/>
              <w:rPr>
                <w:color w:val="auto"/>
                <w:sz w:val="21"/>
              </w:rPr>
            </w:pPr>
            <w:r>
              <w:rPr>
                <w:color w:val="auto"/>
                <w:spacing w:val="-11"/>
                <w:sz w:val="21"/>
              </w:rPr>
              <w:t xml:space="preserve">正的，处 </w:t>
            </w:r>
            <w:r>
              <w:rPr>
                <w:color w:val="auto"/>
                <w:sz w:val="21"/>
              </w:rPr>
              <w:t>5</w:t>
            </w:r>
            <w:r>
              <w:rPr>
                <w:color w:val="auto"/>
                <w:spacing w:val="-15"/>
                <w:sz w:val="21"/>
              </w:rPr>
              <w:t xml:space="preserve"> 万元以上 </w:t>
            </w:r>
            <w:r>
              <w:rPr>
                <w:color w:val="auto"/>
                <w:sz w:val="21"/>
              </w:rPr>
              <w:t>10</w:t>
            </w:r>
            <w:r>
              <w:rPr>
                <w:color w:val="auto"/>
                <w:spacing w:val="-10"/>
                <w:sz w:val="21"/>
              </w:rPr>
              <w:t xml:space="preserve"> 万元以下罚款；情节严重的，责令停产停业，直至由原发证部门吊销医疗器械生产许可证、医疗器械经营</w:t>
            </w:r>
            <w:r>
              <w:rPr>
                <w:color w:val="auto"/>
                <w:spacing w:val="-11"/>
                <w:sz w:val="21"/>
              </w:rPr>
              <w:t>许可证，对违法单位的法定代表人、主要负责人、直接负责的主管人员和其他责任人员，没收违法行为发生期间自本单位所获收</w:t>
            </w:r>
            <w:r>
              <w:rPr>
                <w:color w:val="auto"/>
                <w:spacing w:val="-9"/>
                <w:sz w:val="21"/>
              </w:rPr>
              <w:t xml:space="preserve">入，并处所获收入 </w:t>
            </w:r>
            <w:r>
              <w:rPr>
                <w:color w:val="auto"/>
                <w:sz w:val="21"/>
              </w:rPr>
              <w:t>30</w:t>
            </w:r>
            <w:r>
              <w:rPr>
                <w:color w:val="auto"/>
                <w:spacing w:val="-15"/>
                <w:sz w:val="21"/>
              </w:rPr>
              <w:t xml:space="preserve">%以上 </w:t>
            </w:r>
            <w:r>
              <w:rPr>
                <w:color w:val="auto"/>
                <w:sz w:val="21"/>
              </w:rPr>
              <w:t>2</w:t>
            </w:r>
            <w:r>
              <w:rPr>
                <w:color w:val="auto"/>
                <w:spacing w:val="-10"/>
                <w:sz w:val="21"/>
              </w:rPr>
              <w:t xml:space="preserve"> 倍以下罚款，</w:t>
            </w:r>
            <w:r>
              <w:rPr>
                <w:color w:val="auto"/>
                <w:sz w:val="21"/>
              </w:rPr>
              <w:t>5</w:t>
            </w:r>
            <w:r>
              <w:rPr>
                <w:color w:val="auto"/>
                <w:spacing w:val="-9"/>
                <w:sz w:val="21"/>
              </w:rPr>
              <w:t xml:space="preserve"> 年内禁止其从事医疗器械生产经营活动。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9"/>
              <w:ind w:left="170"/>
              <w:rPr>
                <w:b/>
                <w:color w:val="auto"/>
                <w:sz w:val="21"/>
              </w:rPr>
            </w:pPr>
            <w:r>
              <w:rPr>
                <w:b/>
                <w:color w:val="auto"/>
                <w:sz w:val="21"/>
              </w:rPr>
              <w:t>裁量等级</w:t>
            </w:r>
          </w:p>
        </w:tc>
        <w:tc>
          <w:tcPr>
            <w:tcW w:w="2715" w:type="dxa"/>
            <w:vAlign w:val="top"/>
          </w:tcPr>
          <w:p>
            <w:pPr>
              <w:pStyle w:val="8"/>
              <w:spacing w:before="149"/>
              <w:ind w:left="107"/>
              <w:rPr>
                <w:b/>
                <w:color w:val="auto"/>
                <w:sz w:val="21"/>
              </w:rPr>
            </w:pPr>
            <w:r>
              <w:rPr>
                <w:b/>
                <w:color w:val="auto"/>
                <w:sz w:val="21"/>
              </w:rPr>
              <w:t>减轻</w:t>
            </w:r>
          </w:p>
        </w:tc>
        <w:tc>
          <w:tcPr>
            <w:tcW w:w="2714" w:type="dxa"/>
            <w:vAlign w:val="top"/>
          </w:tcPr>
          <w:p>
            <w:pPr>
              <w:pStyle w:val="8"/>
              <w:spacing w:before="149"/>
              <w:ind w:left="107"/>
              <w:rPr>
                <w:b/>
                <w:color w:val="auto"/>
                <w:sz w:val="21"/>
              </w:rPr>
            </w:pPr>
            <w:r>
              <w:rPr>
                <w:b/>
                <w:color w:val="auto"/>
                <w:sz w:val="21"/>
              </w:rPr>
              <w:t>从轻</w:t>
            </w:r>
          </w:p>
        </w:tc>
        <w:tc>
          <w:tcPr>
            <w:tcW w:w="2717" w:type="dxa"/>
            <w:vAlign w:val="top"/>
          </w:tcPr>
          <w:p>
            <w:pPr>
              <w:pStyle w:val="8"/>
              <w:spacing w:before="149"/>
              <w:ind w:left="107"/>
              <w:rPr>
                <w:b/>
                <w:color w:val="auto"/>
                <w:sz w:val="21"/>
              </w:rPr>
            </w:pPr>
            <w:r>
              <w:rPr>
                <w:b/>
                <w:color w:val="auto"/>
                <w:sz w:val="21"/>
              </w:rPr>
              <w:t>一般</w:t>
            </w:r>
          </w:p>
        </w:tc>
        <w:tc>
          <w:tcPr>
            <w:tcW w:w="3900" w:type="dxa"/>
            <w:vAlign w:val="top"/>
          </w:tcPr>
          <w:p>
            <w:pPr>
              <w:pStyle w:val="8"/>
              <w:spacing w:before="149"/>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2" w:lineRule="auto"/>
              <w:ind w:left="107" w:right="98"/>
              <w:rPr>
                <w:color w:val="auto"/>
                <w:sz w:val="21"/>
              </w:rPr>
            </w:pPr>
            <w:r>
              <w:rPr>
                <w:color w:val="auto"/>
                <w:sz w:val="21"/>
              </w:rPr>
              <w:t>符合裁量规定减轻行政处罚情形的。</w:t>
            </w:r>
          </w:p>
        </w:tc>
        <w:tc>
          <w:tcPr>
            <w:tcW w:w="2714" w:type="dxa"/>
            <w:vAlign w:val="top"/>
          </w:tcPr>
          <w:p>
            <w:pPr>
              <w:pStyle w:val="8"/>
              <w:spacing w:before="97" w:line="242"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2"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14" w:hRule="atLeast"/>
        </w:trPr>
        <w:tc>
          <w:tcPr>
            <w:tcW w:w="562" w:type="dxa"/>
            <w:vMerge w:val="continue"/>
            <w:tcBorders>
              <w:top w:val="nil"/>
            </w:tcBorders>
            <w:vAlign w:val="top"/>
          </w:tcPr>
          <w:p>
            <w:pPr>
              <w:rPr>
                <w:color w:val="auto"/>
                <w:sz w:val="2"/>
                <w:szCs w:val="2"/>
              </w:rPr>
            </w:pPr>
          </w:p>
        </w:tc>
        <w:tc>
          <w:tcPr>
            <w:tcW w:w="64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67" w:line="244" w:lineRule="auto"/>
              <w:ind w:left="110" w:right="101"/>
              <w:rPr>
                <w:b/>
                <w:color w:val="auto"/>
                <w:sz w:val="21"/>
              </w:rPr>
            </w:pPr>
            <w:r>
              <w:rPr>
                <w:b/>
                <w:color w:val="auto"/>
                <w:sz w:val="21"/>
              </w:rPr>
              <w:t>裁量基准</w:t>
            </w:r>
          </w:p>
        </w:tc>
        <w:tc>
          <w:tcPr>
            <w:tcW w:w="538" w:type="dxa"/>
            <w:vAlign w:val="top"/>
          </w:tcPr>
          <w:p>
            <w:pPr>
              <w:pStyle w:val="8"/>
              <w:rPr>
                <w:rFonts w:ascii="Times New Roman"/>
                <w:color w:val="auto"/>
                <w:sz w:val="20"/>
              </w:rPr>
            </w:pPr>
          </w:p>
          <w:p>
            <w:pPr>
              <w:pStyle w:val="8"/>
              <w:spacing w:before="133" w:line="242" w:lineRule="auto"/>
              <w:ind w:left="162" w:right="152"/>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spacing w:before="6"/>
              <w:rPr>
                <w:rFonts w:ascii="Times New Roman"/>
                <w:color w:val="auto"/>
                <w:sz w:val="23"/>
              </w:rPr>
            </w:pPr>
          </w:p>
          <w:p>
            <w:pPr>
              <w:pStyle w:val="8"/>
              <w:ind w:left="107"/>
              <w:rPr>
                <w:color w:val="auto"/>
                <w:sz w:val="21"/>
              </w:rPr>
            </w:pPr>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4"/>
                <w:sz w:val="21"/>
              </w:rPr>
              <w:t xml:space="preserve"> 万元以下</w:t>
            </w:r>
          </w:p>
          <w:p>
            <w:r>
              <w:rPr>
                <w:color w:val="auto"/>
                <w:spacing w:val="-4"/>
                <w:sz w:val="21"/>
              </w:rPr>
              <w:t>罚款；拒不改正的，</w:t>
            </w:r>
          </w:p>
          <w:p>
            <w:pPr>
              <w:pStyle w:val="8"/>
              <w:spacing w:before="5"/>
              <w:ind w:left="107"/>
              <w:rPr>
                <w:color w:val="auto"/>
                <w:sz w:val="21"/>
              </w:rPr>
            </w:pPr>
            <w:r>
              <w:rPr>
                <w:rFonts w:hint="eastAsia"/>
                <w:color w:val="auto"/>
                <w:spacing w:val="-4"/>
                <w:sz w:val="21"/>
                <w:lang w:eastAsia="zh-CN"/>
              </w:rPr>
              <w:t>不能减轻。</w:t>
            </w:r>
          </w:p>
        </w:tc>
        <w:tc>
          <w:tcPr>
            <w:tcW w:w="2714" w:type="dxa"/>
            <w:vAlign w:val="top"/>
          </w:tcPr>
          <w:p>
            <w:pPr>
              <w:pStyle w:val="8"/>
              <w:rPr>
                <w:rFonts w:ascii="Times New Roman"/>
                <w:color w:val="auto"/>
                <w:sz w:val="20"/>
              </w:rPr>
            </w:pPr>
          </w:p>
          <w:p>
            <w:pPr>
              <w:pStyle w:val="8"/>
              <w:spacing w:before="6"/>
              <w:rPr>
                <w:rFonts w:ascii="Times New Roman"/>
                <w:color w:val="auto"/>
                <w:sz w:val="23"/>
              </w:rPr>
            </w:pPr>
          </w:p>
          <w:p>
            <w:pPr>
              <w:pStyle w:val="8"/>
              <w:ind w:left="107"/>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2.2</w:t>
            </w:r>
            <w:r>
              <w:rPr>
                <w:color w:val="auto"/>
                <w:spacing w:val="-13"/>
                <w:sz w:val="21"/>
              </w:rPr>
              <w:t xml:space="preserve"> 万元以下</w:t>
            </w:r>
          </w:p>
          <w:p>
            <w:pPr>
              <w:pStyle w:val="8"/>
              <w:spacing w:before="2"/>
              <w:ind w:left="107"/>
              <w:rPr>
                <w:color w:val="auto"/>
                <w:sz w:val="21"/>
              </w:rPr>
            </w:pPr>
            <w:r>
              <w:rPr>
                <w:color w:val="auto"/>
                <w:spacing w:val="-9"/>
                <w:sz w:val="21"/>
              </w:rPr>
              <w:t xml:space="preserve">罚款；拒不改正的，处 </w:t>
            </w:r>
            <w:r>
              <w:rPr>
                <w:color w:val="auto"/>
                <w:sz w:val="21"/>
              </w:rPr>
              <w:t>5</w:t>
            </w:r>
            <w:r>
              <w:rPr>
                <w:color w:val="auto"/>
                <w:spacing w:val="-25"/>
                <w:sz w:val="21"/>
              </w:rPr>
              <w:t xml:space="preserve"> 万</w:t>
            </w:r>
          </w:p>
          <w:p>
            <w:pPr>
              <w:pStyle w:val="8"/>
              <w:spacing w:before="5"/>
              <w:ind w:left="107"/>
              <w:rPr>
                <w:color w:val="auto"/>
                <w:sz w:val="21"/>
              </w:rPr>
            </w:pPr>
            <w:r>
              <w:rPr>
                <w:color w:val="auto"/>
                <w:spacing w:val="-13"/>
                <w:sz w:val="21"/>
              </w:rPr>
              <w:t xml:space="preserve">元以上 </w:t>
            </w:r>
            <w:r>
              <w:rPr>
                <w:color w:val="auto"/>
                <w:sz w:val="21"/>
              </w:rPr>
              <w:t>6.5</w:t>
            </w:r>
            <w:r>
              <w:rPr>
                <w:color w:val="auto"/>
                <w:spacing w:val="-8"/>
                <w:sz w:val="21"/>
              </w:rPr>
              <w:t xml:space="preserve"> 万元以下罚款。</w:t>
            </w:r>
          </w:p>
        </w:tc>
        <w:tc>
          <w:tcPr>
            <w:tcW w:w="2717" w:type="dxa"/>
            <w:vAlign w:val="top"/>
          </w:tcPr>
          <w:p>
            <w:pPr>
              <w:pStyle w:val="8"/>
              <w:rPr>
                <w:rFonts w:ascii="Times New Roman"/>
                <w:color w:val="auto"/>
                <w:sz w:val="20"/>
              </w:rPr>
            </w:pPr>
          </w:p>
          <w:p>
            <w:pPr>
              <w:pStyle w:val="8"/>
              <w:spacing w:before="133"/>
              <w:ind w:left="107"/>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w:t>
            </w:r>
          </w:p>
          <w:p>
            <w:pPr>
              <w:pStyle w:val="8"/>
              <w:spacing w:before="3"/>
              <w:ind w:left="107"/>
              <w:rPr>
                <w:color w:val="auto"/>
                <w:sz w:val="21"/>
              </w:rPr>
            </w:pPr>
            <w:r>
              <w:rPr>
                <w:color w:val="auto"/>
                <w:spacing w:val="-22"/>
                <w:sz w:val="21"/>
              </w:rPr>
              <w:t xml:space="preserve">下罚款；拒不改正的，处 </w:t>
            </w:r>
            <w:r>
              <w:rPr>
                <w:color w:val="auto"/>
                <w:sz w:val="21"/>
              </w:rPr>
              <w:t>6.5</w:t>
            </w:r>
          </w:p>
          <w:p>
            <w:pPr>
              <w:pStyle w:val="8"/>
              <w:spacing w:before="4" w:line="242" w:lineRule="auto"/>
              <w:ind w:left="107" w:right="97"/>
              <w:rPr>
                <w:color w:val="auto"/>
                <w:sz w:val="21"/>
              </w:rPr>
            </w:pPr>
            <w:r>
              <w:rPr>
                <w:color w:val="auto"/>
                <w:sz w:val="21"/>
              </w:rPr>
              <w:t>万元以上 8.5 万元以下罚款。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175"/>
              <w:ind w:left="105"/>
              <w:rPr>
                <w:color w:val="auto"/>
                <w:sz w:val="21"/>
              </w:rPr>
            </w:pPr>
            <w:r>
              <w:rPr>
                <w:color w:val="auto"/>
                <w:spacing w:val="-25"/>
                <w:sz w:val="21"/>
              </w:rPr>
              <w:t xml:space="preserve">处 </w:t>
            </w:r>
            <w:r>
              <w:rPr>
                <w:color w:val="auto"/>
                <w:sz w:val="21"/>
              </w:rPr>
              <w:t>3.8</w:t>
            </w:r>
            <w:r>
              <w:rPr>
                <w:color w:val="auto"/>
                <w:spacing w:val="-19"/>
                <w:sz w:val="21"/>
              </w:rPr>
              <w:t xml:space="preserve"> 万元以上 </w:t>
            </w:r>
            <w:r>
              <w:rPr>
                <w:color w:val="auto"/>
                <w:sz w:val="21"/>
              </w:rPr>
              <w:t>5</w:t>
            </w:r>
            <w:r>
              <w:rPr>
                <w:color w:val="auto"/>
                <w:spacing w:val="-17"/>
                <w:sz w:val="21"/>
              </w:rPr>
              <w:t xml:space="preserve"> 万元以下罚款；拒不改</w:t>
            </w:r>
          </w:p>
          <w:p>
            <w:pPr>
              <w:pStyle w:val="8"/>
              <w:spacing w:before="4"/>
              <w:ind w:left="105" w:right="-15"/>
              <w:rPr>
                <w:color w:val="auto"/>
                <w:sz w:val="21"/>
              </w:rPr>
            </w:pPr>
            <w:r>
              <w:rPr>
                <w:color w:val="auto"/>
                <w:spacing w:val="-31"/>
                <w:sz w:val="21"/>
              </w:rPr>
              <w:t xml:space="preserve">正的，处 </w:t>
            </w:r>
            <w:r>
              <w:rPr>
                <w:color w:val="auto"/>
                <w:sz w:val="21"/>
              </w:rPr>
              <w:t>8.5</w:t>
            </w:r>
            <w:r>
              <w:rPr>
                <w:color w:val="auto"/>
                <w:spacing w:val="-19"/>
                <w:sz w:val="21"/>
              </w:rPr>
              <w:t xml:space="preserve"> 万元以上 </w:t>
            </w:r>
            <w:r>
              <w:rPr>
                <w:color w:val="auto"/>
                <w:sz w:val="21"/>
              </w:rPr>
              <w:t>10</w:t>
            </w:r>
            <w:r>
              <w:rPr>
                <w:color w:val="auto"/>
                <w:spacing w:val="-9"/>
                <w:sz w:val="21"/>
              </w:rPr>
              <w:t xml:space="preserve">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14" w:hRule="atLeast"/>
        </w:trPr>
        <w:tc>
          <w:tcPr>
            <w:tcW w:w="562" w:type="dxa"/>
            <w:vMerge w:val="continue"/>
            <w:tcBorders>
              <w:top w:val="nil"/>
            </w:tcBorders>
            <w:vAlign w:val="top"/>
          </w:tcPr>
          <w:p>
            <w:pPr>
              <w:rPr>
                <w:color w:val="auto"/>
                <w:sz w:val="2"/>
                <w:szCs w:val="2"/>
              </w:rPr>
            </w:pPr>
          </w:p>
        </w:tc>
        <w:tc>
          <w:tcPr>
            <w:tcW w:w="646" w:type="dxa"/>
            <w:vMerge w:val="continue"/>
            <w:tcBorders>
              <w:top w:val="nil"/>
            </w:tcBorders>
            <w:vAlign w:val="top"/>
          </w:tcPr>
          <w:p>
            <w:pPr>
              <w:rPr>
                <w:color w:val="auto"/>
                <w:sz w:val="2"/>
                <w:szCs w:val="2"/>
              </w:rPr>
            </w:pPr>
          </w:p>
        </w:tc>
        <w:tc>
          <w:tcPr>
            <w:tcW w:w="538" w:type="dxa"/>
            <w:vAlign w:val="top"/>
          </w:tcPr>
          <w:p>
            <w:pPr>
              <w:pStyle w:val="8"/>
              <w:spacing w:before="8"/>
              <w:rPr>
                <w:rFonts w:ascii="Times New Roman"/>
                <w:color w:val="auto"/>
                <w:sz w:val="19"/>
              </w:rPr>
            </w:pPr>
          </w:p>
          <w:p>
            <w:pPr>
              <w:pStyle w:val="8"/>
              <w:spacing w:line="242" w:lineRule="auto"/>
              <w:ind w:left="162" w:right="152"/>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spacing w:before="133" w:line="242" w:lineRule="auto"/>
              <w:ind w:left="107" w:right="93"/>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1"/>
              <w:ind w:left="107"/>
              <w:jc w:val="both"/>
              <w:rPr>
                <w:color w:val="auto"/>
                <w:sz w:val="21"/>
              </w:rPr>
            </w:pPr>
            <w:r>
              <w:rPr>
                <w:color w:val="auto"/>
                <w:sz w:val="21"/>
              </w:rPr>
              <w:t>0.3</w:t>
            </w:r>
            <w:r>
              <w:rPr>
                <w:color w:val="auto"/>
                <w:spacing w:val="-13"/>
                <w:sz w:val="21"/>
              </w:rPr>
              <w:t xml:space="preserve"> 倍以上</w:t>
            </w:r>
            <w:r>
              <w:rPr>
                <w:color w:val="auto"/>
                <w:sz w:val="21"/>
              </w:rPr>
              <w:t>0.8</w:t>
            </w:r>
            <w:r>
              <w:rPr>
                <w:rFonts w:hint="eastAsia"/>
                <w:color w:val="auto"/>
                <w:sz w:val="21"/>
                <w:lang w:val="en-US" w:eastAsia="zh-CN"/>
              </w:rPr>
              <w:t>1</w:t>
            </w:r>
            <w:r>
              <w:rPr>
                <w:color w:val="auto"/>
                <w:spacing w:val="-16"/>
                <w:sz w:val="21"/>
              </w:rPr>
              <w:t xml:space="preserve"> 倍以下罚款。</w:t>
            </w:r>
          </w:p>
        </w:tc>
        <w:tc>
          <w:tcPr>
            <w:tcW w:w="2717" w:type="dxa"/>
            <w:vAlign w:val="top"/>
          </w:tcPr>
          <w:p>
            <w:pPr>
              <w:pStyle w:val="8"/>
              <w:rPr>
                <w:rFonts w:ascii="Times New Roman"/>
                <w:color w:val="auto"/>
                <w:sz w:val="20"/>
              </w:rPr>
            </w:pPr>
          </w:p>
          <w:p>
            <w:pPr>
              <w:pStyle w:val="8"/>
              <w:spacing w:before="133" w:line="242" w:lineRule="auto"/>
              <w:ind w:left="107" w:right="96"/>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3"/>
                <w:sz w:val="21"/>
              </w:rPr>
              <w:t>其他责任人员处所获收入</w:t>
            </w:r>
          </w:p>
          <w:p>
            <w:pPr>
              <w:pStyle w:val="8"/>
              <w:spacing w:before="1"/>
              <w:ind w:left="107"/>
              <w:jc w:val="both"/>
              <w:rPr>
                <w:color w:val="auto"/>
                <w:sz w:val="21"/>
              </w:rPr>
            </w:pPr>
            <w:r>
              <w:rPr>
                <w:color w:val="auto"/>
                <w:sz w:val="21"/>
              </w:rPr>
              <w:t>0.8</w:t>
            </w:r>
            <w:r>
              <w:rPr>
                <w:rFonts w:hint="eastAsia"/>
                <w:color w:val="auto"/>
                <w:sz w:val="21"/>
                <w:lang w:val="en-US" w:eastAsia="zh-CN"/>
              </w:rPr>
              <w:t>1</w:t>
            </w:r>
            <w:r>
              <w:rPr>
                <w:color w:val="auto"/>
                <w:spacing w:val="-13"/>
                <w:sz w:val="21"/>
              </w:rPr>
              <w:t xml:space="preserve"> 倍以上</w:t>
            </w:r>
            <w:r>
              <w:rPr>
                <w:color w:val="auto"/>
                <w:sz w:val="21"/>
              </w:rPr>
              <w:t>1.</w:t>
            </w:r>
            <w:r>
              <w:rPr>
                <w:rFonts w:hint="eastAsia"/>
                <w:color w:val="auto"/>
                <w:sz w:val="21"/>
                <w:lang w:val="en-US" w:eastAsia="zh-CN"/>
              </w:rPr>
              <w:t>49</w:t>
            </w:r>
            <w:r>
              <w:rPr>
                <w:color w:val="auto"/>
                <w:spacing w:val="-16"/>
                <w:sz w:val="21"/>
              </w:rPr>
              <w:t xml:space="preserve"> 倍以下罚款。</w:t>
            </w:r>
          </w:p>
        </w:tc>
        <w:tc>
          <w:tcPr>
            <w:tcW w:w="3900" w:type="dxa"/>
            <w:vAlign w:val="top"/>
          </w:tcPr>
          <w:p>
            <w:pPr>
              <w:pStyle w:val="8"/>
              <w:rPr>
                <w:rFonts w:ascii="Times New Roman"/>
                <w:color w:val="auto"/>
                <w:sz w:val="20"/>
              </w:rPr>
            </w:pPr>
          </w:p>
          <w:p>
            <w:pPr>
              <w:pStyle w:val="8"/>
              <w:spacing w:before="5"/>
              <w:rPr>
                <w:rFonts w:ascii="Times New Roman"/>
                <w:color w:val="auto"/>
                <w:sz w:val="23"/>
              </w:rPr>
            </w:pPr>
          </w:p>
          <w:p>
            <w:pPr>
              <w:pStyle w:val="8"/>
              <w:spacing w:line="242" w:lineRule="auto"/>
              <w:ind w:left="105" w:right="93"/>
              <w:rPr>
                <w:color w:val="auto"/>
                <w:sz w:val="21"/>
              </w:rPr>
            </w:pPr>
            <w:r>
              <w:rPr>
                <w:color w:val="auto"/>
                <w:spacing w:val="-13"/>
                <w:sz w:val="21"/>
              </w:rPr>
              <w:t>对法定代表人、主要负责人、直接负责的</w:t>
            </w:r>
            <w:r>
              <w:rPr>
                <w:color w:val="auto"/>
                <w:spacing w:val="17"/>
                <w:sz w:val="21"/>
              </w:rPr>
              <w:t>主管人员和其他责任人员处所获收入</w:t>
            </w:r>
          </w:p>
          <w:p>
            <w:pPr>
              <w:pStyle w:val="8"/>
              <w:spacing w:before="2"/>
              <w:ind w:left="105"/>
              <w:rPr>
                <w:color w:val="auto"/>
                <w:sz w:val="21"/>
              </w:rPr>
            </w:pPr>
            <w:r>
              <w:rPr>
                <w:color w:val="auto"/>
                <w:sz w:val="21"/>
              </w:rPr>
              <w:t>1.</w:t>
            </w:r>
            <w:r>
              <w:rPr>
                <w:rFonts w:hint="eastAsia"/>
                <w:color w:val="auto"/>
                <w:sz w:val="21"/>
                <w:lang w:val="en-US" w:eastAsia="zh-CN"/>
              </w:rPr>
              <w:t>49</w:t>
            </w:r>
            <w:r>
              <w:rPr>
                <w:color w:val="auto"/>
                <w:sz w:val="21"/>
              </w:rPr>
              <w:t xml:space="preserve"> 倍以上 2 倍以下罚款。</w:t>
            </w:r>
          </w:p>
        </w:tc>
      </w:tr>
    </w:tbl>
    <w:p>
      <w:pPr>
        <w:pStyle w:val="4"/>
        <w:rPr>
          <w:rFonts w:ascii="Times New Roman"/>
          <w:color w:val="auto"/>
          <w:sz w:val="20"/>
        </w:rPr>
      </w:pPr>
    </w:p>
    <w:p>
      <w:pPr>
        <w:pStyle w:val="4"/>
        <w:rPr>
          <w:rFonts w:ascii="Times New Roman"/>
          <w:color w:val="auto"/>
          <w:sz w:val="20"/>
        </w:rPr>
      </w:pPr>
    </w:p>
    <w:p>
      <w:pPr>
        <w:pStyle w:val="4"/>
        <w:rPr>
          <w:rFonts w:ascii="Times New Roman"/>
          <w:color w:val="auto"/>
          <w:sz w:val="20"/>
        </w:rPr>
      </w:pPr>
    </w:p>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pPr w:leftFromText="180" w:rightFromText="180" w:vertAnchor="text" w:horzAnchor="page" w:tblpX="1524" w:tblpY="311"/>
        <w:tblOverlap w:val="never"/>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487"/>
        <w:gridCol w:w="69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58"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5"/>
              <w:rPr>
                <w:rFonts w:ascii="Times New Roman"/>
                <w:color w:val="auto"/>
                <w:sz w:val="20"/>
              </w:rPr>
            </w:pPr>
          </w:p>
          <w:p>
            <w:pPr>
              <w:pStyle w:val="8"/>
              <w:spacing w:before="1"/>
              <w:ind w:left="9"/>
              <w:jc w:val="center"/>
              <w:rPr>
                <w:color w:val="auto"/>
                <w:sz w:val="21"/>
              </w:rPr>
            </w:pPr>
            <w:r>
              <w:rPr>
                <w:color w:val="auto"/>
                <w:w w:val="100"/>
                <w:sz w:val="21"/>
              </w:rPr>
              <w:t>8</w:t>
            </w: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63"/>
              <w:ind w:left="170"/>
              <w:rPr>
                <w:b/>
                <w:color w:val="auto"/>
                <w:sz w:val="21"/>
              </w:rPr>
            </w:pPr>
            <w:r>
              <w:rPr>
                <w:b/>
                <w:color w:val="auto"/>
                <w:sz w:val="21"/>
              </w:rPr>
              <w:t>违法行为</w:t>
            </w:r>
          </w:p>
        </w:tc>
        <w:tc>
          <w:tcPr>
            <w:tcW w:w="12046" w:type="dxa"/>
            <w:gridSpan w:val="4"/>
            <w:vAlign w:val="top"/>
          </w:tcPr>
          <w:p>
            <w:pPr>
              <w:pStyle w:val="8"/>
              <w:keepNext w:val="0"/>
              <w:keepLines w:val="0"/>
              <w:pageBreakBefore w:val="0"/>
              <w:widowControl w:val="0"/>
              <w:kinsoku/>
              <w:wordWrap/>
              <w:overflowPunct/>
              <w:topLinePunct w:val="0"/>
              <w:autoSpaceDE w:val="0"/>
              <w:autoSpaceDN w:val="0"/>
              <w:bidi w:val="0"/>
              <w:adjustRightInd/>
              <w:snapToGrid/>
              <w:spacing w:before="1" w:line="240" w:lineRule="exact"/>
              <w:ind w:left="530" w:right="7511" w:hanging="3"/>
              <w:textAlignment w:val="auto"/>
              <w:rPr>
                <w:color w:val="auto"/>
                <w:sz w:val="21"/>
              </w:rPr>
            </w:pPr>
            <w:r>
              <w:rPr>
                <w:color w:val="auto"/>
                <w:spacing w:val="-3"/>
                <w:sz w:val="21"/>
              </w:rPr>
              <w:t xml:space="preserve">未按照要求提交质量管理体系自查报告； </w:t>
            </w:r>
            <w:r>
              <w:rPr>
                <w:color w:val="auto"/>
                <w:spacing w:val="-4"/>
                <w:sz w:val="21"/>
              </w:rPr>
              <w:t>从不具备合法资质的供货者购进医疗器械；</w:t>
            </w:r>
          </w:p>
          <w:p>
            <w:pPr>
              <w:pStyle w:val="8"/>
              <w:keepNext w:val="0"/>
              <w:keepLines w:val="0"/>
              <w:pageBreakBefore w:val="0"/>
              <w:widowControl w:val="0"/>
              <w:kinsoku/>
              <w:wordWrap/>
              <w:overflowPunct/>
              <w:topLinePunct w:val="0"/>
              <w:autoSpaceDE w:val="0"/>
              <w:autoSpaceDN w:val="0"/>
              <w:bidi w:val="0"/>
              <w:adjustRightInd/>
              <w:snapToGrid/>
              <w:spacing w:line="240" w:lineRule="exact"/>
              <w:ind w:left="530"/>
              <w:textAlignment w:val="auto"/>
              <w:rPr>
                <w:color w:val="auto"/>
                <w:sz w:val="21"/>
              </w:rPr>
            </w:pPr>
            <w:r>
              <w:rPr>
                <w:color w:val="auto"/>
                <w:sz w:val="21"/>
              </w:rPr>
              <w:t>医疗器械经营企业、使用单位未依照《医疗器械监督管理条例》规定建立并执行医疗器械进货查验记录制度；</w:t>
            </w:r>
          </w:p>
          <w:p>
            <w:pPr>
              <w:pStyle w:val="8"/>
              <w:keepNext w:val="0"/>
              <w:keepLines w:val="0"/>
              <w:pageBreakBefore w:val="0"/>
              <w:widowControl w:val="0"/>
              <w:kinsoku/>
              <w:wordWrap/>
              <w:overflowPunct/>
              <w:topLinePunct w:val="0"/>
              <w:autoSpaceDE w:val="0"/>
              <w:autoSpaceDN w:val="0"/>
              <w:bidi w:val="0"/>
              <w:adjustRightInd/>
              <w:snapToGrid/>
              <w:spacing w:before="4" w:line="240" w:lineRule="exact"/>
              <w:ind w:left="108" w:right="98" w:firstLine="422"/>
              <w:textAlignment w:val="auto"/>
              <w:rPr>
                <w:color w:val="auto"/>
                <w:sz w:val="21"/>
              </w:rPr>
            </w:pPr>
            <w:r>
              <w:rPr>
                <w:color w:val="auto"/>
                <w:sz w:val="21"/>
              </w:rPr>
              <w:t>从事第二类、第三类医疗器械批发业务以及第三类医疗器械零售业务的经营企业未依照《医疗器械监督管理条例》规定建立并执行销售记录制度；</w:t>
            </w:r>
          </w:p>
          <w:p>
            <w:pPr>
              <w:pStyle w:val="8"/>
              <w:keepNext w:val="0"/>
              <w:keepLines w:val="0"/>
              <w:pageBreakBefore w:val="0"/>
              <w:widowControl w:val="0"/>
              <w:kinsoku/>
              <w:wordWrap/>
              <w:overflowPunct/>
              <w:topLinePunct w:val="0"/>
              <w:autoSpaceDE w:val="0"/>
              <w:autoSpaceDN w:val="0"/>
              <w:bidi w:val="0"/>
              <w:adjustRightInd/>
              <w:snapToGrid/>
              <w:spacing w:before="2" w:line="240" w:lineRule="exact"/>
              <w:ind w:left="108" w:right="98" w:firstLine="422"/>
              <w:jc w:val="both"/>
              <w:textAlignment w:val="auto"/>
              <w:rPr>
                <w:color w:val="auto"/>
                <w:sz w:val="21"/>
              </w:rPr>
            </w:pPr>
            <w:r>
              <w:rPr>
                <w:color w:val="auto"/>
                <w:sz w:val="21"/>
              </w:rPr>
              <w:t>医疗器械注册人、备案人、生产经营企业、使用单位未依照《医疗器械监督管理条例》规定开展医疗器械不良事件监测，未按照要求报告不良事件，或者对医疗器械不良事件监测技术机构、负责药品监督管理的部门、卫生主管部门开展的不良事件调查不予配合；</w:t>
            </w:r>
          </w:p>
          <w:p>
            <w:pPr>
              <w:pStyle w:val="8"/>
              <w:keepNext w:val="0"/>
              <w:keepLines w:val="0"/>
              <w:pageBreakBefore w:val="0"/>
              <w:widowControl w:val="0"/>
              <w:kinsoku/>
              <w:wordWrap/>
              <w:overflowPunct/>
              <w:topLinePunct w:val="0"/>
              <w:autoSpaceDE w:val="0"/>
              <w:autoSpaceDN w:val="0"/>
              <w:bidi w:val="0"/>
              <w:adjustRightInd/>
              <w:snapToGrid/>
              <w:spacing w:before="1" w:line="240" w:lineRule="exact"/>
              <w:ind w:left="530" w:right="3517"/>
              <w:textAlignment w:val="auto"/>
              <w:rPr>
                <w:color w:val="auto"/>
                <w:sz w:val="21"/>
              </w:rPr>
            </w:pPr>
            <w:r>
              <w:rPr>
                <w:color w:val="auto"/>
                <w:sz w:val="21"/>
              </w:rPr>
              <w:t>医疗器械注册人、备案人未按照规定制定上市后研究和风险管控计划并保证有效实施； 医疗器械注册人、备案人未按照规定建立并执行产品追溯制度；</w:t>
            </w:r>
          </w:p>
          <w:p>
            <w:pPr>
              <w:pStyle w:val="8"/>
              <w:keepNext w:val="0"/>
              <w:keepLines w:val="0"/>
              <w:pageBreakBefore w:val="0"/>
              <w:widowControl w:val="0"/>
              <w:kinsoku/>
              <w:wordWrap/>
              <w:overflowPunct/>
              <w:topLinePunct w:val="0"/>
              <w:autoSpaceDE w:val="0"/>
              <w:autoSpaceDN w:val="0"/>
              <w:bidi w:val="0"/>
              <w:adjustRightInd/>
              <w:snapToGrid/>
              <w:spacing w:line="240" w:lineRule="exact"/>
              <w:ind w:left="530"/>
              <w:textAlignment w:val="auto"/>
              <w:rPr>
                <w:color w:val="auto"/>
                <w:sz w:val="21"/>
              </w:rPr>
            </w:pPr>
            <w:r>
              <w:rPr>
                <w:color w:val="auto"/>
                <w:sz w:val="21"/>
              </w:rPr>
              <w:t>医疗器械注册人、备案人、经营企业从事医疗器械网络销售未按照规定告知负责药品监督管理的部门；</w:t>
            </w:r>
          </w:p>
          <w:p>
            <w:pPr>
              <w:pStyle w:val="8"/>
              <w:keepNext w:val="0"/>
              <w:keepLines w:val="0"/>
              <w:pageBreakBefore w:val="0"/>
              <w:widowControl w:val="0"/>
              <w:kinsoku/>
              <w:wordWrap/>
              <w:overflowPunct/>
              <w:topLinePunct w:val="0"/>
              <w:autoSpaceDE w:val="0"/>
              <w:autoSpaceDN w:val="0"/>
              <w:bidi w:val="0"/>
              <w:adjustRightInd/>
              <w:snapToGrid/>
              <w:spacing w:before="4" w:line="240" w:lineRule="exact"/>
              <w:ind w:left="108" w:right="98" w:firstLine="422"/>
              <w:textAlignment w:val="auto"/>
              <w:rPr>
                <w:color w:val="auto"/>
                <w:sz w:val="21"/>
              </w:rPr>
            </w:pPr>
            <w:r>
              <w:rPr>
                <w:color w:val="auto"/>
                <w:sz w:val="21"/>
              </w:rPr>
              <w:t>对需要定期检查、检验、校准、保养、维护的医疗器械，医疗器械使用单位未按照产品说明书要求进行检查、检验、校准、保养、维护并予以记录，及时进行分析、评估，确保医疗器械处于良好状态；</w:t>
            </w:r>
          </w:p>
          <w:p>
            <w:pPr>
              <w:pStyle w:val="8"/>
              <w:keepNext w:val="0"/>
              <w:keepLines w:val="0"/>
              <w:pageBreakBefore w:val="0"/>
              <w:widowControl w:val="0"/>
              <w:kinsoku/>
              <w:wordWrap/>
              <w:overflowPunct/>
              <w:topLinePunct w:val="0"/>
              <w:autoSpaceDE w:val="0"/>
              <w:autoSpaceDN w:val="0"/>
              <w:bidi w:val="0"/>
              <w:adjustRightInd/>
              <w:snapToGrid/>
              <w:spacing w:before="2" w:line="240" w:lineRule="exact"/>
              <w:ind w:left="530"/>
              <w:textAlignment w:val="auto"/>
              <w:rPr>
                <w:color w:val="auto"/>
                <w:sz w:val="21"/>
              </w:rPr>
            </w:pPr>
            <w:r>
              <w:rPr>
                <w:color w:val="auto"/>
                <w:sz w:val="21"/>
              </w:rPr>
              <w:t>医疗器械使用单位未妥善保存购入第三类医疗器械的原始资料。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9"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spacing w:before="179"/>
              <w:ind w:left="170"/>
              <w:rPr>
                <w:b/>
                <w:color w:val="auto"/>
                <w:sz w:val="21"/>
              </w:rPr>
            </w:pPr>
            <w:r>
              <w:rPr>
                <w:b/>
                <w:color w:val="auto"/>
                <w:sz w:val="21"/>
              </w:rPr>
              <w:t>处罚依据</w:t>
            </w:r>
          </w:p>
        </w:tc>
        <w:tc>
          <w:tcPr>
            <w:tcW w:w="12046" w:type="dxa"/>
            <w:gridSpan w:val="4"/>
            <w:vAlign w:val="top"/>
          </w:tcPr>
          <w:p>
            <w:pPr>
              <w:pStyle w:val="8"/>
              <w:spacing w:before="1" w:line="244" w:lineRule="auto"/>
              <w:ind w:left="108" w:right="96" w:firstLine="420"/>
              <w:rPr>
                <w:color w:val="auto"/>
                <w:sz w:val="21"/>
              </w:rPr>
            </w:pPr>
            <w:r>
              <w:rPr>
                <w:color w:val="auto"/>
                <w:spacing w:val="-1"/>
                <w:sz w:val="21"/>
              </w:rPr>
              <w:t>根据《医疗器械监督管理条例》第八十九条规定，由负责药品监督管理的部门和卫生主管部门依据各自职责责令改正，给予</w:t>
            </w:r>
            <w:r>
              <w:rPr>
                <w:color w:val="auto"/>
                <w:spacing w:val="-8"/>
                <w:sz w:val="21"/>
              </w:rPr>
              <w:t xml:space="preserve">警告；拒不改正的，处 </w:t>
            </w:r>
            <w:r>
              <w:rPr>
                <w:color w:val="auto"/>
                <w:sz w:val="21"/>
              </w:rPr>
              <w:t>1</w:t>
            </w:r>
            <w:r>
              <w:rPr>
                <w:color w:val="auto"/>
                <w:spacing w:val="-14"/>
                <w:sz w:val="21"/>
              </w:rPr>
              <w:t xml:space="preserve"> 万元以上 </w:t>
            </w:r>
            <w:r>
              <w:rPr>
                <w:color w:val="auto"/>
                <w:sz w:val="21"/>
              </w:rPr>
              <w:t>10</w:t>
            </w:r>
            <w:r>
              <w:rPr>
                <w:color w:val="auto"/>
                <w:spacing w:val="-9"/>
                <w:sz w:val="21"/>
              </w:rPr>
              <w:t xml:space="preserve"> 万元以下罚款。情节严重的，责令停产停业，直至由原发证部门吊销医疗器械注册证、医疗</w:t>
            </w:r>
          </w:p>
          <w:p>
            <w:pPr>
              <w:pStyle w:val="8"/>
              <w:spacing w:line="265" w:lineRule="exact"/>
              <w:ind w:left="108"/>
              <w:rPr>
                <w:color w:val="auto"/>
                <w:sz w:val="21"/>
              </w:rPr>
            </w:pPr>
            <w:r>
              <w:rPr>
                <w:color w:val="auto"/>
                <w:spacing w:val="-3"/>
                <w:sz w:val="21"/>
              </w:rPr>
              <w:t xml:space="preserve">器械生产许可证、医疗器械经营许可证，对违法单位的法定代表人、主要负责人、直接负责的主管人员和其他责任人员处 </w:t>
            </w:r>
            <w:r>
              <w:rPr>
                <w:color w:val="auto"/>
                <w:sz w:val="21"/>
              </w:rPr>
              <w:t>1</w:t>
            </w:r>
            <w:r>
              <w:rPr>
                <w:color w:val="auto"/>
                <w:spacing w:val="1"/>
                <w:sz w:val="21"/>
              </w:rPr>
              <w:t xml:space="preserve"> 万元</w:t>
            </w:r>
          </w:p>
          <w:p>
            <w:pPr>
              <w:pStyle w:val="8"/>
              <w:spacing w:before="4" w:line="250" w:lineRule="exact"/>
              <w:ind w:left="108"/>
              <w:rPr>
                <w:color w:val="auto"/>
                <w:sz w:val="21"/>
              </w:rPr>
            </w:pPr>
            <w:r>
              <w:rPr>
                <w:color w:val="auto"/>
                <w:sz w:val="21"/>
              </w:rPr>
              <w:t>以上 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0"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21"/>
              <w:ind w:left="170"/>
              <w:rPr>
                <w:b/>
                <w:color w:val="auto"/>
                <w:sz w:val="21"/>
              </w:rPr>
            </w:pPr>
            <w:r>
              <w:rPr>
                <w:b/>
                <w:color w:val="auto"/>
                <w:sz w:val="21"/>
              </w:rPr>
              <w:t>裁量等级</w:t>
            </w:r>
          </w:p>
        </w:tc>
        <w:tc>
          <w:tcPr>
            <w:tcW w:w="2715" w:type="dxa"/>
            <w:vAlign w:val="top"/>
          </w:tcPr>
          <w:p>
            <w:pPr>
              <w:pStyle w:val="8"/>
              <w:spacing w:before="121"/>
              <w:ind w:left="108"/>
              <w:rPr>
                <w:b/>
                <w:color w:val="auto"/>
                <w:sz w:val="21"/>
              </w:rPr>
            </w:pPr>
            <w:r>
              <w:rPr>
                <w:b/>
                <w:color w:val="auto"/>
                <w:sz w:val="21"/>
              </w:rPr>
              <w:t>减轻</w:t>
            </w:r>
          </w:p>
        </w:tc>
        <w:tc>
          <w:tcPr>
            <w:tcW w:w="2714" w:type="dxa"/>
            <w:vAlign w:val="top"/>
          </w:tcPr>
          <w:p>
            <w:pPr>
              <w:pStyle w:val="8"/>
              <w:spacing w:before="121"/>
              <w:ind w:left="108"/>
              <w:rPr>
                <w:b/>
                <w:color w:val="auto"/>
                <w:sz w:val="21"/>
              </w:rPr>
            </w:pPr>
            <w:r>
              <w:rPr>
                <w:b/>
                <w:color w:val="auto"/>
                <w:sz w:val="21"/>
              </w:rPr>
              <w:t>从轻</w:t>
            </w:r>
          </w:p>
        </w:tc>
        <w:tc>
          <w:tcPr>
            <w:tcW w:w="2717" w:type="dxa"/>
            <w:vAlign w:val="top"/>
          </w:tcPr>
          <w:p>
            <w:pPr>
              <w:pStyle w:val="8"/>
              <w:spacing w:before="121"/>
              <w:ind w:left="108"/>
              <w:rPr>
                <w:b/>
                <w:color w:val="auto"/>
                <w:sz w:val="21"/>
              </w:rPr>
            </w:pPr>
            <w:r>
              <w:rPr>
                <w:b/>
                <w:color w:val="auto"/>
                <w:sz w:val="21"/>
              </w:rPr>
              <w:t>一般</w:t>
            </w:r>
          </w:p>
        </w:tc>
        <w:tc>
          <w:tcPr>
            <w:tcW w:w="3900" w:type="dxa"/>
            <w:vAlign w:val="top"/>
          </w:tcPr>
          <w:p>
            <w:pPr>
              <w:pStyle w:val="8"/>
              <w:spacing w:before="121"/>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4"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38"/>
              <w:ind w:left="170"/>
              <w:rPr>
                <w:b/>
                <w:color w:val="auto"/>
                <w:sz w:val="21"/>
              </w:rPr>
            </w:pPr>
            <w:r>
              <w:rPr>
                <w:b/>
                <w:color w:val="auto"/>
                <w:sz w:val="21"/>
              </w:rPr>
              <w:t>裁量情节</w:t>
            </w:r>
          </w:p>
        </w:tc>
        <w:tc>
          <w:tcPr>
            <w:tcW w:w="2715" w:type="dxa"/>
            <w:vAlign w:val="top"/>
          </w:tcPr>
          <w:p>
            <w:pPr>
              <w:pStyle w:val="8"/>
              <w:spacing w:before="1"/>
              <w:ind w:left="108"/>
              <w:rPr>
                <w:color w:val="auto"/>
                <w:sz w:val="21"/>
              </w:rPr>
            </w:pPr>
            <w:r>
              <w:rPr>
                <w:color w:val="auto"/>
                <w:sz w:val="21"/>
              </w:rPr>
              <w:t>符合裁量规定减轻行政处</w:t>
            </w:r>
          </w:p>
          <w:p>
            <w:pPr>
              <w:pStyle w:val="8"/>
              <w:spacing w:before="2" w:line="252" w:lineRule="exact"/>
              <w:ind w:left="108"/>
              <w:rPr>
                <w:color w:val="auto"/>
                <w:sz w:val="21"/>
              </w:rPr>
            </w:pPr>
            <w:r>
              <w:rPr>
                <w:color w:val="auto"/>
                <w:sz w:val="21"/>
              </w:rPr>
              <w:t>罚情形的。</w:t>
            </w:r>
          </w:p>
        </w:tc>
        <w:tc>
          <w:tcPr>
            <w:tcW w:w="2714" w:type="dxa"/>
            <w:vAlign w:val="top"/>
          </w:tcPr>
          <w:p>
            <w:pPr>
              <w:pStyle w:val="8"/>
              <w:spacing w:before="1"/>
              <w:ind w:left="108"/>
              <w:rPr>
                <w:color w:val="auto"/>
                <w:sz w:val="21"/>
              </w:rPr>
            </w:pPr>
            <w:r>
              <w:rPr>
                <w:color w:val="auto"/>
                <w:sz w:val="21"/>
              </w:rPr>
              <w:t>符合裁量规定从轻行政处</w:t>
            </w:r>
          </w:p>
          <w:p>
            <w:pPr>
              <w:pStyle w:val="8"/>
              <w:spacing w:before="2" w:line="252" w:lineRule="exact"/>
              <w:ind w:left="108"/>
              <w:rPr>
                <w:color w:val="auto"/>
                <w:sz w:val="21"/>
              </w:rPr>
            </w:pPr>
            <w:r>
              <w:rPr>
                <w:color w:val="auto"/>
                <w:sz w:val="21"/>
              </w:rPr>
              <w:t>罚情形的。</w:t>
            </w:r>
          </w:p>
        </w:tc>
        <w:tc>
          <w:tcPr>
            <w:tcW w:w="2717" w:type="dxa"/>
            <w:vAlign w:val="top"/>
          </w:tcPr>
          <w:p>
            <w:pPr>
              <w:pStyle w:val="8"/>
              <w:spacing w:before="1"/>
              <w:ind w:left="108"/>
              <w:rPr>
                <w:color w:val="auto"/>
                <w:sz w:val="21"/>
              </w:rPr>
            </w:pPr>
            <w:r>
              <w:rPr>
                <w:color w:val="auto"/>
                <w:sz w:val="21"/>
              </w:rPr>
              <w:t>符合裁量规定一般行政处</w:t>
            </w:r>
          </w:p>
          <w:p>
            <w:pPr>
              <w:pStyle w:val="8"/>
              <w:spacing w:before="2" w:line="252" w:lineRule="exact"/>
              <w:ind w:left="108"/>
              <w:rPr>
                <w:color w:val="auto"/>
                <w:sz w:val="21"/>
              </w:rPr>
            </w:pPr>
            <w:r>
              <w:rPr>
                <w:color w:val="auto"/>
                <w:sz w:val="21"/>
              </w:rPr>
              <w:t>罚情形的。</w:t>
            </w:r>
          </w:p>
        </w:tc>
        <w:tc>
          <w:tcPr>
            <w:tcW w:w="3900" w:type="dxa"/>
            <w:vAlign w:val="top"/>
          </w:tcPr>
          <w:p>
            <w:pPr>
              <w:pStyle w:val="8"/>
              <w:spacing w:before="138"/>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4" w:hRule="atLeast"/>
        </w:trPr>
        <w:tc>
          <w:tcPr>
            <w:tcW w:w="562" w:type="dxa"/>
            <w:vMerge w:val="continue"/>
            <w:tcBorders>
              <w:top w:val="nil"/>
            </w:tcBorders>
            <w:vAlign w:val="top"/>
          </w:tcPr>
          <w:p>
            <w:pPr>
              <w:rPr>
                <w:color w:val="auto"/>
                <w:sz w:val="2"/>
                <w:szCs w:val="2"/>
              </w:rPr>
            </w:pPr>
          </w:p>
        </w:tc>
        <w:tc>
          <w:tcPr>
            <w:tcW w:w="487" w:type="dxa"/>
            <w:vMerge w:val="restart"/>
            <w:vAlign w:val="top"/>
          </w:tcPr>
          <w:p>
            <w:pPr>
              <w:pStyle w:val="8"/>
              <w:spacing w:before="3"/>
              <w:rPr>
                <w:rFonts w:ascii="Times New Roman"/>
                <w:color w:val="auto"/>
                <w:sz w:val="24"/>
              </w:rPr>
            </w:pPr>
          </w:p>
          <w:p>
            <w:pPr>
              <w:pStyle w:val="8"/>
              <w:spacing w:line="242" w:lineRule="auto"/>
              <w:ind w:left="136" w:right="127"/>
              <w:jc w:val="both"/>
              <w:rPr>
                <w:b/>
                <w:color w:val="auto"/>
                <w:sz w:val="21"/>
              </w:rPr>
            </w:pPr>
            <w:r>
              <w:rPr>
                <w:b/>
                <w:color w:val="auto"/>
                <w:sz w:val="21"/>
              </w:rPr>
              <w:t>裁量基准</w:t>
            </w:r>
          </w:p>
        </w:tc>
        <w:tc>
          <w:tcPr>
            <w:tcW w:w="696" w:type="dxa"/>
            <w:vAlign w:val="top"/>
          </w:tcPr>
          <w:p>
            <w:pPr>
              <w:pStyle w:val="8"/>
              <w:spacing w:before="1"/>
              <w:ind w:left="136"/>
              <w:rPr>
                <w:b/>
                <w:color w:val="auto"/>
                <w:sz w:val="21"/>
              </w:rPr>
            </w:pPr>
            <w:r>
              <w:rPr>
                <w:b/>
                <w:color w:val="auto"/>
                <w:sz w:val="21"/>
              </w:rPr>
              <w:t>一般</w:t>
            </w:r>
          </w:p>
          <w:p>
            <w:pPr>
              <w:pStyle w:val="8"/>
              <w:spacing w:before="4" w:line="250" w:lineRule="exact"/>
              <w:ind w:left="136"/>
              <w:rPr>
                <w:b/>
                <w:color w:val="auto"/>
                <w:sz w:val="21"/>
              </w:rPr>
            </w:pPr>
            <w:r>
              <w:rPr>
                <w:b/>
                <w:color w:val="auto"/>
                <w:sz w:val="21"/>
              </w:rPr>
              <w:t>情形</w:t>
            </w:r>
          </w:p>
        </w:tc>
        <w:tc>
          <w:tcPr>
            <w:tcW w:w="2715" w:type="dxa"/>
            <w:vAlign w:val="top"/>
          </w:tcPr>
          <w:p>
            <w:pPr>
              <w:pStyle w:val="8"/>
              <w:spacing w:before="1"/>
              <w:ind w:left="108"/>
              <w:rPr>
                <w:color w:val="auto"/>
                <w:sz w:val="21"/>
              </w:rPr>
            </w:pPr>
            <w:commentRangeStart w:id="4"/>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4"/>
                <w:sz w:val="21"/>
              </w:rPr>
              <w:t xml:space="preserve"> 万元以下</w:t>
            </w:r>
          </w:p>
          <w:p>
            <w:pPr>
              <w:pStyle w:val="8"/>
              <w:spacing w:before="4" w:line="250" w:lineRule="exact"/>
              <w:ind w:left="108"/>
              <w:rPr>
                <w:color w:val="auto"/>
                <w:sz w:val="21"/>
              </w:rPr>
            </w:pPr>
            <w:r>
              <w:rPr>
                <w:color w:val="auto"/>
                <w:sz w:val="21"/>
              </w:rPr>
              <w:t>罚款。</w:t>
            </w:r>
            <w:commentRangeEnd w:id="4"/>
            <w:r>
              <w:rPr>
                <w:color w:val="auto"/>
              </w:rPr>
              <w:commentReference w:id="4"/>
            </w:r>
          </w:p>
        </w:tc>
        <w:tc>
          <w:tcPr>
            <w:tcW w:w="2714" w:type="dxa"/>
            <w:vAlign w:val="top"/>
          </w:tcPr>
          <w:p>
            <w:pPr>
              <w:pStyle w:val="8"/>
              <w:spacing w:before="1"/>
              <w:ind w:left="108"/>
              <w:rPr>
                <w:color w:val="auto"/>
                <w:sz w:val="21"/>
              </w:rPr>
            </w:pPr>
            <w:r>
              <w:rPr>
                <w:color w:val="auto"/>
                <w:spacing w:val="-28"/>
                <w:sz w:val="21"/>
              </w:rPr>
              <w:t xml:space="preserve">处 </w:t>
            </w:r>
            <w:r>
              <w:rPr>
                <w:color w:val="auto"/>
                <w:sz w:val="21"/>
              </w:rPr>
              <w:t>1</w:t>
            </w:r>
            <w:r>
              <w:rPr>
                <w:color w:val="auto"/>
                <w:spacing w:val="-22"/>
                <w:sz w:val="21"/>
              </w:rPr>
              <w:t xml:space="preserve"> 万元以上 </w:t>
            </w:r>
            <w:r>
              <w:rPr>
                <w:color w:val="auto"/>
                <w:sz w:val="21"/>
              </w:rPr>
              <w:t>3.7</w:t>
            </w:r>
            <w:r>
              <w:rPr>
                <w:color w:val="auto"/>
                <w:spacing w:val="-13"/>
                <w:sz w:val="21"/>
              </w:rPr>
              <w:t xml:space="preserve"> 万元以下</w:t>
            </w:r>
          </w:p>
          <w:p>
            <w:pPr>
              <w:pStyle w:val="8"/>
              <w:spacing w:before="4" w:line="250" w:lineRule="exact"/>
              <w:ind w:left="108"/>
              <w:rPr>
                <w:color w:val="auto"/>
                <w:sz w:val="21"/>
              </w:rPr>
            </w:pPr>
            <w:r>
              <w:rPr>
                <w:color w:val="auto"/>
                <w:sz w:val="21"/>
              </w:rPr>
              <w:t>罚款。</w:t>
            </w:r>
          </w:p>
        </w:tc>
        <w:tc>
          <w:tcPr>
            <w:tcW w:w="2717" w:type="dxa"/>
            <w:vAlign w:val="top"/>
          </w:tcPr>
          <w:p>
            <w:pPr>
              <w:pStyle w:val="8"/>
              <w:spacing w:before="1"/>
              <w:ind w:left="108"/>
              <w:rPr>
                <w:color w:val="auto"/>
                <w:sz w:val="21"/>
              </w:rPr>
            </w:pPr>
            <w:r>
              <w:rPr>
                <w:color w:val="auto"/>
                <w:spacing w:val="-28"/>
                <w:sz w:val="21"/>
              </w:rPr>
              <w:t xml:space="preserve">处 </w:t>
            </w:r>
            <w:r>
              <w:rPr>
                <w:color w:val="auto"/>
                <w:sz w:val="21"/>
              </w:rPr>
              <w:t>3.7</w:t>
            </w:r>
            <w:r>
              <w:rPr>
                <w:color w:val="auto"/>
                <w:spacing w:val="-21"/>
                <w:sz w:val="21"/>
              </w:rPr>
              <w:t xml:space="preserve"> 万元以上 </w:t>
            </w:r>
            <w:r>
              <w:rPr>
                <w:color w:val="auto"/>
                <w:sz w:val="21"/>
              </w:rPr>
              <w:t>7.3</w:t>
            </w:r>
            <w:r>
              <w:rPr>
                <w:color w:val="auto"/>
                <w:spacing w:val="-16"/>
                <w:sz w:val="21"/>
              </w:rPr>
              <w:t xml:space="preserve"> 万元以</w:t>
            </w:r>
          </w:p>
          <w:p>
            <w:pPr>
              <w:pStyle w:val="8"/>
              <w:spacing w:before="4" w:line="250" w:lineRule="exact"/>
              <w:ind w:left="108"/>
              <w:rPr>
                <w:color w:val="auto"/>
                <w:sz w:val="21"/>
              </w:rPr>
            </w:pPr>
            <w:r>
              <w:rPr>
                <w:color w:val="auto"/>
                <w:sz w:val="21"/>
              </w:rPr>
              <w:t>下罚款。</w:t>
            </w:r>
          </w:p>
        </w:tc>
        <w:tc>
          <w:tcPr>
            <w:tcW w:w="3900" w:type="dxa"/>
            <w:vAlign w:val="top"/>
          </w:tcPr>
          <w:p>
            <w:pPr>
              <w:pStyle w:val="8"/>
              <w:spacing w:before="138"/>
              <w:ind w:left="106"/>
              <w:rPr>
                <w:color w:val="auto"/>
                <w:sz w:val="21"/>
              </w:rPr>
            </w:pPr>
            <w:r>
              <w:rPr>
                <w:color w:val="auto"/>
                <w:sz w:val="21"/>
              </w:rPr>
              <w:t>处 7.3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9" w:hRule="atLeast"/>
        </w:trPr>
        <w:tc>
          <w:tcPr>
            <w:tcW w:w="562" w:type="dxa"/>
            <w:vMerge w:val="continue"/>
            <w:tcBorders>
              <w:top w:val="nil"/>
            </w:tcBorders>
            <w:vAlign w:val="top"/>
          </w:tcPr>
          <w:p>
            <w:pPr>
              <w:rPr>
                <w:color w:val="auto"/>
                <w:sz w:val="2"/>
                <w:szCs w:val="2"/>
              </w:rPr>
            </w:pPr>
          </w:p>
        </w:tc>
        <w:tc>
          <w:tcPr>
            <w:tcW w:w="487" w:type="dxa"/>
            <w:vMerge w:val="continue"/>
            <w:tcBorders>
              <w:top w:val="nil"/>
            </w:tcBorders>
            <w:vAlign w:val="top"/>
          </w:tcPr>
          <w:p>
            <w:pPr>
              <w:rPr>
                <w:color w:val="auto"/>
                <w:sz w:val="2"/>
                <w:szCs w:val="2"/>
              </w:rPr>
            </w:pPr>
          </w:p>
        </w:tc>
        <w:tc>
          <w:tcPr>
            <w:tcW w:w="696" w:type="dxa"/>
            <w:vAlign w:val="top"/>
          </w:tcPr>
          <w:p>
            <w:pPr>
              <w:pStyle w:val="8"/>
              <w:spacing w:before="138" w:line="242" w:lineRule="auto"/>
              <w:ind w:left="136" w:right="124"/>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spacing w:before="1" w:line="242" w:lineRule="auto"/>
              <w:ind w:left="108" w:right="92"/>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1"/>
                <w:sz w:val="21"/>
              </w:rPr>
              <w:t xml:space="preserve">其他责任人员处 </w:t>
            </w:r>
            <w:r>
              <w:rPr>
                <w:color w:val="auto"/>
                <w:sz w:val="21"/>
              </w:rPr>
              <w:t>1</w:t>
            </w:r>
            <w:r>
              <w:rPr>
                <w:color w:val="auto"/>
                <w:spacing w:val="-16"/>
                <w:sz w:val="21"/>
              </w:rPr>
              <w:t xml:space="preserve"> 万元以上</w:t>
            </w:r>
          </w:p>
          <w:p>
            <w:pPr>
              <w:pStyle w:val="8"/>
              <w:spacing w:before="3" w:line="250" w:lineRule="exact"/>
              <w:ind w:left="108"/>
              <w:jc w:val="both"/>
              <w:rPr>
                <w:color w:val="auto"/>
                <w:sz w:val="21"/>
              </w:rPr>
            </w:pPr>
            <w:r>
              <w:rPr>
                <w:color w:val="auto"/>
                <w:sz w:val="21"/>
              </w:rPr>
              <w:t>1.6 万元以下罚款。</w:t>
            </w:r>
          </w:p>
        </w:tc>
        <w:tc>
          <w:tcPr>
            <w:tcW w:w="2717" w:type="dxa"/>
            <w:vAlign w:val="top"/>
          </w:tcPr>
          <w:p>
            <w:pPr>
              <w:pStyle w:val="8"/>
              <w:spacing w:before="1" w:line="242" w:lineRule="auto"/>
              <w:ind w:left="108" w:right="95"/>
              <w:jc w:val="both"/>
              <w:rPr>
                <w:color w:val="auto"/>
                <w:sz w:val="21"/>
              </w:rPr>
            </w:pPr>
            <w:r>
              <w:rPr>
                <w:color w:val="auto"/>
                <w:spacing w:val="13"/>
                <w:sz w:val="21"/>
              </w:rPr>
              <w:t>对法定代表人、主要负责</w:t>
            </w:r>
            <w:r>
              <w:rPr>
                <w:color w:val="auto"/>
                <w:spacing w:val="-7"/>
                <w:sz w:val="21"/>
              </w:rPr>
              <w:t>人、直接负责的主管人员和</w:t>
            </w:r>
            <w:r>
              <w:rPr>
                <w:color w:val="auto"/>
                <w:spacing w:val="-10"/>
                <w:sz w:val="21"/>
              </w:rPr>
              <w:t xml:space="preserve">其他责任人员处 </w:t>
            </w:r>
            <w:r>
              <w:rPr>
                <w:color w:val="auto"/>
                <w:sz w:val="21"/>
              </w:rPr>
              <w:t>1.6</w:t>
            </w:r>
            <w:r>
              <w:rPr>
                <w:color w:val="auto"/>
                <w:spacing w:val="-20"/>
                <w:sz w:val="21"/>
              </w:rPr>
              <w:t xml:space="preserve"> 万元以</w:t>
            </w:r>
          </w:p>
          <w:p>
            <w:pPr>
              <w:pStyle w:val="8"/>
              <w:spacing w:before="3" w:line="250" w:lineRule="exact"/>
              <w:ind w:left="108"/>
              <w:jc w:val="both"/>
              <w:rPr>
                <w:color w:val="auto"/>
                <w:sz w:val="21"/>
              </w:rPr>
            </w:pPr>
            <w:r>
              <w:rPr>
                <w:color w:val="auto"/>
                <w:sz w:val="21"/>
              </w:rPr>
              <w:t>上 2.4 万元以下罚款。</w:t>
            </w:r>
          </w:p>
        </w:tc>
        <w:tc>
          <w:tcPr>
            <w:tcW w:w="3900" w:type="dxa"/>
            <w:vAlign w:val="top"/>
          </w:tcPr>
          <w:p>
            <w:pPr>
              <w:pStyle w:val="8"/>
              <w:spacing w:before="138" w:line="242" w:lineRule="auto"/>
              <w:ind w:left="106" w:right="92"/>
              <w:rPr>
                <w:color w:val="auto"/>
                <w:sz w:val="21"/>
              </w:rPr>
            </w:pPr>
            <w:r>
              <w:rPr>
                <w:color w:val="auto"/>
                <w:spacing w:val="-13"/>
                <w:sz w:val="21"/>
              </w:rPr>
              <w:t>对法定代表人、主要负责人、直接负责的</w:t>
            </w:r>
            <w:r>
              <w:rPr>
                <w:color w:val="auto"/>
                <w:spacing w:val="-3"/>
                <w:sz w:val="21"/>
              </w:rPr>
              <w:t xml:space="preserve">主管人员和其他责任人员处 </w:t>
            </w:r>
            <w:r>
              <w:rPr>
                <w:color w:val="auto"/>
                <w:sz w:val="21"/>
              </w:rPr>
              <w:t>2.4</w:t>
            </w:r>
            <w:r>
              <w:rPr>
                <w:color w:val="auto"/>
                <w:spacing w:val="-2"/>
                <w:sz w:val="21"/>
              </w:rPr>
              <w:t xml:space="preserve"> 万元以</w:t>
            </w:r>
          </w:p>
          <w:p>
            <w:pPr>
              <w:pStyle w:val="8"/>
              <w:spacing w:before="1"/>
              <w:ind w:left="106"/>
              <w:rPr>
                <w:color w:val="auto"/>
                <w:sz w:val="21"/>
              </w:rPr>
            </w:pPr>
            <w:r>
              <w:rPr>
                <w:color w:val="auto"/>
                <w:sz w:val="21"/>
              </w:rPr>
              <w:t>上 3 万元以下罚款。</w:t>
            </w:r>
          </w:p>
        </w:tc>
      </w:tr>
    </w:tbl>
    <w:p>
      <w:pPr>
        <w:pStyle w:val="4"/>
        <w:rPr>
          <w:rFonts w:ascii="Times New Roman"/>
          <w:color w:val="auto"/>
          <w:sz w:val="20"/>
        </w:rPr>
      </w:pPr>
    </w:p>
    <w:p>
      <w:pPr>
        <w:pStyle w:val="4"/>
        <w:rPr>
          <w:rFonts w:ascii="Times New Roman"/>
          <w:color w:val="auto"/>
          <w:sz w:val="20"/>
        </w:rPr>
      </w:pPr>
    </w:p>
    <w:p>
      <w:pPr>
        <w:pStyle w:val="4"/>
        <w:rPr>
          <w:rFonts w:ascii="Times New Roman"/>
          <w:color w:val="auto"/>
          <w:sz w:val="20"/>
        </w:r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487"/>
        <w:gridCol w:w="69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20"/>
              </w:rPr>
            </w:pPr>
          </w:p>
          <w:p>
            <w:pPr>
              <w:pStyle w:val="8"/>
              <w:ind w:left="9"/>
              <w:jc w:val="center"/>
              <w:rPr>
                <w:color w:val="auto"/>
                <w:sz w:val="21"/>
              </w:rPr>
            </w:pPr>
            <w:r>
              <w:rPr>
                <w:color w:val="auto"/>
                <w:w w:val="100"/>
                <w:sz w:val="21"/>
              </w:rPr>
              <w:t>9</w:t>
            </w: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97" w:line="244" w:lineRule="auto"/>
              <w:ind w:left="108" w:right="99" w:firstLine="420"/>
              <w:rPr>
                <w:color w:val="auto"/>
                <w:sz w:val="21"/>
              </w:rPr>
            </w:pPr>
            <w:r>
              <w:rPr>
                <w:color w:val="auto"/>
                <w:sz w:val="21"/>
              </w:rPr>
              <w:t>为医疗器械网络交易提供服务的电子商务平台经营者违反本条例规定，未履行对入网医疗器械经营者进行实名登记、审查许可、注册、备案情况，制止并报告违法行为、停止提供网络交易平台服务等管理义务的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8"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21"/>
              </w:rPr>
            </w:pPr>
          </w:p>
          <w:p>
            <w:pPr>
              <w:pStyle w:val="8"/>
              <w:ind w:left="170"/>
              <w:rPr>
                <w:b/>
                <w:color w:val="auto"/>
                <w:sz w:val="21"/>
              </w:rPr>
            </w:pPr>
            <w:r>
              <w:rPr>
                <w:b/>
                <w:color w:val="auto"/>
                <w:sz w:val="21"/>
              </w:rPr>
              <w:t>处罚依据</w:t>
            </w:r>
          </w:p>
        </w:tc>
        <w:tc>
          <w:tcPr>
            <w:tcW w:w="12046" w:type="dxa"/>
            <w:gridSpan w:val="4"/>
            <w:vAlign w:val="top"/>
          </w:tcPr>
          <w:p>
            <w:pPr>
              <w:pStyle w:val="8"/>
              <w:spacing w:before="80" w:line="244" w:lineRule="auto"/>
              <w:ind w:left="108" w:right="99" w:firstLine="420"/>
              <w:rPr>
                <w:color w:val="auto"/>
                <w:sz w:val="21"/>
              </w:rPr>
            </w:pPr>
            <w:r>
              <w:rPr>
                <w:color w:val="auto"/>
                <w:sz w:val="21"/>
              </w:rPr>
              <w:t>根据《医疗器械监督管理条例》第九十二条规定，由负责药品监督管理的部门依照《中华人民共和国电子商务法》的规定给予处罚。</w:t>
            </w:r>
          </w:p>
          <w:p>
            <w:pPr>
              <w:pStyle w:val="8"/>
              <w:tabs>
                <w:tab w:val="left" w:pos="4541"/>
              </w:tabs>
              <w:spacing w:line="244" w:lineRule="auto"/>
              <w:ind w:left="108" w:right="98" w:firstLine="420"/>
              <w:rPr>
                <w:color w:val="auto"/>
                <w:sz w:val="21"/>
              </w:rPr>
            </w:pPr>
            <w:r>
              <w:rPr>
                <w:color w:val="auto"/>
                <w:sz w:val="21"/>
              </w:rPr>
              <w:t>《中华人民共和国电子商务法》第八十条</w:t>
            </w:r>
            <w:r>
              <w:rPr>
                <w:color w:val="auto"/>
                <w:sz w:val="21"/>
              </w:rPr>
              <w:tab/>
            </w:r>
            <w:r>
              <w:rPr>
                <w:color w:val="auto"/>
                <w:sz w:val="21"/>
              </w:rPr>
              <w:t>电子商务平台经营者有下列行为之一的，由有关主管部门责令限期改正；逾期</w:t>
            </w:r>
            <w:r>
              <w:rPr>
                <w:color w:val="auto"/>
                <w:spacing w:val="-17"/>
                <w:sz w:val="21"/>
              </w:rPr>
              <w:t>不</w:t>
            </w:r>
            <w:r>
              <w:rPr>
                <w:color w:val="auto"/>
                <w:sz w:val="21"/>
              </w:rPr>
              <w:t>改正</w:t>
            </w:r>
            <w:r>
              <w:rPr>
                <w:color w:val="auto"/>
                <w:spacing w:val="-3"/>
                <w:sz w:val="21"/>
              </w:rPr>
              <w:t>的</w:t>
            </w:r>
            <w:r>
              <w:rPr>
                <w:color w:val="auto"/>
                <w:sz w:val="21"/>
              </w:rPr>
              <w:t>，</w:t>
            </w:r>
            <w:r>
              <w:rPr>
                <w:color w:val="auto"/>
                <w:spacing w:val="-3"/>
                <w:sz w:val="21"/>
              </w:rPr>
              <w:t>处</w:t>
            </w:r>
            <w:r>
              <w:rPr>
                <w:color w:val="auto"/>
                <w:sz w:val="21"/>
              </w:rPr>
              <w:t>二</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十</w:t>
            </w:r>
            <w:r>
              <w:rPr>
                <w:color w:val="auto"/>
                <w:sz w:val="21"/>
              </w:rPr>
              <w:t>万元</w:t>
            </w:r>
            <w:r>
              <w:rPr>
                <w:color w:val="auto"/>
                <w:spacing w:val="-3"/>
                <w:sz w:val="21"/>
              </w:rPr>
              <w:t>以</w:t>
            </w:r>
            <w:r>
              <w:rPr>
                <w:color w:val="auto"/>
                <w:sz w:val="21"/>
              </w:rPr>
              <w:t>下</w:t>
            </w:r>
            <w:r>
              <w:rPr>
                <w:color w:val="auto"/>
                <w:spacing w:val="-3"/>
                <w:sz w:val="21"/>
              </w:rPr>
              <w:t>的</w:t>
            </w:r>
            <w:r>
              <w:rPr>
                <w:color w:val="auto"/>
                <w:sz w:val="21"/>
              </w:rPr>
              <w:t>罚</w:t>
            </w:r>
            <w:r>
              <w:rPr>
                <w:color w:val="auto"/>
                <w:spacing w:val="-3"/>
                <w:sz w:val="21"/>
              </w:rPr>
              <w:t>款</w:t>
            </w:r>
            <w:r>
              <w:rPr>
                <w:color w:val="auto"/>
                <w:sz w:val="21"/>
              </w:rPr>
              <w:t>；</w:t>
            </w:r>
            <w:r>
              <w:rPr>
                <w:color w:val="auto"/>
                <w:spacing w:val="-3"/>
                <w:sz w:val="21"/>
              </w:rPr>
              <w:t>情</w:t>
            </w:r>
            <w:r>
              <w:rPr>
                <w:color w:val="auto"/>
                <w:sz w:val="21"/>
              </w:rPr>
              <w:t>节</w:t>
            </w:r>
            <w:r>
              <w:rPr>
                <w:color w:val="auto"/>
                <w:spacing w:val="-3"/>
                <w:sz w:val="21"/>
              </w:rPr>
              <w:t>严</w:t>
            </w:r>
            <w:r>
              <w:rPr>
                <w:color w:val="auto"/>
                <w:sz w:val="21"/>
              </w:rPr>
              <w:t>重的</w:t>
            </w:r>
            <w:r>
              <w:rPr>
                <w:color w:val="auto"/>
                <w:spacing w:val="-3"/>
                <w:sz w:val="21"/>
              </w:rPr>
              <w:t>，</w:t>
            </w:r>
            <w:r>
              <w:rPr>
                <w:color w:val="auto"/>
                <w:sz w:val="21"/>
              </w:rPr>
              <w:t>责</w:t>
            </w:r>
            <w:r>
              <w:rPr>
                <w:color w:val="auto"/>
                <w:spacing w:val="-3"/>
                <w:sz w:val="21"/>
              </w:rPr>
              <w:t>令</w:t>
            </w:r>
            <w:r>
              <w:rPr>
                <w:color w:val="auto"/>
                <w:sz w:val="21"/>
              </w:rPr>
              <w:t>停</w:t>
            </w:r>
            <w:r>
              <w:rPr>
                <w:color w:val="auto"/>
                <w:spacing w:val="-3"/>
                <w:sz w:val="21"/>
              </w:rPr>
              <w:t>业</w:t>
            </w:r>
            <w:r>
              <w:rPr>
                <w:color w:val="auto"/>
                <w:sz w:val="21"/>
              </w:rPr>
              <w:t>整</w:t>
            </w:r>
            <w:r>
              <w:rPr>
                <w:color w:val="auto"/>
                <w:spacing w:val="-3"/>
                <w:sz w:val="21"/>
              </w:rPr>
              <w:t>顿</w:t>
            </w:r>
            <w:r>
              <w:rPr>
                <w:color w:val="auto"/>
                <w:sz w:val="21"/>
              </w:rPr>
              <w:t>，</w:t>
            </w:r>
            <w:r>
              <w:rPr>
                <w:color w:val="auto"/>
                <w:spacing w:val="-3"/>
                <w:sz w:val="21"/>
              </w:rPr>
              <w:t>并</w:t>
            </w:r>
            <w:r>
              <w:rPr>
                <w:color w:val="auto"/>
                <w:sz w:val="21"/>
              </w:rPr>
              <w:t>处十</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五</w:t>
            </w:r>
            <w:r>
              <w:rPr>
                <w:color w:val="auto"/>
                <w:sz w:val="21"/>
              </w:rPr>
              <w:t>十</w:t>
            </w:r>
            <w:r>
              <w:rPr>
                <w:color w:val="auto"/>
                <w:spacing w:val="-3"/>
                <w:sz w:val="21"/>
              </w:rPr>
              <w:t>万</w:t>
            </w:r>
            <w:r>
              <w:rPr>
                <w:color w:val="auto"/>
                <w:sz w:val="21"/>
              </w:rPr>
              <w:t>元</w:t>
            </w:r>
            <w:r>
              <w:rPr>
                <w:color w:val="auto"/>
                <w:spacing w:val="-3"/>
                <w:sz w:val="21"/>
              </w:rPr>
              <w:t>以</w:t>
            </w:r>
            <w:r>
              <w:rPr>
                <w:color w:val="auto"/>
                <w:sz w:val="21"/>
              </w:rPr>
              <w:t>下的</w:t>
            </w:r>
            <w:r>
              <w:rPr>
                <w:color w:val="auto"/>
                <w:spacing w:val="-3"/>
                <w:sz w:val="21"/>
              </w:rPr>
              <w:t>罚</w:t>
            </w:r>
            <w:r>
              <w:rPr>
                <w:color w:val="auto"/>
                <w:sz w:val="21"/>
              </w:rPr>
              <w:t>款：</w:t>
            </w:r>
          </w:p>
          <w:p>
            <w:pPr>
              <w:pStyle w:val="8"/>
              <w:spacing w:line="266" w:lineRule="exact"/>
              <w:ind w:left="528"/>
              <w:rPr>
                <w:color w:val="auto"/>
                <w:sz w:val="21"/>
              </w:rPr>
            </w:pPr>
            <w:r>
              <w:rPr>
                <w:color w:val="auto"/>
                <w:sz w:val="21"/>
              </w:rPr>
              <w:t>（一）不履行本法第二十七条规定的核验、登记义务的；</w:t>
            </w:r>
          </w:p>
          <w:p>
            <w:pPr>
              <w:pStyle w:val="8"/>
              <w:ind w:left="528"/>
              <w:rPr>
                <w:color w:val="auto"/>
                <w:sz w:val="21"/>
              </w:rPr>
            </w:pPr>
            <w:r>
              <w:rPr>
                <w:color w:val="auto"/>
                <w:sz w:val="21"/>
              </w:rPr>
              <w:t>（二）不按照本法第二十八条规定向市场监督管理部门、税务部门报送有关信息的；</w:t>
            </w:r>
          </w:p>
          <w:p>
            <w:pPr>
              <w:pStyle w:val="8"/>
              <w:spacing w:before="2"/>
              <w:ind w:left="528"/>
              <w:rPr>
                <w:color w:val="auto"/>
                <w:sz w:val="21"/>
              </w:rPr>
            </w:pPr>
            <w:r>
              <w:rPr>
                <w:color w:val="auto"/>
                <w:sz w:val="21"/>
              </w:rPr>
              <w:t>（三）不按照本法第二十九条规定对违法情形采取必要的处置措施，或者未向有关主管部门报告的；</w:t>
            </w:r>
          </w:p>
          <w:p>
            <w:pPr>
              <w:pStyle w:val="8"/>
              <w:spacing w:before="5" w:line="242" w:lineRule="auto"/>
              <w:ind w:left="528" w:right="4360"/>
              <w:rPr>
                <w:color w:val="auto"/>
                <w:sz w:val="21"/>
              </w:rPr>
            </w:pPr>
            <w:r>
              <w:rPr>
                <w:color w:val="auto"/>
                <w:sz w:val="21"/>
              </w:rPr>
              <w:t>（四）不履行本法第三十一条规定的商品和服务信息、交易信息保存义务的。法律、行政法规对前款规定的违法行为的处罚另有规定的，依照其规定。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9"/>
              <w:ind w:left="170"/>
              <w:rPr>
                <w:b/>
                <w:color w:val="auto"/>
                <w:sz w:val="21"/>
              </w:rPr>
            </w:pPr>
            <w:r>
              <w:rPr>
                <w:b/>
                <w:color w:val="auto"/>
                <w:sz w:val="21"/>
              </w:rPr>
              <w:t>裁量等级</w:t>
            </w:r>
          </w:p>
        </w:tc>
        <w:tc>
          <w:tcPr>
            <w:tcW w:w="2715" w:type="dxa"/>
            <w:vAlign w:val="top"/>
          </w:tcPr>
          <w:p>
            <w:pPr>
              <w:pStyle w:val="8"/>
              <w:spacing w:before="149"/>
              <w:ind w:left="108"/>
              <w:rPr>
                <w:b/>
                <w:color w:val="auto"/>
                <w:sz w:val="21"/>
              </w:rPr>
            </w:pPr>
            <w:r>
              <w:rPr>
                <w:b/>
                <w:color w:val="auto"/>
                <w:sz w:val="21"/>
              </w:rPr>
              <w:t>减轻</w:t>
            </w:r>
          </w:p>
        </w:tc>
        <w:tc>
          <w:tcPr>
            <w:tcW w:w="2714" w:type="dxa"/>
            <w:vAlign w:val="top"/>
          </w:tcPr>
          <w:p>
            <w:pPr>
              <w:pStyle w:val="8"/>
              <w:spacing w:before="149"/>
              <w:ind w:left="108"/>
              <w:rPr>
                <w:b/>
                <w:color w:val="auto"/>
                <w:sz w:val="21"/>
              </w:rPr>
            </w:pPr>
            <w:r>
              <w:rPr>
                <w:b/>
                <w:color w:val="auto"/>
                <w:sz w:val="21"/>
              </w:rPr>
              <w:t>从轻</w:t>
            </w:r>
          </w:p>
        </w:tc>
        <w:tc>
          <w:tcPr>
            <w:tcW w:w="2717" w:type="dxa"/>
            <w:vAlign w:val="top"/>
          </w:tcPr>
          <w:p>
            <w:pPr>
              <w:pStyle w:val="8"/>
              <w:spacing w:before="149"/>
              <w:ind w:left="108"/>
              <w:rPr>
                <w:b/>
                <w:color w:val="auto"/>
                <w:sz w:val="21"/>
              </w:rPr>
            </w:pPr>
            <w:r>
              <w:rPr>
                <w:b/>
                <w:color w:val="auto"/>
                <w:sz w:val="21"/>
              </w:rPr>
              <w:t>一般</w:t>
            </w:r>
          </w:p>
        </w:tc>
        <w:tc>
          <w:tcPr>
            <w:tcW w:w="3900" w:type="dxa"/>
            <w:vAlign w:val="top"/>
          </w:tcPr>
          <w:p>
            <w:pPr>
              <w:pStyle w:val="8"/>
              <w:spacing w:before="149"/>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2"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2"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2"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3" w:hRule="atLeast"/>
        </w:trPr>
        <w:tc>
          <w:tcPr>
            <w:tcW w:w="562" w:type="dxa"/>
            <w:vMerge w:val="continue"/>
            <w:tcBorders>
              <w:top w:val="nil"/>
            </w:tcBorders>
            <w:vAlign w:val="top"/>
          </w:tcPr>
          <w:p>
            <w:pPr>
              <w:rPr>
                <w:color w:val="auto"/>
                <w:sz w:val="2"/>
                <w:szCs w:val="2"/>
              </w:rPr>
            </w:pPr>
          </w:p>
        </w:tc>
        <w:tc>
          <w:tcPr>
            <w:tcW w:w="48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1"/>
              </w:rPr>
            </w:pPr>
          </w:p>
          <w:p>
            <w:pPr>
              <w:pStyle w:val="8"/>
              <w:spacing w:line="242" w:lineRule="auto"/>
              <w:ind w:left="136" w:right="127"/>
              <w:jc w:val="both"/>
              <w:rPr>
                <w:b/>
                <w:color w:val="auto"/>
                <w:sz w:val="21"/>
              </w:rPr>
            </w:pPr>
            <w:r>
              <w:rPr>
                <w:b/>
                <w:color w:val="auto"/>
                <w:sz w:val="21"/>
              </w:rPr>
              <w:t>裁量基准</w:t>
            </w:r>
          </w:p>
        </w:tc>
        <w:tc>
          <w:tcPr>
            <w:tcW w:w="696" w:type="dxa"/>
            <w:vAlign w:val="top"/>
          </w:tcPr>
          <w:p>
            <w:pPr>
              <w:pStyle w:val="8"/>
              <w:spacing w:before="9"/>
              <w:rPr>
                <w:rFonts w:ascii="Times New Roman"/>
                <w:color w:val="auto"/>
                <w:sz w:val="16"/>
              </w:rPr>
            </w:pPr>
          </w:p>
          <w:p>
            <w:pPr>
              <w:pStyle w:val="8"/>
              <w:spacing w:line="242" w:lineRule="auto"/>
              <w:ind w:left="242" w:right="230"/>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spacing w:before="6"/>
              <w:rPr>
                <w:rFonts w:ascii="Times New Roman"/>
                <w:color w:val="auto"/>
                <w:sz w:val="20"/>
              </w:rPr>
            </w:pPr>
          </w:p>
          <w:p>
            <w:pPr>
              <w:pStyle w:val="8"/>
              <w:spacing w:line="242" w:lineRule="auto"/>
              <w:ind w:left="108" w:right="96"/>
              <w:rPr>
                <w:color w:val="auto"/>
                <w:sz w:val="21"/>
              </w:rPr>
            </w:pPr>
            <w:commentRangeStart w:id="5"/>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commentRangeEnd w:id="5"/>
            <w:r>
              <w:rPr>
                <w:color w:val="auto"/>
              </w:rPr>
              <w:commentReference w:id="5"/>
            </w:r>
          </w:p>
        </w:tc>
        <w:tc>
          <w:tcPr>
            <w:tcW w:w="2714" w:type="dxa"/>
            <w:vAlign w:val="top"/>
          </w:tcPr>
          <w:p>
            <w:pPr>
              <w:pStyle w:val="8"/>
              <w:rPr>
                <w:rFonts w:ascii="Times New Roman"/>
                <w:color w:val="auto"/>
                <w:sz w:val="20"/>
              </w:rPr>
            </w:pPr>
          </w:p>
          <w:p>
            <w:pPr>
              <w:pStyle w:val="8"/>
              <w:spacing w:before="6"/>
              <w:rPr>
                <w:rFonts w:ascii="Times New Roman"/>
                <w:color w:val="auto"/>
                <w:sz w:val="20"/>
              </w:rPr>
            </w:pPr>
          </w:p>
          <w:p>
            <w:pPr>
              <w:pStyle w:val="8"/>
              <w:spacing w:line="242" w:lineRule="auto"/>
              <w:ind w:left="108" w:right="93"/>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spacing w:before="6"/>
              <w:rPr>
                <w:rFonts w:ascii="Times New Roman"/>
                <w:color w:val="auto"/>
                <w:sz w:val="20"/>
              </w:rPr>
            </w:pPr>
          </w:p>
          <w:p>
            <w:pPr>
              <w:pStyle w:val="8"/>
              <w:spacing w:line="242" w:lineRule="auto"/>
              <w:ind w:left="108" w:right="95"/>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141"/>
              <w:ind w:left="106"/>
              <w:rPr>
                <w:color w:val="auto"/>
                <w:sz w:val="21"/>
              </w:rPr>
            </w:pPr>
            <w:r>
              <w:rPr>
                <w:color w:val="auto"/>
                <w:sz w:val="21"/>
              </w:rPr>
              <w:t>处 7.6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6" w:hRule="atLeast"/>
        </w:trPr>
        <w:tc>
          <w:tcPr>
            <w:tcW w:w="562" w:type="dxa"/>
            <w:vMerge w:val="continue"/>
            <w:tcBorders>
              <w:top w:val="nil"/>
            </w:tcBorders>
            <w:vAlign w:val="top"/>
          </w:tcPr>
          <w:p>
            <w:pPr>
              <w:rPr>
                <w:color w:val="auto"/>
                <w:sz w:val="2"/>
                <w:szCs w:val="2"/>
              </w:rPr>
            </w:pPr>
          </w:p>
        </w:tc>
        <w:tc>
          <w:tcPr>
            <w:tcW w:w="487" w:type="dxa"/>
            <w:vMerge w:val="continue"/>
            <w:tcBorders>
              <w:top w:val="nil"/>
            </w:tcBorders>
            <w:vAlign w:val="top"/>
          </w:tcPr>
          <w:p>
            <w:pPr>
              <w:rPr>
                <w:color w:val="auto"/>
                <w:sz w:val="2"/>
                <w:szCs w:val="2"/>
              </w:rPr>
            </w:pPr>
          </w:p>
        </w:tc>
        <w:tc>
          <w:tcPr>
            <w:tcW w:w="696" w:type="dxa"/>
            <w:vAlign w:val="top"/>
          </w:tcPr>
          <w:p>
            <w:pPr>
              <w:pStyle w:val="8"/>
              <w:spacing w:before="58" w:line="242" w:lineRule="auto"/>
              <w:ind w:left="242" w:right="230"/>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spacing w:before="6"/>
              <w:rPr>
                <w:rFonts w:ascii="Times New Roman"/>
                <w:color w:val="auto"/>
                <w:sz w:val="20"/>
              </w:rPr>
            </w:pPr>
          </w:p>
          <w:p>
            <w:pPr>
              <w:pStyle w:val="8"/>
              <w:spacing w:line="242" w:lineRule="auto"/>
              <w:ind w:left="108" w:right="93"/>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spacing w:before="6"/>
              <w:rPr>
                <w:rFonts w:ascii="Times New Roman"/>
                <w:color w:val="auto"/>
                <w:sz w:val="20"/>
              </w:rPr>
            </w:pPr>
          </w:p>
          <w:p>
            <w:pPr>
              <w:pStyle w:val="8"/>
              <w:spacing w:line="242" w:lineRule="auto"/>
              <w:ind w:left="108" w:right="95"/>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143"/>
              <w:ind w:left="106"/>
              <w:rPr>
                <w:color w:val="auto"/>
                <w:sz w:val="21"/>
              </w:rPr>
            </w:pPr>
            <w:r>
              <w:rPr>
                <w:color w:val="auto"/>
                <w:sz w:val="21"/>
              </w:rPr>
              <w:t>处 38 万元以上 50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7"/>
        <w:gridCol w:w="51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9"/>
              </w:rPr>
            </w:pPr>
          </w:p>
          <w:p>
            <w:pPr>
              <w:pStyle w:val="8"/>
              <w:ind w:left="175"/>
              <w:rPr>
                <w:b/>
                <w:color w:val="auto"/>
                <w:sz w:val="21"/>
              </w:rPr>
            </w:pPr>
            <w:r>
              <w:rPr>
                <w:b/>
                <w:color w:val="auto"/>
                <w:sz w:val="21"/>
              </w:rPr>
              <w:t>10</w:t>
            </w: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8"/>
              <w:rPr>
                <w:color w:val="auto"/>
                <w:sz w:val="21"/>
              </w:rPr>
            </w:pPr>
            <w:r>
              <w:rPr>
                <w:color w:val="auto"/>
                <w:sz w:val="21"/>
              </w:rPr>
              <w:t>未进行医疗器械临床试验机构备案开展临床试验的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59"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24"/>
              </w:rPr>
            </w:pPr>
          </w:p>
          <w:p>
            <w:pPr>
              <w:pStyle w:val="8"/>
              <w:ind w:left="170"/>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spacing w:before="11"/>
              <w:rPr>
                <w:rFonts w:ascii="Times New Roman"/>
                <w:color w:val="auto"/>
                <w:sz w:val="20"/>
              </w:rPr>
            </w:pPr>
          </w:p>
          <w:p>
            <w:pPr>
              <w:pStyle w:val="8"/>
              <w:spacing w:line="244" w:lineRule="auto"/>
              <w:ind w:left="108" w:right="-15" w:firstLine="420"/>
              <w:rPr>
                <w:color w:val="auto"/>
                <w:sz w:val="21"/>
              </w:rPr>
            </w:pPr>
            <w:r>
              <w:rPr>
                <w:color w:val="auto"/>
                <w:spacing w:val="-7"/>
                <w:sz w:val="21"/>
              </w:rPr>
              <w:t xml:space="preserve">根据《医疗器械监督管理条例》第九十三条第一款规定，由负责药品监督管理的部门责令停止临床试验并改正；拒不改正的， 该临床试验数据不得用于产品注册、备案，处 </w:t>
            </w:r>
            <w:r>
              <w:rPr>
                <w:color w:val="auto"/>
                <w:sz w:val="21"/>
              </w:rPr>
              <w:t>5</w:t>
            </w:r>
            <w:r>
              <w:rPr>
                <w:color w:val="auto"/>
                <w:spacing w:val="-16"/>
                <w:sz w:val="21"/>
              </w:rPr>
              <w:t xml:space="preserve"> 万元以上 </w:t>
            </w:r>
            <w:r>
              <w:rPr>
                <w:color w:val="auto"/>
                <w:sz w:val="21"/>
              </w:rPr>
              <w:t>10</w:t>
            </w:r>
            <w:r>
              <w:rPr>
                <w:color w:val="auto"/>
                <w:spacing w:val="-8"/>
                <w:sz w:val="21"/>
              </w:rPr>
              <w:t xml:space="preserve"> 万元以下罚款，并向社会公告；造成严重后果的</w:t>
            </w:r>
            <w:r>
              <w:rPr>
                <w:color w:val="auto"/>
                <w:sz w:val="21"/>
              </w:rPr>
              <w:t>，5</w:t>
            </w:r>
            <w:r>
              <w:rPr>
                <w:color w:val="auto"/>
                <w:spacing w:val="-8"/>
                <w:sz w:val="21"/>
              </w:rPr>
              <w:t xml:space="preserve"> 年内禁止其开展</w:t>
            </w:r>
          </w:p>
          <w:p>
            <w:pPr>
              <w:pStyle w:val="8"/>
              <w:spacing w:line="266" w:lineRule="exact"/>
              <w:ind w:left="108"/>
              <w:rPr>
                <w:color w:val="auto"/>
                <w:sz w:val="21"/>
              </w:rPr>
            </w:pPr>
            <w:r>
              <w:rPr>
                <w:color w:val="auto"/>
                <w:sz w:val="21"/>
              </w:rPr>
              <w:t>相关专业医疗器械临床试验，并处 10 万元以上 30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4"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4"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4"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6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1"/>
              </w:rPr>
            </w:pPr>
          </w:p>
          <w:p>
            <w:pPr>
              <w:pStyle w:val="8"/>
              <w:spacing w:line="244" w:lineRule="auto"/>
              <w:ind w:left="122" w:right="110"/>
              <w:rPr>
                <w:b/>
                <w:color w:val="auto"/>
                <w:sz w:val="21"/>
              </w:rPr>
            </w:pPr>
            <w:r>
              <w:rPr>
                <w:b/>
                <w:color w:val="auto"/>
                <w:sz w:val="21"/>
              </w:rPr>
              <w:t>裁量基准</w:t>
            </w:r>
          </w:p>
        </w:tc>
        <w:tc>
          <w:tcPr>
            <w:tcW w:w="516" w:type="dxa"/>
            <w:vAlign w:val="top"/>
          </w:tcPr>
          <w:p>
            <w:pPr>
              <w:pStyle w:val="8"/>
              <w:rPr>
                <w:rFonts w:ascii="Times New Roman"/>
                <w:color w:val="auto"/>
                <w:sz w:val="20"/>
              </w:rPr>
            </w:pPr>
          </w:p>
          <w:p>
            <w:pPr>
              <w:pStyle w:val="8"/>
              <w:spacing w:before="162" w:line="242" w:lineRule="auto"/>
              <w:ind w:left="151" w:right="141"/>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commentRangeStart w:id="6"/>
          </w:p>
          <w:p>
            <w:pPr>
              <w:pStyle w:val="8"/>
              <w:spacing w:line="242" w:lineRule="auto"/>
              <w:ind w:left="108" w:right="96"/>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commentRangeEnd w:id="6"/>
            <w:r>
              <w:rPr>
                <w:color w:val="auto"/>
              </w:rPr>
              <w:commentReference w:id="6"/>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8" w:right="93"/>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8" w:right="95"/>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29"/>
              </w:rPr>
            </w:pPr>
          </w:p>
          <w:p>
            <w:pPr>
              <w:pStyle w:val="8"/>
              <w:ind w:left="106"/>
              <w:rPr>
                <w:color w:val="auto"/>
                <w:sz w:val="21"/>
              </w:rPr>
            </w:pPr>
            <w:r>
              <w:rPr>
                <w:color w:val="auto"/>
                <w:sz w:val="21"/>
              </w:rPr>
              <w:t>处 8.5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08" w:hRule="atLeast"/>
        </w:trPr>
        <w:tc>
          <w:tcPr>
            <w:tcW w:w="562" w:type="dxa"/>
            <w:vMerge w:val="continue"/>
            <w:tcBorders>
              <w:top w:val="nil"/>
            </w:tcBorders>
            <w:vAlign w:val="top"/>
          </w:tcPr>
          <w:p>
            <w:pPr>
              <w:rPr>
                <w:color w:val="auto"/>
                <w:sz w:val="2"/>
                <w:szCs w:val="2"/>
              </w:rPr>
            </w:pPr>
          </w:p>
        </w:tc>
        <w:tc>
          <w:tcPr>
            <w:tcW w:w="667" w:type="dxa"/>
            <w:vMerge w:val="continue"/>
            <w:tcBorders>
              <w:top w:val="nil"/>
            </w:tcBorders>
            <w:vAlign w:val="top"/>
          </w:tcPr>
          <w:p>
            <w:pPr>
              <w:rPr>
                <w:color w:val="auto"/>
                <w:sz w:val="2"/>
                <w:szCs w:val="2"/>
              </w:rPr>
            </w:pPr>
          </w:p>
        </w:tc>
        <w:tc>
          <w:tcPr>
            <w:tcW w:w="516" w:type="dxa"/>
            <w:vAlign w:val="top"/>
          </w:tcPr>
          <w:p>
            <w:pPr>
              <w:pStyle w:val="8"/>
              <w:spacing w:before="1" w:line="242" w:lineRule="auto"/>
              <w:ind w:left="151" w:right="141"/>
              <w:jc w:val="both"/>
              <w:rPr>
                <w:b/>
                <w:color w:val="auto"/>
                <w:sz w:val="21"/>
              </w:rPr>
            </w:pPr>
            <w:r>
              <w:rPr>
                <w:b/>
                <w:color w:val="auto"/>
                <w:sz w:val="21"/>
              </w:rPr>
              <w:t>造成严重后</w:t>
            </w:r>
          </w:p>
          <w:p>
            <w:pPr>
              <w:pStyle w:val="8"/>
              <w:spacing w:before="4" w:line="270" w:lineRule="atLeast"/>
              <w:ind w:left="151" w:right="141"/>
              <w:jc w:val="both"/>
              <w:rPr>
                <w:b/>
                <w:color w:val="auto"/>
                <w:sz w:val="21"/>
              </w:rPr>
            </w:pPr>
            <w:r>
              <w:rPr>
                <w:b/>
                <w:color w:val="auto"/>
                <w:sz w:val="21"/>
              </w:rPr>
              <w:t>果的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9"/>
              </w:rPr>
            </w:pPr>
          </w:p>
          <w:p>
            <w:pPr>
              <w:pStyle w:val="8"/>
              <w:spacing w:line="242" w:lineRule="auto"/>
              <w:ind w:left="108" w:right="93"/>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9"/>
              </w:rPr>
            </w:pPr>
          </w:p>
          <w:p>
            <w:pPr>
              <w:pStyle w:val="8"/>
              <w:spacing w:line="242" w:lineRule="auto"/>
              <w:ind w:left="108" w:right="95"/>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29"/>
              <w:ind w:left="106"/>
              <w:rPr>
                <w:color w:val="auto"/>
                <w:sz w:val="21"/>
              </w:rPr>
            </w:pPr>
            <w:r>
              <w:rPr>
                <w:color w:val="auto"/>
                <w:sz w:val="21"/>
              </w:rPr>
              <w:t>处 24 万元以上 30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96"/>
        <w:gridCol w:w="487"/>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17"/>
              </w:rPr>
            </w:pPr>
          </w:p>
          <w:p>
            <w:pPr>
              <w:pStyle w:val="8"/>
              <w:spacing w:before="1"/>
              <w:ind w:left="175"/>
              <w:rPr>
                <w:b/>
                <w:color w:val="auto"/>
                <w:sz w:val="21"/>
              </w:rPr>
            </w:pPr>
            <w:r>
              <w:rPr>
                <w:b/>
                <w:color w:val="auto"/>
                <w:sz w:val="21"/>
              </w:rPr>
              <w:t>11</w:t>
            </w: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8"/>
              <w:rPr>
                <w:color w:val="auto"/>
                <w:sz w:val="21"/>
              </w:rPr>
            </w:pPr>
            <w:r>
              <w:rPr>
                <w:color w:val="auto"/>
                <w:sz w:val="21"/>
              </w:rPr>
              <w:t>临床试验申办者开展临床试验未经备案的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2"/>
              </w:rPr>
            </w:pPr>
          </w:p>
          <w:p>
            <w:pPr>
              <w:pStyle w:val="8"/>
              <w:ind w:left="170"/>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spacing w:before="8"/>
              <w:rPr>
                <w:rFonts w:ascii="Times New Roman"/>
                <w:color w:val="auto"/>
                <w:sz w:val="18"/>
              </w:rPr>
            </w:pPr>
          </w:p>
          <w:p>
            <w:pPr>
              <w:pStyle w:val="8"/>
              <w:spacing w:line="242" w:lineRule="auto"/>
              <w:ind w:left="108" w:right="94" w:firstLine="420"/>
              <w:jc w:val="both"/>
              <w:rPr>
                <w:color w:val="auto"/>
                <w:sz w:val="21"/>
              </w:rPr>
            </w:pPr>
            <w:r>
              <w:rPr>
                <w:color w:val="auto"/>
                <w:spacing w:val="-1"/>
                <w:sz w:val="21"/>
              </w:rPr>
              <w:t>根据《医疗器械监督管理条例》第九十三条第二款规定，由负责药品监督管理的部门责令停止临床试验，对临床试验申办者</w:t>
            </w:r>
            <w:r>
              <w:rPr>
                <w:color w:val="auto"/>
                <w:spacing w:val="-24"/>
                <w:sz w:val="21"/>
              </w:rPr>
              <w:t xml:space="preserve">处 </w:t>
            </w:r>
            <w:r>
              <w:rPr>
                <w:color w:val="auto"/>
                <w:sz w:val="21"/>
              </w:rPr>
              <w:t>5</w:t>
            </w:r>
            <w:r>
              <w:rPr>
                <w:color w:val="auto"/>
                <w:spacing w:val="-18"/>
                <w:sz w:val="21"/>
              </w:rPr>
              <w:t xml:space="preserve"> 万元以上 </w:t>
            </w:r>
            <w:r>
              <w:rPr>
                <w:color w:val="auto"/>
                <w:sz w:val="21"/>
              </w:rPr>
              <w:t>10</w:t>
            </w:r>
            <w:r>
              <w:rPr>
                <w:color w:val="auto"/>
                <w:spacing w:val="-13"/>
                <w:sz w:val="21"/>
              </w:rPr>
              <w:t xml:space="preserve"> 万元以下罚款，并向社会公告；造成严重后果的，处 </w:t>
            </w:r>
            <w:r>
              <w:rPr>
                <w:color w:val="auto"/>
                <w:sz w:val="21"/>
              </w:rPr>
              <w:t>10</w:t>
            </w:r>
            <w:r>
              <w:rPr>
                <w:color w:val="auto"/>
                <w:spacing w:val="-18"/>
                <w:sz w:val="21"/>
              </w:rPr>
              <w:t xml:space="preserve"> 万元以上 </w:t>
            </w:r>
            <w:r>
              <w:rPr>
                <w:color w:val="auto"/>
                <w:sz w:val="21"/>
              </w:rPr>
              <w:t>30</w:t>
            </w:r>
            <w:r>
              <w:rPr>
                <w:color w:val="auto"/>
                <w:spacing w:val="-10"/>
                <w:sz w:val="21"/>
              </w:rPr>
              <w:t xml:space="preserve"> 万元以下罚款。该临床试验数据不得用于产</w:t>
            </w:r>
            <w:r>
              <w:rPr>
                <w:color w:val="auto"/>
                <w:spacing w:val="-5"/>
                <w:sz w:val="21"/>
              </w:rPr>
              <w:t>品注册、备案，</w:t>
            </w:r>
            <w:r>
              <w:rPr>
                <w:color w:val="auto"/>
                <w:sz w:val="21"/>
              </w:rPr>
              <w:t>5</w:t>
            </w:r>
            <w:r>
              <w:rPr>
                <w:color w:val="auto"/>
                <w:spacing w:val="-8"/>
                <w:sz w:val="21"/>
              </w:rPr>
              <w:t xml:space="preserve"> 年内不受理相关责任人以及单位提出的医疗器械注册申请。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50"/>
              <w:ind w:left="170"/>
              <w:rPr>
                <w:b/>
                <w:color w:val="auto"/>
                <w:sz w:val="21"/>
              </w:rPr>
            </w:pPr>
            <w:r>
              <w:rPr>
                <w:b/>
                <w:color w:val="auto"/>
                <w:sz w:val="21"/>
              </w:rPr>
              <w:t>裁量等级</w:t>
            </w:r>
          </w:p>
        </w:tc>
        <w:tc>
          <w:tcPr>
            <w:tcW w:w="2715" w:type="dxa"/>
            <w:vAlign w:val="top"/>
          </w:tcPr>
          <w:p>
            <w:pPr>
              <w:pStyle w:val="8"/>
              <w:spacing w:before="150"/>
              <w:ind w:left="108"/>
              <w:rPr>
                <w:b/>
                <w:color w:val="auto"/>
                <w:sz w:val="21"/>
              </w:rPr>
            </w:pPr>
            <w:r>
              <w:rPr>
                <w:b/>
                <w:color w:val="auto"/>
                <w:sz w:val="21"/>
              </w:rPr>
              <w:t>减轻</w:t>
            </w:r>
          </w:p>
        </w:tc>
        <w:tc>
          <w:tcPr>
            <w:tcW w:w="2714" w:type="dxa"/>
            <w:vAlign w:val="top"/>
          </w:tcPr>
          <w:p>
            <w:pPr>
              <w:pStyle w:val="8"/>
              <w:spacing w:before="150"/>
              <w:ind w:left="108"/>
              <w:rPr>
                <w:b/>
                <w:color w:val="auto"/>
                <w:sz w:val="21"/>
              </w:rPr>
            </w:pPr>
            <w:r>
              <w:rPr>
                <w:b/>
                <w:color w:val="auto"/>
                <w:sz w:val="21"/>
              </w:rPr>
              <w:t>从轻</w:t>
            </w:r>
          </w:p>
        </w:tc>
        <w:tc>
          <w:tcPr>
            <w:tcW w:w="2717" w:type="dxa"/>
            <w:vAlign w:val="top"/>
          </w:tcPr>
          <w:p>
            <w:pPr>
              <w:pStyle w:val="8"/>
              <w:spacing w:before="150"/>
              <w:ind w:left="108"/>
              <w:rPr>
                <w:b/>
                <w:color w:val="auto"/>
                <w:sz w:val="21"/>
              </w:rPr>
            </w:pPr>
            <w:r>
              <w:rPr>
                <w:b/>
                <w:color w:val="auto"/>
                <w:sz w:val="21"/>
              </w:rPr>
              <w:t>一般</w:t>
            </w:r>
          </w:p>
        </w:tc>
        <w:tc>
          <w:tcPr>
            <w:tcW w:w="3900" w:type="dxa"/>
            <w:vAlign w:val="top"/>
          </w:tcPr>
          <w:p>
            <w:pPr>
              <w:pStyle w:val="8"/>
              <w:spacing w:before="150"/>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2"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2"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2"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69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1"/>
              </w:rPr>
            </w:pPr>
          </w:p>
          <w:p>
            <w:pPr>
              <w:pStyle w:val="8"/>
              <w:spacing w:line="242" w:lineRule="auto"/>
              <w:ind w:left="136" w:right="126"/>
              <w:rPr>
                <w:b/>
                <w:color w:val="auto"/>
                <w:sz w:val="21"/>
              </w:rPr>
            </w:pPr>
            <w:r>
              <w:rPr>
                <w:b/>
                <w:color w:val="auto"/>
                <w:sz w:val="21"/>
              </w:rPr>
              <w:t>裁量基准</w:t>
            </w:r>
          </w:p>
        </w:tc>
        <w:tc>
          <w:tcPr>
            <w:tcW w:w="487" w:type="dxa"/>
            <w:vAlign w:val="top"/>
          </w:tcPr>
          <w:p>
            <w:pPr>
              <w:pStyle w:val="8"/>
              <w:rPr>
                <w:rFonts w:ascii="Times New Roman"/>
                <w:color w:val="auto"/>
                <w:sz w:val="20"/>
              </w:rPr>
            </w:pPr>
          </w:p>
          <w:p>
            <w:pPr>
              <w:pStyle w:val="8"/>
              <w:spacing w:before="162" w:line="242" w:lineRule="auto"/>
              <w:ind w:left="136" w:right="127"/>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7"/>
              </w:rPr>
            </w:pPr>
          </w:p>
          <w:p>
            <w:pPr>
              <w:pStyle w:val="8"/>
              <w:spacing w:line="244" w:lineRule="auto"/>
              <w:ind w:left="108" w:right="96"/>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7"/>
              </w:rPr>
            </w:pPr>
          </w:p>
          <w:p>
            <w:pPr>
              <w:pStyle w:val="8"/>
              <w:spacing w:line="244" w:lineRule="auto"/>
              <w:ind w:left="108" w:right="93"/>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7"/>
              </w:rPr>
            </w:pPr>
          </w:p>
          <w:p>
            <w:pPr>
              <w:pStyle w:val="8"/>
              <w:spacing w:line="244" w:lineRule="auto"/>
              <w:ind w:left="108" w:right="95"/>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7"/>
              <w:rPr>
                <w:rFonts w:ascii="Times New Roman"/>
                <w:color w:val="auto"/>
                <w:sz w:val="29"/>
              </w:rPr>
            </w:pPr>
          </w:p>
          <w:p>
            <w:pPr>
              <w:pStyle w:val="8"/>
              <w:ind w:left="106"/>
              <w:rPr>
                <w:color w:val="auto"/>
                <w:sz w:val="21"/>
              </w:rPr>
            </w:pPr>
            <w:r>
              <w:rPr>
                <w:color w:val="auto"/>
                <w:sz w:val="21"/>
              </w:rPr>
              <w:t>处 8.5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05" w:hRule="atLeast"/>
        </w:trPr>
        <w:tc>
          <w:tcPr>
            <w:tcW w:w="562" w:type="dxa"/>
            <w:vMerge w:val="continue"/>
            <w:tcBorders>
              <w:top w:val="nil"/>
            </w:tcBorders>
            <w:vAlign w:val="top"/>
          </w:tcPr>
          <w:p>
            <w:pPr>
              <w:rPr>
                <w:color w:val="auto"/>
                <w:sz w:val="2"/>
                <w:szCs w:val="2"/>
              </w:rPr>
            </w:pPr>
          </w:p>
        </w:tc>
        <w:tc>
          <w:tcPr>
            <w:tcW w:w="696" w:type="dxa"/>
            <w:vMerge w:val="continue"/>
            <w:tcBorders>
              <w:top w:val="nil"/>
            </w:tcBorders>
            <w:vAlign w:val="top"/>
          </w:tcPr>
          <w:p>
            <w:pPr>
              <w:rPr>
                <w:color w:val="auto"/>
                <w:sz w:val="2"/>
                <w:szCs w:val="2"/>
              </w:rPr>
            </w:pPr>
          </w:p>
        </w:tc>
        <w:tc>
          <w:tcPr>
            <w:tcW w:w="487" w:type="dxa"/>
            <w:vAlign w:val="top"/>
          </w:tcPr>
          <w:p>
            <w:pPr>
              <w:pStyle w:val="8"/>
              <w:spacing w:before="1" w:line="242" w:lineRule="auto"/>
              <w:ind w:left="136" w:right="127"/>
              <w:jc w:val="both"/>
              <w:rPr>
                <w:b/>
                <w:color w:val="auto"/>
                <w:sz w:val="21"/>
              </w:rPr>
            </w:pPr>
            <w:r>
              <w:rPr>
                <w:b/>
                <w:color w:val="auto"/>
                <w:sz w:val="21"/>
              </w:rPr>
              <w:t>造成严重后果</w:t>
            </w:r>
          </w:p>
          <w:p>
            <w:pPr>
              <w:pStyle w:val="8"/>
              <w:spacing w:before="4" w:line="250" w:lineRule="exact"/>
              <w:ind w:left="136"/>
              <w:jc w:val="both"/>
              <w:rPr>
                <w:b/>
                <w:color w:val="auto"/>
                <w:sz w:val="21"/>
              </w:rPr>
            </w:pPr>
            <w:r>
              <w:rPr>
                <w:b/>
                <w:color w:val="auto"/>
                <w:w w:val="100"/>
                <w:sz w:val="21"/>
              </w:rPr>
              <w:t>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9"/>
              </w:rPr>
            </w:pPr>
          </w:p>
          <w:p>
            <w:pPr>
              <w:pStyle w:val="8"/>
              <w:spacing w:line="242" w:lineRule="auto"/>
              <w:ind w:left="108" w:right="93"/>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9"/>
              </w:rPr>
            </w:pPr>
          </w:p>
          <w:p>
            <w:pPr>
              <w:pStyle w:val="8"/>
              <w:spacing w:line="242" w:lineRule="auto"/>
              <w:ind w:left="108" w:right="95"/>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27"/>
              <w:ind w:left="106"/>
              <w:rPr>
                <w:color w:val="auto"/>
                <w:sz w:val="21"/>
              </w:rPr>
            </w:pPr>
            <w:r>
              <w:rPr>
                <w:color w:val="auto"/>
                <w:sz w:val="21"/>
              </w:rPr>
              <w:t>处 24 万元以上 30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p>
      <w:pPr>
        <w:pStyle w:val="4"/>
        <w:spacing w:before="2"/>
        <w:rPr>
          <w:rFonts w:ascii="Times New Roman"/>
          <w:color w:val="auto"/>
          <w:sz w:val="26"/>
        </w:r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46"/>
        <w:gridCol w:w="538"/>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16"/>
              </w:rPr>
            </w:pPr>
          </w:p>
          <w:p>
            <w:pPr>
              <w:pStyle w:val="8"/>
              <w:ind w:left="175"/>
              <w:rPr>
                <w:b/>
                <w:color w:val="auto"/>
                <w:sz w:val="21"/>
              </w:rPr>
            </w:pPr>
            <w:r>
              <w:rPr>
                <w:b/>
                <w:color w:val="auto"/>
                <w:sz w:val="21"/>
              </w:rPr>
              <w:t>12</w:t>
            </w: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临床试验申办者未经批准开展对人体具有较高风险的第三类医疗器械临床试验的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4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9"/>
              </w:rPr>
            </w:pPr>
          </w:p>
          <w:p>
            <w:pPr>
              <w:pStyle w:val="8"/>
              <w:spacing w:before="1"/>
              <w:ind w:left="170"/>
              <w:rPr>
                <w:b/>
                <w:color w:val="auto"/>
                <w:sz w:val="21"/>
              </w:rPr>
            </w:pPr>
            <w:r>
              <w:rPr>
                <w:b/>
                <w:color w:val="auto"/>
                <w:sz w:val="21"/>
              </w:rPr>
              <w:t>处罚依据</w:t>
            </w:r>
          </w:p>
        </w:tc>
        <w:tc>
          <w:tcPr>
            <w:tcW w:w="12046" w:type="dxa"/>
            <w:gridSpan w:val="4"/>
            <w:vAlign w:val="top"/>
          </w:tcPr>
          <w:p>
            <w:pPr>
              <w:pStyle w:val="8"/>
              <w:spacing w:before="142" w:line="244" w:lineRule="auto"/>
              <w:ind w:left="107" w:right="95" w:firstLine="420"/>
              <w:rPr>
                <w:color w:val="auto"/>
                <w:sz w:val="21"/>
              </w:rPr>
            </w:pPr>
            <w:r>
              <w:rPr>
                <w:color w:val="auto"/>
                <w:spacing w:val="-1"/>
                <w:sz w:val="21"/>
              </w:rPr>
              <w:t>根据《医疗器械监督管理条例》第九十三条第三款规定，临床试验申办者未经批准开展对人体具有较高风险的第三类医疗器</w:t>
            </w:r>
            <w:r>
              <w:rPr>
                <w:color w:val="auto"/>
                <w:spacing w:val="-4"/>
                <w:sz w:val="21"/>
              </w:rPr>
              <w:t xml:space="preserve">械临床试验的，由负责药品监督管理的部门责令立即停止临床试验，对临床试验申办者处 </w:t>
            </w:r>
            <w:r>
              <w:rPr>
                <w:color w:val="auto"/>
                <w:sz w:val="21"/>
              </w:rPr>
              <w:t>10</w:t>
            </w:r>
            <w:r>
              <w:rPr>
                <w:color w:val="auto"/>
                <w:spacing w:val="-9"/>
                <w:sz w:val="21"/>
              </w:rPr>
              <w:t xml:space="preserve"> 万元以上 </w:t>
            </w:r>
            <w:r>
              <w:rPr>
                <w:color w:val="auto"/>
                <w:sz w:val="21"/>
              </w:rPr>
              <w:t>30</w:t>
            </w:r>
            <w:r>
              <w:rPr>
                <w:color w:val="auto"/>
                <w:spacing w:val="-6"/>
                <w:sz w:val="21"/>
              </w:rPr>
              <w:t xml:space="preserve"> 万元以下罚款，并向社</w:t>
            </w:r>
          </w:p>
          <w:p>
            <w:pPr>
              <w:pStyle w:val="8"/>
              <w:spacing w:line="242" w:lineRule="auto"/>
              <w:ind w:left="107" w:right="96"/>
              <w:jc w:val="both"/>
              <w:rPr>
                <w:color w:val="auto"/>
                <w:sz w:val="21"/>
              </w:rPr>
            </w:pPr>
            <w:r>
              <w:rPr>
                <w:color w:val="auto"/>
                <w:spacing w:val="-11"/>
                <w:sz w:val="21"/>
              </w:rPr>
              <w:t xml:space="preserve">会公告；造成严重后果的，处 </w:t>
            </w:r>
            <w:r>
              <w:rPr>
                <w:color w:val="auto"/>
                <w:sz w:val="21"/>
              </w:rPr>
              <w:t>30</w:t>
            </w:r>
            <w:r>
              <w:rPr>
                <w:color w:val="auto"/>
                <w:spacing w:val="-15"/>
                <w:sz w:val="21"/>
              </w:rPr>
              <w:t xml:space="preserve"> 万元以上 </w:t>
            </w:r>
            <w:r>
              <w:rPr>
                <w:color w:val="auto"/>
                <w:sz w:val="21"/>
              </w:rPr>
              <w:t>100</w:t>
            </w:r>
            <w:r>
              <w:rPr>
                <w:color w:val="auto"/>
                <w:spacing w:val="-10"/>
                <w:sz w:val="21"/>
              </w:rPr>
              <w:t xml:space="preserve"> 万元以下罚款。该临床试验数据不得用于产品注册，</w:t>
            </w:r>
            <w:r>
              <w:rPr>
                <w:color w:val="auto"/>
                <w:spacing w:val="-9"/>
                <w:sz w:val="21"/>
              </w:rPr>
              <w:t>10</w:t>
            </w:r>
            <w:r>
              <w:rPr>
                <w:color w:val="auto"/>
                <w:spacing w:val="-8"/>
                <w:sz w:val="21"/>
              </w:rPr>
              <w:t xml:space="preserve"> 年内不受理相关责任人以及</w:t>
            </w:r>
            <w:r>
              <w:rPr>
                <w:color w:val="auto"/>
                <w:spacing w:val="-9"/>
                <w:sz w:val="21"/>
              </w:rPr>
              <w:t>单位提出的医疗器械临床试验和注册申请，对违法单位的法定代表人、主要负责人、直接负责的主管人员和其他责任人员，没收</w:t>
            </w:r>
            <w:r>
              <w:rPr>
                <w:color w:val="auto"/>
                <w:spacing w:val="-6"/>
                <w:sz w:val="21"/>
              </w:rPr>
              <w:t xml:space="preserve">违法行为发生期间自本单位所获收入，并处所获收入 </w:t>
            </w:r>
            <w:r>
              <w:rPr>
                <w:color w:val="auto"/>
                <w:sz w:val="21"/>
              </w:rPr>
              <w:t>30</w:t>
            </w:r>
            <w:r>
              <w:rPr>
                <w:color w:val="auto"/>
                <w:spacing w:val="-14"/>
                <w:sz w:val="21"/>
              </w:rPr>
              <w:t xml:space="preserve">%以上 </w:t>
            </w:r>
            <w:r>
              <w:rPr>
                <w:color w:val="auto"/>
                <w:sz w:val="21"/>
              </w:rPr>
              <w:t>3</w:t>
            </w:r>
            <w:r>
              <w:rPr>
                <w:color w:val="auto"/>
                <w:spacing w:val="-10"/>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7"/>
              <w:rPr>
                <w:b/>
                <w:color w:val="auto"/>
                <w:sz w:val="21"/>
              </w:rPr>
            </w:pPr>
            <w:r>
              <w:rPr>
                <w:b/>
                <w:color w:val="auto"/>
                <w:sz w:val="21"/>
              </w:rPr>
              <w:t>减轻</w:t>
            </w:r>
          </w:p>
        </w:tc>
        <w:tc>
          <w:tcPr>
            <w:tcW w:w="2714" w:type="dxa"/>
            <w:vAlign w:val="top"/>
          </w:tcPr>
          <w:p>
            <w:pPr>
              <w:pStyle w:val="8"/>
              <w:spacing w:before="147"/>
              <w:ind w:left="107"/>
              <w:rPr>
                <w:b/>
                <w:color w:val="auto"/>
                <w:sz w:val="21"/>
              </w:rPr>
            </w:pPr>
            <w:r>
              <w:rPr>
                <w:b/>
                <w:color w:val="auto"/>
                <w:sz w:val="21"/>
              </w:rPr>
              <w:t>从轻</w:t>
            </w:r>
          </w:p>
        </w:tc>
        <w:tc>
          <w:tcPr>
            <w:tcW w:w="2717" w:type="dxa"/>
            <w:vAlign w:val="top"/>
          </w:tcPr>
          <w:p>
            <w:pPr>
              <w:pStyle w:val="8"/>
              <w:spacing w:before="147"/>
              <w:ind w:left="107"/>
              <w:rPr>
                <w:b/>
                <w:color w:val="auto"/>
                <w:sz w:val="21"/>
              </w:rPr>
            </w:pPr>
            <w:r>
              <w:rPr>
                <w:b/>
                <w:color w:val="auto"/>
                <w:sz w:val="21"/>
              </w:rPr>
              <w:t>一般</w:t>
            </w:r>
          </w:p>
        </w:tc>
        <w:tc>
          <w:tcPr>
            <w:tcW w:w="3900" w:type="dxa"/>
            <w:vAlign w:val="top"/>
          </w:tcPr>
          <w:p>
            <w:pPr>
              <w:pStyle w:val="8"/>
              <w:spacing w:before="147"/>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4" w:lineRule="auto"/>
              <w:ind w:left="107" w:right="98"/>
              <w:rPr>
                <w:color w:val="auto"/>
                <w:sz w:val="21"/>
              </w:rPr>
            </w:pPr>
            <w:r>
              <w:rPr>
                <w:color w:val="auto"/>
                <w:sz w:val="21"/>
              </w:rPr>
              <w:t>符合裁量规定减轻行政处罚情形的。</w:t>
            </w:r>
          </w:p>
        </w:tc>
        <w:tc>
          <w:tcPr>
            <w:tcW w:w="2714" w:type="dxa"/>
            <w:vAlign w:val="top"/>
          </w:tcPr>
          <w:p>
            <w:pPr>
              <w:pStyle w:val="8"/>
              <w:spacing w:before="97" w:line="244"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4"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08" w:hRule="atLeast"/>
        </w:trPr>
        <w:tc>
          <w:tcPr>
            <w:tcW w:w="562" w:type="dxa"/>
            <w:vMerge w:val="continue"/>
            <w:tcBorders>
              <w:top w:val="nil"/>
            </w:tcBorders>
            <w:vAlign w:val="top"/>
          </w:tcPr>
          <w:p>
            <w:pPr>
              <w:rPr>
                <w:color w:val="auto"/>
                <w:sz w:val="2"/>
                <w:szCs w:val="2"/>
              </w:rPr>
            </w:pPr>
          </w:p>
        </w:tc>
        <w:tc>
          <w:tcPr>
            <w:tcW w:w="64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7"/>
              <w:rPr>
                <w:rFonts w:ascii="Times New Roman"/>
                <w:color w:val="auto"/>
                <w:sz w:val="22"/>
              </w:rPr>
            </w:pPr>
          </w:p>
          <w:p>
            <w:pPr>
              <w:pStyle w:val="8"/>
              <w:spacing w:line="244" w:lineRule="auto"/>
              <w:ind w:left="110" w:right="101"/>
              <w:rPr>
                <w:b/>
                <w:color w:val="auto"/>
                <w:sz w:val="21"/>
              </w:rPr>
            </w:pPr>
            <w:r>
              <w:rPr>
                <w:b/>
                <w:color w:val="auto"/>
                <w:sz w:val="21"/>
              </w:rPr>
              <w:t>裁量基准</w:t>
            </w:r>
          </w:p>
        </w:tc>
        <w:tc>
          <w:tcPr>
            <w:tcW w:w="538" w:type="dxa"/>
            <w:vAlign w:val="top"/>
          </w:tcPr>
          <w:p>
            <w:pPr>
              <w:pStyle w:val="8"/>
              <w:rPr>
                <w:rFonts w:ascii="Times New Roman"/>
                <w:color w:val="auto"/>
                <w:sz w:val="20"/>
              </w:rPr>
            </w:pPr>
          </w:p>
          <w:p>
            <w:pPr>
              <w:pStyle w:val="8"/>
              <w:spacing w:before="8"/>
              <w:rPr>
                <w:rFonts w:ascii="Times New Roman"/>
                <w:color w:val="auto"/>
                <w:sz w:val="15"/>
              </w:rPr>
            </w:pPr>
          </w:p>
          <w:p>
            <w:pPr>
              <w:pStyle w:val="8"/>
              <w:spacing w:before="1" w:line="242" w:lineRule="auto"/>
              <w:ind w:left="162" w:right="152"/>
              <w:jc w:val="both"/>
              <w:rPr>
                <w:b/>
                <w:color w:val="auto"/>
                <w:sz w:val="21"/>
              </w:rPr>
            </w:pPr>
            <w:r>
              <w:rPr>
                <w:b/>
                <w:color w:val="auto"/>
                <w:sz w:val="21"/>
              </w:rPr>
              <w:t>一般情形</w:t>
            </w:r>
          </w:p>
        </w:tc>
        <w:tc>
          <w:tcPr>
            <w:tcW w:w="2715" w:type="dxa"/>
            <w:vAlign w:val="top"/>
          </w:tcPr>
          <w:p>
            <w:pPr>
              <w:pStyle w:val="8"/>
              <w:spacing w:before="1"/>
              <w:ind w:left="107"/>
              <w:rPr>
                <w:color w:val="auto"/>
                <w:sz w:val="21"/>
              </w:rPr>
            </w:pPr>
            <w:commentRangeStart w:id="7"/>
            <w:commentRangeStart w:id="8"/>
            <w:r>
              <w:rPr>
                <w:color w:val="auto"/>
                <w:spacing w:val="-9"/>
                <w:sz w:val="21"/>
              </w:rPr>
              <w:t xml:space="preserve">对临床试验申办者处 </w:t>
            </w:r>
            <w:r>
              <w:rPr>
                <w:color w:val="auto"/>
                <w:sz w:val="21"/>
              </w:rPr>
              <w:t>1</w:t>
            </w:r>
            <w:r>
              <w:rPr>
                <w:color w:val="auto"/>
                <w:spacing w:val="-23"/>
                <w:sz w:val="21"/>
              </w:rPr>
              <w:t xml:space="preserve"> 万元</w:t>
            </w:r>
          </w:p>
          <w:p>
            <w:pPr>
              <w:pStyle w:val="8"/>
              <w:spacing w:before="4" w:line="242" w:lineRule="auto"/>
              <w:ind w:left="107" w:right="98"/>
              <w:jc w:val="both"/>
              <w:rPr>
                <w:color w:val="auto"/>
                <w:sz w:val="21"/>
              </w:rPr>
            </w:pPr>
            <w:r>
              <w:rPr>
                <w:color w:val="auto"/>
                <w:spacing w:val="-2"/>
                <w:sz w:val="21"/>
              </w:rPr>
              <w:t xml:space="preserve">以上 </w:t>
            </w:r>
            <w:r>
              <w:rPr>
                <w:color w:val="auto"/>
                <w:sz w:val="21"/>
              </w:rPr>
              <w:t>10</w:t>
            </w:r>
            <w:r>
              <w:rPr>
                <w:color w:val="auto"/>
                <w:spacing w:val="-5"/>
                <w:sz w:val="21"/>
              </w:rPr>
              <w:t xml:space="preserve"> 万元以下罚款。对</w:t>
            </w:r>
            <w:r>
              <w:rPr>
                <w:color w:val="auto"/>
                <w:spacing w:val="-6"/>
                <w:sz w:val="21"/>
              </w:rPr>
              <w:t>违法单位的法定代表人、主</w:t>
            </w:r>
            <w:r>
              <w:rPr>
                <w:color w:val="auto"/>
                <w:spacing w:val="-7"/>
                <w:sz w:val="21"/>
              </w:rPr>
              <w:t>要负责人、直接负责的主管</w:t>
            </w:r>
            <w:r>
              <w:rPr>
                <w:color w:val="auto"/>
                <w:spacing w:val="13"/>
                <w:sz w:val="21"/>
              </w:rPr>
              <w:t>人员和其他责任人员并处</w:t>
            </w:r>
            <w:r>
              <w:rPr>
                <w:color w:val="auto"/>
                <w:spacing w:val="-2"/>
                <w:sz w:val="21"/>
              </w:rPr>
              <w:t xml:space="preserve">所获收入 </w:t>
            </w:r>
            <w:r>
              <w:rPr>
                <w:color w:val="auto"/>
                <w:sz w:val="21"/>
              </w:rPr>
              <w:t>0.03</w:t>
            </w:r>
            <w:r>
              <w:rPr>
                <w:color w:val="auto"/>
                <w:spacing w:val="-3"/>
                <w:sz w:val="21"/>
              </w:rPr>
              <w:t xml:space="preserve"> 倍以上 </w:t>
            </w:r>
            <w:r>
              <w:rPr>
                <w:color w:val="auto"/>
                <w:spacing w:val="-8"/>
                <w:sz w:val="21"/>
              </w:rPr>
              <w:t>0.3</w:t>
            </w:r>
          </w:p>
          <w:p>
            <w:pPr>
              <w:pStyle w:val="8"/>
              <w:spacing w:before="3" w:line="252" w:lineRule="exact"/>
              <w:ind w:left="107"/>
              <w:jc w:val="both"/>
              <w:rPr>
                <w:color w:val="auto"/>
                <w:sz w:val="21"/>
              </w:rPr>
            </w:pPr>
            <w:r>
              <w:rPr>
                <w:color w:val="auto"/>
                <w:sz w:val="21"/>
              </w:rPr>
              <w:t>倍以下罚款。</w:t>
            </w:r>
            <w:commentRangeEnd w:id="7"/>
            <w:r>
              <w:rPr>
                <w:color w:val="auto"/>
              </w:rPr>
              <w:commentReference w:id="7"/>
            </w:r>
            <w:commentRangeEnd w:id="8"/>
            <w:r>
              <w:rPr>
                <w:color w:val="auto"/>
              </w:rPr>
              <w:commentReference w:id="8"/>
            </w:r>
          </w:p>
        </w:tc>
        <w:tc>
          <w:tcPr>
            <w:tcW w:w="2714" w:type="dxa"/>
            <w:vAlign w:val="top"/>
          </w:tcPr>
          <w:p>
            <w:pPr>
              <w:pStyle w:val="8"/>
              <w:spacing w:before="1"/>
              <w:ind w:left="107"/>
              <w:rPr>
                <w:color w:val="auto"/>
                <w:sz w:val="21"/>
              </w:rPr>
            </w:pPr>
            <w:r>
              <w:rPr>
                <w:color w:val="auto"/>
                <w:spacing w:val="-4"/>
                <w:sz w:val="21"/>
              </w:rPr>
              <w:t xml:space="preserve">对临床试验申办者处 </w:t>
            </w:r>
            <w:r>
              <w:rPr>
                <w:color w:val="auto"/>
                <w:sz w:val="21"/>
              </w:rPr>
              <w:t>10</w:t>
            </w:r>
            <w:r>
              <w:rPr>
                <w:color w:val="auto"/>
                <w:spacing w:val="-4"/>
                <w:sz w:val="21"/>
              </w:rPr>
              <w:t xml:space="preserve"> 万</w:t>
            </w:r>
          </w:p>
          <w:p>
            <w:pPr>
              <w:pStyle w:val="8"/>
              <w:spacing w:before="4" w:line="242" w:lineRule="auto"/>
              <w:ind w:left="107" w:right="72"/>
              <w:jc w:val="both"/>
              <w:rPr>
                <w:color w:val="auto"/>
                <w:sz w:val="21"/>
              </w:rPr>
            </w:pPr>
            <w:r>
              <w:rPr>
                <w:color w:val="auto"/>
                <w:spacing w:val="-2"/>
                <w:sz w:val="21"/>
              </w:rPr>
              <w:t xml:space="preserve">元以上 </w:t>
            </w:r>
            <w:r>
              <w:rPr>
                <w:color w:val="auto"/>
                <w:sz w:val="21"/>
              </w:rPr>
              <w:t>16</w:t>
            </w:r>
            <w:r>
              <w:rPr>
                <w:color w:val="auto"/>
                <w:spacing w:val="-3"/>
                <w:sz w:val="21"/>
              </w:rPr>
              <w:t xml:space="preserve"> 万元以下罚款。</w:t>
            </w:r>
            <w:r>
              <w:rPr>
                <w:color w:val="auto"/>
                <w:spacing w:val="-4"/>
                <w:sz w:val="21"/>
              </w:rPr>
              <w:t>对违法单位的法定代表人、</w:t>
            </w:r>
            <w:r>
              <w:rPr>
                <w:color w:val="auto"/>
                <w:spacing w:val="-6"/>
                <w:sz w:val="21"/>
              </w:rPr>
              <w:t>主要负责人、直接负责的主</w:t>
            </w:r>
            <w:r>
              <w:rPr>
                <w:color w:val="auto"/>
                <w:spacing w:val="14"/>
                <w:sz w:val="21"/>
              </w:rPr>
              <w:t>管人员和其他责任人员并</w:t>
            </w:r>
            <w:r>
              <w:rPr>
                <w:color w:val="auto"/>
                <w:spacing w:val="-4"/>
                <w:sz w:val="21"/>
              </w:rPr>
              <w:t xml:space="preserve">处所获收入 </w:t>
            </w:r>
            <w:r>
              <w:rPr>
                <w:color w:val="auto"/>
                <w:sz w:val="21"/>
              </w:rPr>
              <w:t>0.3</w:t>
            </w:r>
            <w:r>
              <w:rPr>
                <w:color w:val="auto"/>
                <w:spacing w:val="-18"/>
                <w:sz w:val="21"/>
              </w:rPr>
              <w:t xml:space="preserve"> 倍以上 </w:t>
            </w:r>
            <w:r>
              <w:rPr>
                <w:color w:val="auto"/>
                <w:sz w:val="21"/>
              </w:rPr>
              <w:t>1.1</w:t>
            </w:r>
            <w:r>
              <w:rPr>
                <w:rFonts w:hint="eastAsia"/>
                <w:color w:val="auto"/>
                <w:sz w:val="21"/>
                <w:lang w:val="en-US" w:eastAsia="zh-CN"/>
              </w:rPr>
              <w:t>1</w:t>
            </w:r>
          </w:p>
          <w:p>
            <w:pPr>
              <w:pStyle w:val="8"/>
              <w:spacing w:before="3" w:line="252" w:lineRule="exact"/>
              <w:ind w:left="107"/>
              <w:jc w:val="both"/>
              <w:rPr>
                <w:color w:val="auto"/>
                <w:sz w:val="21"/>
              </w:rPr>
            </w:pPr>
            <w:r>
              <w:rPr>
                <w:color w:val="auto"/>
                <w:sz w:val="21"/>
              </w:rPr>
              <w:t>倍以下罚款。</w:t>
            </w:r>
          </w:p>
        </w:tc>
        <w:tc>
          <w:tcPr>
            <w:tcW w:w="2717" w:type="dxa"/>
            <w:vAlign w:val="top"/>
          </w:tcPr>
          <w:p>
            <w:pPr>
              <w:pStyle w:val="8"/>
              <w:spacing w:before="4" w:line="242" w:lineRule="auto"/>
              <w:ind w:left="107" w:right="74"/>
              <w:rPr>
                <w:color w:val="auto"/>
                <w:sz w:val="21"/>
              </w:rPr>
            </w:pPr>
            <w:r>
              <w:rPr>
                <w:color w:val="auto"/>
                <w:spacing w:val="-4"/>
                <w:sz w:val="21"/>
              </w:rPr>
              <w:t xml:space="preserve">对临床试验申办者处 </w:t>
            </w:r>
            <w:r>
              <w:rPr>
                <w:color w:val="auto"/>
                <w:sz w:val="21"/>
              </w:rPr>
              <w:t>16</w:t>
            </w:r>
            <w:r>
              <w:rPr>
                <w:color w:val="auto"/>
                <w:spacing w:val="-4"/>
                <w:sz w:val="21"/>
              </w:rPr>
              <w:t xml:space="preserve"> 万</w:t>
            </w:r>
          </w:p>
          <w:p>
            <w:pPr>
              <w:pStyle w:val="8"/>
              <w:spacing w:before="4" w:line="242" w:lineRule="auto"/>
              <w:ind w:left="107" w:right="74"/>
              <w:jc w:val="both"/>
              <w:rPr>
                <w:color w:val="auto"/>
                <w:sz w:val="21"/>
              </w:rPr>
            </w:pPr>
            <w:r>
              <w:rPr>
                <w:color w:val="auto"/>
                <w:spacing w:val="-2"/>
                <w:sz w:val="21"/>
              </w:rPr>
              <w:t xml:space="preserve">元以上 </w:t>
            </w:r>
            <w:r>
              <w:rPr>
                <w:color w:val="auto"/>
                <w:sz w:val="21"/>
              </w:rPr>
              <w:t>24</w:t>
            </w:r>
            <w:r>
              <w:rPr>
                <w:color w:val="auto"/>
                <w:spacing w:val="-3"/>
                <w:sz w:val="21"/>
              </w:rPr>
              <w:t xml:space="preserve"> 万元以下罚款。</w:t>
            </w:r>
            <w:r>
              <w:rPr>
                <w:color w:val="auto"/>
                <w:spacing w:val="-4"/>
                <w:sz w:val="21"/>
              </w:rPr>
              <w:t>对违法单位的法定代表人、</w:t>
            </w:r>
            <w:r>
              <w:rPr>
                <w:color w:val="auto"/>
                <w:spacing w:val="-6"/>
                <w:sz w:val="21"/>
              </w:rPr>
              <w:t>主要负责人、直接负责的主</w:t>
            </w:r>
            <w:r>
              <w:rPr>
                <w:color w:val="auto"/>
                <w:spacing w:val="14"/>
                <w:sz w:val="21"/>
              </w:rPr>
              <w:t>管人员和其他责任人员并</w:t>
            </w:r>
            <w:r>
              <w:rPr>
                <w:color w:val="auto"/>
                <w:spacing w:val="-4"/>
                <w:sz w:val="21"/>
              </w:rPr>
              <w:t xml:space="preserve">处所获收入 </w:t>
            </w:r>
            <w:r>
              <w:rPr>
                <w:color w:val="auto"/>
                <w:sz w:val="21"/>
              </w:rPr>
              <w:t>1.1</w:t>
            </w:r>
            <w:r>
              <w:rPr>
                <w:rFonts w:hint="eastAsia"/>
                <w:color w:val="auto"/>
                <w:sz w:val="21"/>
                <w:lang w:val="en-US" w:eastAsia="zh-CN"/>
              </w:rPr>
              <w:t>1</w:t>
            </w:r>
            <w:r>
              <w:rPr>
                <w:color w:val="auto"/>
                <w:spacing w:val="-18"/>
                <w:sz w:val="21"/>
              </w:rPr>
              <w:t xml:space="preserve"> 倍以上 </w:t>
            </w:r>
            <w:r>
              <w:rPr>
                <w:color w:val="auto"/>
                <w:sz w:val="21"/>
              </w:rPr>
              <w:t>2.</w:t>
            </w:r>
            <w:r>
              <w:rPr>
                <w:rFonts w:hint="eastAsia"/>
                <w:color w:val="auto"/>
                <w:sz w:val="21"/>
                <w:lang w:val="en-US" w:eastAsia="zh-CN"/>
              </w:rPr>
              <w:t>19</w:t>
            </w:r>
            <w:r>
              <w:rPr>
                <w:color w:val="auto"/>
                <w:sz w:val="21"/>
              </w:rPr>
              <w:t>倍以下罚款。</w:t>
            </w:r>
          </w:p>
        </w:tc>
        <w:tc>
          <w:tcPr>
            <w:tcW w:w="3900" w:type="dxa"/>
            <w:vAlign w:val="top"/>
          </w:tcPr>
          <w:p>
            <w:pPr>
              <w:pStyle w:val="8"/>
              <w:spacing w:before="10"/>
              <w:rPr>
                <w:rFonts w:ascii="Times New Roman"/>
                <w:color w:val="auto"/>
                <w:sz w:val="23"/>
              </w:rPr>
            </w:pPr>
          </w:p>
          <w:p>
            <w:pPr>
              <w:pStyle w:val="8"/>
              <w:spacing w:line="242" w:lineRule="auto"/>
              <w:ind w:left="105" w:right="93"/>
              <w:jc w:val="both"/>
              <w:rPr>
                <w:color w:val="auto"/>
                <w:sz w:val="21"/>
              </w:rPr>
            </w:pPr>
            <w:r>
              <w:rPr>
                <w:color w:val="auto"/>
                <w:sz w:val="21"/>
              </w:rPr>
              <w:t>对临床试验申办者处24</w:t>
            </w:r>
            <w:r>
              <w:rPr>
                <w:color w:val="auto"/>
                <w:spacing w:val="-11"/>
                <w:sz w:val="21"/>
              </w:rPr>
              <w:t xml:space="preserve"> 万元以上</w:t>
            </w:r>
            <w:r>
              <w:rPr>
                <w:color w:val="auto"/>
                <w:sz w:val="21"/>
              </w:rPr>
              <w:t>30</w:t>
            </w:r>
            <w:r>
              <w:rPr>
                <w:color w:val="auto"/>
                <w:spacing w:val="-24"/>
                <w:sz w:val="21"/>
              </w:rPr>
              <w:t xml:space="preserve"> 万元</w:t>
            </w:r>
            <w:r>
              <w:rPr>
                <w:color w:val="auto"/>
                <w:spacing w:val="-14"/>
                <w:sz w:val="21"/>
              </w:rPr>
              <w:t>以下罚款。对违法单位的法定代表人、主</w:t>
            </w:r>
            <w:r>
              <w:rPr>
                <w:color w:val="auto"/>
                <w:spacing w:val="-12"/>
                <w:sz w:val="21"/>
              </w:rPr>
              <w:t>要负责人、直接负责的主管人员和其他责</w:t>
            </w:r>
            <w:r>
              <w:rPr>
                <w:color w:val="auto"/>
                <w:spacing w:val="-3"/>
                <w:sz w:val="21"/>
              </w:rPr>
              <w:t>任人员并处所获收入</w:t>
            </w:r>
            <w:r>
              <w:rPr>
                <w:color w:val="auto"/>
                <w:sz w:val="21"/>
              </w:rPr>
              <w:t>2.</w:t>
            </w:r>
            <w:r>
              <w:rPr>
                <w:rFonts w:hint="eastAsia"/>
                <w:color w:val="auto"/>
                <w:sz w:val="21"/>
                <w:lang w:val="en-US" w:eastAsia="zh-CN"/>
              </w:rPr>
              <w:t>19</w:t>
            </w:r>
            <w:r>
              <w:rPr>
                <w:color w:val="auto"/>
                <w:spacing w:val="-12"/>
                <w:sz w:val="21"/>
              </w:rPr>
              <w:t xml:space="preserve"> 倍以上</w:t>
            </w:r>
            <w:r>
              <w:rPr>
                <w:color w:val="auto"/>
                <w:sz w:val="21"/>
              </w:rPr>
              <w:t>3</w:t>
            </w:r>
            <w:r>
              <w:rPr>
                <w:color w:val="auto"/>
                <w:spacing w:val="-21"/>
                <w:sz w:val="21"/>
              </w:rPr>
              <w:t xml:space="preserve"> 倍以下</w:t>
            </w:r>
            <w:r>
              <w:rPr>
                <w:color w:val="auto"/>
                <w:sz w:val="21"/>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05" w:hRule="atLeast"/>
        </w:trPr>
        <w:tc>
          <w:tcPr>
            <w:tcW w:w="562" w:type="dxa"/>
            <w:vMerge w:val="continue"/>
            <w:tcBorders>
              <w:top w:val="nil"/>
            </w:tcBorders>
            <w:vAlign w:val="top"/>
          </w:tcPr>
          <w:p>
            <w:pPr>
              <w:rPr>
                <w:color w:val="auto"/>
                <w:sz w:val="2"/>
                <w:szCs w:val="2"/>
              </w:rPr>
            </w:pPr>
          </w:p>
        </w:tc>
        <w:tc>
          <w:tcPr>
            <w:tcW w:w="646" w:type="dxa"/>
            <w:vMerge w:val="continue"/>
            <w:tcBorders>
              <w:top w:val="nil"/>
            </w:tcBorders>
            <w:vAlign w:val="top"/>
          </w:tcPr>
          <w:p>
            <w:pPr>
              <w:rPr>
                <w:color w:val="auto"/>
                <w:sz w:val="2"/>
                <w:szCs w:val="2"/>
              </w:rPr>
            </w:pPr>
          </w:p>
        </w:tc>
        <w:tc>
          <w:tcPr>
            <w:tcW w:w="538" w:type="dxa"/>
            <w:vAlign w:val="top"/>
          </w:tcPr>
          <w:p>
            <w:pPr>
              <w:pStyle w:val="8"/>
              <w:spacing w:before="1" w:line="242" w:lineRule="auto"/>
              <w:ind w:left="162" w:right="152"/>
              <w:jc w:val="both"/>
              <w:rPr>
                <w:b/>
                <w:color w:val="auto"/>
                <w:sz w:val="21"/>
              </w:rPr>
            </w:pPr>
            <w:r>
              <w:rPr>
                <w:b/>
                <w:color w:val="auto"/>
                <w:sz w:val="21"/>
              </w:rPr>
              <w:t>造成严重后果</w:t>
            </w:r>
          </w:p>
          <w:p>
            <w:pPr>
              <w:pStyle w:val="8"/>
              <w:spacing w:before="4" w:line="250" w:lineRule="exact"/>
              <w:ind w:left="162"/>
              <w:jc w:val="both"/>
              <w:rPr>
                <w:b/>
                <w:color w:val="auto"/>
                <w:sz w:val="21"/>
              </w:rPr>
            </w:pPr>
            <w:r>
              <w:rPr>
                <w:b/>
                <w:color w:val="auto"/>
                <w:w w:val="100"/>
                <w:sz w:val="21"/>
              </w:rPr>
              <w:t>的</w:t>
            </w:r>
          </w:p>
        </w:tc>
        <w:tc>
          <w:tcPr>
            <w:tcW w:w="2715" w:type="dxa"/>
            <w:vAlign w:val="top"/>
          </w:tcPr>
          <w:p>
            <w:pPr>
              <w:pStyle w:val="8"/>
              <w:rPr>
                <w:rFonts w:ascii="Times New Roman"/>
                <w:color w:val="auto"/>
                <w:sz w:val="20"/>
              </w:rPr>
            </w:pPr>
          </w:p>
        </w:tc>
        <w:tc>
          <w:tcPr>
            <w:tcW w:w="2714" w:type="dxa"/>
            <w:vAlign w:val="top"/>
          </w:tcPr>
          <w:p>
            <w:pPr>
              <w:pStyle w:val="8"/>
              <w:spacing w:before="4" w:line="242" w:lineRule="auto"/>
              <w:ind w:left="107" w:right="72"/>
              <w:rPr>
                <w:rFonts w:ascii="仿宋"/>
                <w:color w:val="auto"/>
                <w:spacing w:val="-4"/>
                <w:sz w:val="21"/>
              </w:rPr>
            </w:pPr>
          </w:p>
          <w:p>
            <w:r>
              <w:rPr>
                <w:color w:val="auto"/>
                <w:spacing w:val="-4"/>
                <w:sz w:val="21"/>
              </w:rPr>
              <w:t>对临床试验申办者处 30 万元以上 51 万元以下罚款。对违法单位的法定代表人、主要负责人、直接负责的主管人员和其他责任人员并处所获收入 0.3 倍以上</w:t>
            </w:r>
          </w:p>
          <w:p>
            <w:pPr>
              <w:pStyle w:val="8"/>
              <w:spacing w:before="4" w:line="242" w:lineRule="auto"/>
              <w:ind w:left="107" w:right="72"/>
              <w:jc w:val="both"/>
              <w:rPr>
                <w:color w:val="auto"/>
                <w:spacing w:val="-4"/>
                <w:sz w:val="21"/>
              </w:rPr>
            </w:pPr>
            <w:r>
              <w:rPr>
                <w:color w:val="auto"/>
                <w:spacing w:val="-4"/>
                <w:sz w:val="21"/>
              </w:rPr>
              <w:t>1.1 倍以下罚款。</w:t>
            </w:r>
          </w:p>
        </w:tc>
        <w:tc>
          <w:tcPr>
            <w:tcW w:w="2717" w:type="dxa"/>
            <w:vAlign w:val="top"/>
          </w:tcPr>
          <w:p>
            <w:pPr>
              <w:pStyle w:val="8"/>
              <w:spacing w:before="4" w:line="242" w:lineRule="auto"/>
              <w:ind w:left="107" w:right="72"/>
              <w:rPr>
                <w:rFonts w:ascii="仿宋"/>
                <w:color w:val="auto"/>
                <w:spacing w:val="-4"/>
                <w:sz w:val="21"/>
              </w:rPr>
            </w:pPr>
          </w:p>
          <w:p>
            <w:r>
              <w:rPr>
                <w:color w:val="auto"/>
                <w:spacing w:val="-4"/>
                <w:sz w:val="21"/>
              </w:rPr>
              <w:t>对临床试验申办者处 51 万元以上 79 万元以下罚款。对违法单位的法定代表人、主要负责人、直接负责的主管人员和其他责任人员并处所获收入 1.1 倍以上</w:t>
            </w:r>
          </w:p>
          <w:p>
            <w:pPr>
              <w:pStyle w:val="8"/>
              <w:spacing w:before="4" w:line="242" w:lineRule="auto"/>
              <w:ind w:left="107" w:right="72"/>
              <w:jc w:val="both"/>
              <w:rPr>
                <w:color w:val="auto"/>
                <w:spacing w:val="-4"/>
                <w:sz w:val="21"/>
              </w:rPr>
            </w:pPr>
            <w:r>
              <w:rPr>
                <w:color w:val="auto"/>
                <w:spacing w:val="-4"/>
                <w:sz w:val="21"/>
              </w:rPr>
              <w:t>2.2 倍以下罚款。</w:t>
            </w:r>
          </w:p>
        </w:tc>
        <w:tc>
          <w:tcPr>
            <w:tcW w:w="3900" w:type="dxa"/>
            <w:vAlign w:val="top"/>
          </w:tcPr>
          <w:p>
            <w:pPr>
              <w:pStyle w:val="8"/>
              <w:spacing w:before="4" w:line="242" w:lineRule="auto"/>
              <w:ind w:left="107" w:right="72"/>
              <w:rPr>
                <w:rFonts w:ascii="仿宋"/>
                <w:color w:val="auto"/>
                <w:spacing w:val="-4"/>
                <w:sz w:val="21"/>
              </w:rPr>
            </w:pPr>
          </w:p>
          <w:p>
            <w:pPr>
              <w:pStyle w:val="8"/>
              <w:spacing w:before="4" w:line="242" w:lineRule="auto"/>
              <w:ind w:left="107" w:right="72"/>
              <w:rPr>
                <w:color w:val="auto"/>
                <w:spacing w:val="-4"/>
                <w:sz w:val="21"/>
              </w:rPr>
            </w:pPr>
            <w:r>
              <w:rPr>
                <w:color w:val="auto"/>
                <w:spacing w:val="-4"/>
                <w:sz w:val="21"/>
              </w:rPr>
              <w:t>对临床试验申办者处 79 万元以上 100 万元以下罚款。对违法单位的法定代表人、主要负责人、直接负责的主管人员和其他责任人员并处所获收入2.2 倍以上3 倍以下罚款。</w:t>
            </w:r>
          </w:p>
        </w:tc>
      </w:tr>
    </w:tbl>
    <w:p>
      <w:pPr>
        <w:spacing w:after="0" w:line="242" w:lineRule="auto"/>
        <w:rPr>
          <w:color w:val="auto"/>
          <w:sz w:val="21"/>
        </w:rPr>
        <w:sectPr>
          <w:pgSz w:w="16840" w:h="11910" w:orient="landscape"/>
          <w:pgMar w:top="1100" w:right="1400" w:bottom="1760" w:left="1400" w:header="0" w:footer="1572" w:gutter="0"/>
          <w:pgNumType w:fmt="numberInDash"/>
          <w:cols w:space="720" w:num="1"/>
        </w:sectPr>
      </w:pPr>
    </w:p>
    <w:p>
      <w:pPr>
        <w:pStyle w:val="4"/>
        <w:spacing w:before="2"/>
        <w:rPr>
          <w:rFonts w:ascii="Times New Roman"/>
          <w:color w:val="auto"/>
          <w:sz w:val="26"/>
        </w:r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16"/>
              </w:rPr>
            </w:pPr>
          </w:p>
          <w:p>
            <w:pPr>
              <w:pStyle w:val="8"/>
              <w:ind w:left="175"/>
              <w:rPr>
                <w:b/>
                <w:color w:val="auto"/>
                <w:sz w:val="21"/>
              </w:rPr>
            </w:pPr>
            <w:r>
              <w:rPr>
                <w:b/>
                <w:color w:val="auto"/>
                <w:sz w:val="21"/>
              </w:rPr>
              <w:t>13</w:t>
            </w:r>
          </w:p>
        </w:tc>
        <w:tc>
          <w:tcPr>
            <w:tcW w:w="1179" w:type="dxa"/>
            <w:vAlign w:val="top"/>
          </w:tcPr>
          <w:p>
            <w:pPr>
              <w:pStyle w:val="8"/>
              <w:spacing w:before="3"/>
              <w:rPr>
                <w:rFonts w:ascii="Times New Roman"/>
                <w:color w:val="auto"/>
                <w:sz w:val="20"/>
              </w:rPr>
            </w:pPr>
          </w:p>
          <w:p>
            <w:pPr>
              <w:pStyle w:val="8"/>
              <w:spacing w:before="1"/>
              <w:ind w:left="145" w:right="139"/>
              <w:jc w:val="center"/>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医疗器械临床试验机构开展医疗器械临床试验未遵守临床试验质量管理规范的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83"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37"/>
              <w:ind w:left="145" w:right="139"/>
              <w:jc w:val="center"/>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ind w:left="527"/>
              <w:rPr>
                <w:color w:val="auto"/>
                <w:sz w:val="21"/>
              </w:rPr>
            </w:pPr>
            <w:r>
              <w:rPr>
                <w:color w:val="auto"/>
                <w:sz w:val="21"/>
              </w:rPr>
              <w:t>根据《医疗器械监督管理条例》第九十四条规定，由负责药品监督管理的部门责令改正或者立即停止临床试验，处 5 万元以</w:t>
            </w:r>
          </w:p>
          <w:p>
            <w:pPr>
              <w:pStyle w:val="8"/>
              <w:spacing w:before="5"/>
              <w:ind w:left="107"/>
              <w:rPr>
                <w:color w:val="auto"/>
                <w:sz w:val="21"/>
              </w:rPr>
            </w:pPr>
            <w:r>
              <w:rPr>
                <w:color w:val="auto"/>
                <w:sz w:val="21"/>
              </w:rPr>
              <w:t>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7" w:type="dxa"/>
            <w:vMerge w:val="continue"/>
            <w:tcBorders>
              <w:top w:val="nil"/>
            </w:tcBorders>
            <w:vAlign w:val="top"/>
          </w:tcPr>
          <w:p>
            <w:pPr>
              <w:rPr>
                <w:color w:val="auto"/>
                <w:sz w:val="2"/>
                <w:szCs w:val="2"/>
              </w:rPr>
            </w:pPr>
          </w:p>
        </w:tc>
        <w:tc>
          <w:tcPr>
            <w:tcW w:w="1179" w:type="dxa"/>
            <w:vAlign w:val="top"/>
          </w:tcPr>
          <w:p>
            <w:pPr>
              <w:pStyle w:val="8"/>
              <w:spacing w:before="147"/>
              <w:ind w:left="145" w:right="139"/>
              <w:jc w:val="center"/>
              <w:rPr>
                <w:b/>
                <w:color w:val="auto"/>
                <w:sz w:val="21"/>
              </w:rPr>
            </w:pPr>
            <w:r>
              <w:rPr>
                <w:b/>
                <w:color w:val="auto"/>
                <w:sz w:val="21"/>
              </w:rPr>
              <w:t>裁量等级</w:t>
            </w:r>
          </w:p>
        </w:tc>
        <w:tc>
          <w:tcPr>
            <w:tcW w:w="2715" w:type="dxa"/>
            <w:vAlign w:val="top"/>
          </w:tcPr>
          <w:p>
            <w:pPr>
              <w:pStyle w:val="8"/>
              <w:spacing w:before="147"/>
              <w:ind w:left="107"/>
              <w:rPr>
                <w:b/>
                <w:color w:val="auto"/>
                <w:sz w:val="21"/>
              </w:rPr>
            </w:pPr>
            <w:r>
              <w:rPr>
                <w:b/>
                <w:color w:val="auto"/>
                <w:sz w:val="21"/>
              </w:rPr>
              <w:t>减轻</w:t>
            </w:r>
          </w:p>
        </w:tc>
        <w:tc>
          <w:tcPr>
            <w:tcW w:w="2714" w:type="dxa"/>
            <w:vAlign w:val="top"/>
          </w:tcPr>
          <w:p>
            <w:pPr>
              <w:pStyle w:val="8"/>
              <w:spacing w:before="147"/>
              <w:ind w:left="107"/>
              <w:rPr>
                <w:b/>
                <w:color w:val="auto"/>
                <w:sz w:val="21"/>
              </w:rPr>
            </w:pPr>
            <w:r>
              <w:rPr>
                <w:b/>
                <w:color w:val="auto"/>
                <w:sz w:val="21"/>
              </w:rPr>
              <w:t>从轻</w:t>
            </w:r>
          </w:p>
        </w:tc>
        <w:tc>
          <w:tcPr>
            <w:tcW w:w="2717" w:type="dxa"/>
            <w:vAlign w:val="top"/>
          </w:tcPr>
          <w:p>
            <w:pPr>
              <w:pStyle w:val="8"/>
              <w:spacing w:before="147"/>
              <w:ind w:left="107"/>
              <w:rPr>
                <w:b/>
                <w:color w:val="auto"/>
                <w:sz w:val="21"/>
              </w:rPr>
            </w:pPr>
            <w:r>
              <w:rPr>
                <w:b/>
                <w:color w:val="auto"/>
                <w:sz w:val="21"/>
              </w:rPr>
              <w:t>一般</w:t>
            </w:r>
          </w:p>
        </w:tc>
        <w:tc>
          <w:tcPr>
            <w:tcW w:w="3900" w:type="dxa"/>
            <w:vAlign w:val="top"/>
          </w:tcPr>
          <w:p>
            <w:pPr>
              <w:pStyle w:val="8"/>
              <w:spacing w:before="147"/>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1"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spacing w:before="2"/>
              <w:rPr>
                <w:rFonts w:ascii="Times New Roman"/>
                <w:color w:val="auto"/>
                <w:sz w:val="16"/>
              </w:rPr>
            </w:pPr>
          </w:p>
          <w:p>
            <w:pPr>
              <w:pStyle w:val="8"/>
              <w:ind w:left="145" w:right="139"/>
              <w:jc w:val="center"/>
              <w:rPr>
                <w:b/>
                <w:color w:val="auto"/>
                <w:sz w:val="21"/>
              </w:rPr>
            </w:pPr>
            <w:r>
              <w:rPr>
                <w:b/>
                <w:color w:val="auto"/>
                <w:sz w:val="21"/>
              </w:rPr>
              <w:t>裁量情节</w:t>
            </w:r>
          </w:p>
        </w:tc>
        <w:tc>
          <w:tcPr>
            <w:tcW w:w="2715" w:type="dxa"/>
            <w:vAlign w:val="top"/>
          </w:tcPr>
          <w:p>
            <w:pPr>
              <w:pStyle w:val="8"/>
              <w:spacing w:before="3"/>
              <w:rPr>
                <w:rFonts w:ascii="Times New Roman"/>
                <w:color w:val="auto"/>
                <w:sz w:val="24"/>
              </w:rPr>
            </w:pPr>
          </w:p>
          <w:p>
            <w:pPr>
              <w:pStyle w:val="8"/>
              <w:spacing w:line="244" w:lineRule="auto"/>
              <w:ind w:left="107" w:right="98"/>
              <w:rPr>
                <w:color w:val="auto"/>
                <w:sz w:val="21"/>
              </w:rPr>
            </w:pPr>
            <w:r>
              <w:rPr>
                <w:color w:val="auto"/>
                <w:sz w:val="21"/>
              </w:rPr>
              <w:t>符合裁量规定减轻行政处罚情形的。</w:t>
            </w:r>
          </w:p>
        </w:tc>
        <w:tc>
          <w:tcPr>
            <w:tcW w:w="2714" w:type="dxa"/>
            <w:vAlign w:val="top"/>
          </w:tcPr>
          <w:p>
            <w:pPr>
              <w:pStyle w:val="8"/>
              <w:spacing w:before="3"/>
              <w:rPr>
                <w:rFonts w:ascii="Times New Roman"/>
                <w:color w:val="auto"/>
                <w:sz w:val="24"/>
              </w:rPr>
            </w:pPr>
          </w:p>
          <w:p>
            <w:pPr>
              <w:pStyle w:val="8"/>
              <w:spacing w:line="244" w:lineRule="auto"/>
              <w:ind w:left="107" w:right="95"/>
              <w:rPr>
                <w:color w:val="auto"/>
                <w:sz w:val="21"/>
              </w:rPr>
            </w:pPr>
            <w:r>
              <w:rPr>
                <w:color w:val="auto"/>
                <w:sz w:val="21"/>
              </w:rPr>
              <w:t>符合裁量规定从轻行政处罚情形的。</w:t>
            </w:r>
          </w:p>
        </w:tc>
        <w:tc>
          <w:tcPr>
            <w:tcW w:w="2717" w:type="dxa"/>
            <w:vAlign w:val="top"/>
          </w:tcPr>
          <w:p>
            <w:pPr>
              <w:pStyle w:val="8"/>
              <w:spacing w:before="3"/>
              <w:rPr>
                <w:rFonts w:ascii="Times New Roman"/>
                <w:color w:val="auto"/>
                <w:sz w:val="24"/>
              </w:rPr>
            </w:pPr>
          </w:p>
          <w:p>
            <w:pPr>
              <w:pStyle w:val="8"/>
              <w:spacing w:line="244" w:lineRule="auto"/>
              <w:ind w:left="107" w:right="98"/>
              <w:rPr>
                <w:color w:val="auto"/>
                <w:sz w:val="21"/>
              </w:rPr>
            </w:pPr>
            <w:r>
              <w:rPr>
                <w:color w:val="auto"/>
                <w:sz w:val="21"/>
              </w:rPr>
              <w:t>符合裁量规定一般行政处罚情形的。</w:t>
            </w:r>
          </w:p>
        </w:tc>
        <w:tc>
          <w:tcPr>
            <w:tcW w:w="3900" w:type="dxa"/>
            <w:vAlign w:val="top"/>
          </w:tcPr>
          <w:p>
            <w:pPr>
              <w:pStyle w:val="8"/>
              <w:rPr>
                <w:rFonts w:ascii="Times New Roman"/>
                <w:color w:val="auto"/>
                <w:sz w:val="20"/>
              </w:rPr>
            </w:pPr>
          </w:p>
          <w:p>
            <w:pPr>
              <w:pStyle w:val="8"/>
              <w:spacing w:before="2"/>
              <w:rPr>
                <w:rFonts w:ascii="Times New Roman"/>
                <w:color w:val="auto"/>
                <w:sz w:val="16"/>
              </w:rPr>
            </w:pPr>
          </w:p>
          <w:p>
            <w:pPr>
              <w:pStyle w:val="8"/>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24"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6"/>
              </w:rPr>
            </w:pPr>
          </w:p>
          <w:p>
            <w:pPr>
              <w:pStyle w:val="8"/>
              <w:ind w:left="145" w:right="139"/>
              <w:jc w:val="center"/>
              <w:rPr>
                <w:b/>
                <w:color w:val="auto"/>
                <w:sz w:val="21"/>
              </w:rPr>
            </w:pPr>
            <w:r>
              <w:rPr>
                <w:b/>
                <w:color w:val="auto"/>
                <w:sz w:val="21"/>
              </w:rPr>
              <w:t>裁量基准</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70" w:line="242" w:lineRule="auto"/>
              <w:ind w:left="107" w:right="97"/>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70" w:line="242" w:lineRule="auto"/>
              <w:ind w:left="107" w:right="94"/>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70" w:line="242" w:lineRule="auto"/>
              <w:ind w:left="107" w:right="96"/>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6"/>
              </w:rPr>
            </w:pPr>
          </w:p>
          <w:p>
            <w:pPr>
              <w:pStyle w:val="8"/>
              <w:ind w:left="105"/>
              <w:rPr>
                <w:color w:val="auto"/>
                <w:sz w:val="21"/>
              </w:rPr>
            </w:pPr>
            <w:r>
              <w:rPr>
                <w:color w:val="auto"/>
                <w:sz w:val="21"/>
              </w:rPr>
              <w:t>处 8.5 万元以上 10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5"/>
              <w:rPr>
                <w:rFonts w:ascii="Times New Roman"/>
                <w:color w:val="auto"/>
                <w:sz w:val="20"/>
              </w:rPr>
            </w:pPr>
          </w:p>
          <w:p>
            <w:pPr>
              <w:pStyle w:val="8"/>
              <w:spacing w:before="1"/>
              <w:ind w:left="175"/>
              <w:rPr>
                <w:b/>
                <w:color w:val="auto"/>
                <w:sz w:val="21"/>
              </w:rPr>
            </w:pPr>
            <w:r>
              <w:rPr>
                <w:b/>
                <w:color w:val="auto"/>
                <w:sz w:val="21"/>
              </w:rPr>
              <w:t>14</w:t>
            </w:r>
          </w:p>
        </w:tc>
        <w:tc>
          <w:tcPr>
            <w:tcW w:w="1179" w:type="dxa"/>
            <w:vAlign w:val="top"/>
          </w:tcPr>
          <w:p>
            <w:pPr>
              <w:pStyle w:val="8"/>
              <w:spacing w:before="3"/>
              <w:rPr>
                <w:rFonts w:ascii="Times New Roman"/>
                <w:color w:val="auto"/>
                <w:sz w:val="20"/>
              </w:rPr>
            </w:pPr>
          </w:p>
          <w:p>
            <w:pPr>
              <w:pStyle w:val="8"/>
              <w:spacing w:before="1"/>
              <w:ind w:left="145" w:right="139"/>
              <w:jc w:val="center"/>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医疗器械临床试验机构出具虚假报告的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51"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spacing w:before="133"/>
              <w:ind w:left="145" w:right="139"/>
              <w:jc w:val="center"/>
              <w:rPr>
                <w:b/>
                <w:color w:val="auto"/>
                <w:sz w:val="21"/>
              </w:rPr>
            </w:pPr>
            <w:r>
              <w:rPr>
                <w:b/>
                <w:color w:val="auto"/>
                <w:sz w:val="21"/>
              </w:rPr>
              <w:t>处罚依据</w:t>
            </w:r>
          </w:p>
        </w:tc>
        <w:tc>
          <w:tcPr>
            <w:tcW w:w="12046" w:type="dxa"/>
            <w:gridSpan w:val="4"/>
            <w:vAlign w:val="top"/>
          </w:tcPr>
          <w:p>
            <w:pPr>
              <w:pStyle w:val="8"/>
              <w:spacing w:line="242" w:lineRule="auto"/>
              <w:ind w:left="107" w:right="93" w:firstLine="420"/>
              <w:rPr>
                <w:color w:val="auto"/>
                <w:sz w:val="21"/>
              </w:rPr>
            </w:pPr>
            <w:r>
              <w:rPr>
                <w:color w:val="auto"/>
                <w:spacing w:val="-4"/>
                <w:sz w:val="21"/>
              </w:rPr>
              <w:t xml:space="preserve">根据《医疗器械监督管理条例》第九十五条规定，由负责药品监督管理的部门处 </w:t>
            </w:r>
            <w:r>
              <w:rPr>
                <w:color w:val="auto"/>
                <w:sz w:val="21"/>
              </w:rPr>
              <w:t>10</w:t>
            </w:r>
            <w:r>
              <w:rPr>
                <w:color w:val="auto"/>
                <w:spacing w:val="-10"/>
                <w:sz w:val="21"/>
              </w:rPr>
              <w:t xml:space="preserve"> 万元以上 </w:t>
            </w:r>
            <w:r>
              <w:rPr>
                <w:color w:val="auto"/>
                <w:sz w:val="21"/>
              </w:rPr>
              <w:t>30</w:t>
            </w:r>
            <w:r>
              <w:rPr>
                <w:color w:val="auto"/>
                <w:spacing w:val="-6"/>
                <w:sz w:val="21"/>
              </w:rPr>
              <w:t xml:space="preserve"> 万元以下罚款；有违法所得</w:t>
            </w:r>
            <w:r>
              <w:rPr>
                <w:color w:val="auto"/>
                <w:spacing w:val="-4"/>
                <w:sz w:val="21"/>
              </w:rPr>
              <w:t>的，没收违法所得；</w:t>
            </w:r>
            <w:r>
              <w:rPr>
                <w:color w:val="auto"/>
                <w:sz w:val="21"/>
              </w:rPr>
              <w:t>10</w:t>
            </w:r>
            <w:r>
              <w:rPr>
                <w:color w:val="auto"/>
                <w:spacing w:val="-9"/>
                <w:sz w:val="21"/>
              </w:rPr>
              <w:t xml:space="preserve"> 年内禁止其开展相关专业医疗器械临床试验。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7" w:type="dxa"/>
            <w:vMerge w:val="continue"/>
            <w:tcBorders>
              <w:top w:val="nil"/>
            </w:tcBorders>
            <w:vAlign w:val="top"/>
          </w:tcPr>
          <w:p>
            <w:pPr>
              <w:rPr>
                <w:color w:val="auto"/>
                <w:sz w:val="2"/>
                <w:szCs w:val="2"/>
              </w:rPr>
            </w:pPr>
          </w:p>
        </w:tc>
        <w:tc>
          <w:tcPr>
            <w:tcW w:w="1179" w:type="dxa"/>
            <w:vAlign w:val="top"/>
          </w:tcPr>
          <w:p>
            <w:pPr>
              <w:pStyle w:val="8"/>
              <w:spacing w:before="147"/>
              <w:ind w:left="145" w:right="139"/>
              <w:jc w:val="center"/>
              <w:rPr>
                <w:b/>
                <w:color w:val="auto"/>
                <w:sz w:val="21"/>
              </w:rPr>
            </w:pPr>
            <w:r>
              <w:rPr>
                <w:b/>
                <w:color w:val="auto"/>
                <w:sz w:val="21"/>
              </w:rPr>
              <w:t>裁量等级</w:t>
            </w:r>
          </w:p>
        </w:tc>
        <w:tc>
          <w:tcPr>
            <w:tcW w:w="2715" w:type="dxa"/>
            <w:vAlign w:val="top"/>
          </w:tcPr>
          <w:p>
            <w:pPr>
              <w:pStyle w:val="8"/>
              <w:spacing w:before="147"/>
              <w:ind w:left="107"/>
              <w:rPr>
                <w:b/>
                <w:color w:val="auto"/>
                <w:sz w:val="21"/>
              </w:rPr>
            </w:pPr>
            <w:r>
              <w:rPr>
                <w:b/>
                <w:color w:val="auto"/>
                <w:sz w:val="21"/>
              </w:rPr>
              <w:t>减轻</w:t>
            </w:r>
          </w:p>
        </w:tc>
        <w:tc>
          <w:tcPr>
            <w:tcW w:w="2714" w:type="dxa"/>
            <w:vAlign w:val="top"/>
          </w:tcPr>
          <w:p>
            <w:pPr>
              <w:pStyle w:val="8"/>
              <w:spacing w:before="147"/>
              <w:ind w:left="107"/>
              <w:rPr>
                <w:b/>
                <w:color w:val="auto"/>
                <w:sz w:val="21"/>
              </w:rPr>
            </w:pPr>
            <w:r>
              <w:rPr>
                <w:b/>
                <w:color w:val="auto"/>
                <w:sz w:val="21"/>
              </w:rPr>
              <w:t>从轻</w:t>
            </w:r>
          </w:p>
        </w:tc>
        <w:tc>
          <w:tcPr>
            <w:tcW w:w="2717" w:type="dxa"/>
            <w:vAlign w:val="top"/>
          </w:tcPr>
          <w:p>
            <w:pPr>
              <w:pStyle w:val="8"/>
              <w:spacing w:before="147"/>
              <w:ind w:left="107"/>
              <w:rPr>
                <w:b/>
                <w:color w:val="auto"/>
                <w:sz w:val="21"/>
              </w:rPr>
            </w:pPr>
            <w:r>
              <w:rPr>
                <w:b/>
                <w:color w:val="auto"/>
                <w:sz w:val="21"/>
              </w:rPr>
              <w:t>一般</w:t>
            </w:r>
          </w:p>
        </w:tc>
        <w:tc>
          <w:tcPr>
            <w:tcW w:w="3900" w:type="dxa"/>
            <w:vAlign w:val="top"/>
          </w:tcPr>
          <w:p>
            <w:pPr>
              <w:pStyle w:val="8"/>
              <w:spacing w:before="147"/>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9" w:hRule="atLeast"/>
        </w:trPr>
        <w:tc>
          <w:tcPr>
            <w:tcW w:w="567" w:type="dxa"/>
            <w:vMerge w:val="continue"/>
            <w:tcBorders>
              <w:top w:val="nil"/>
            </w:tcBorders>
            <w:vAlign w:val="top"/>
          </w:tcPr>
          <w:p>
            <w:pPr>
              <w:rPr>
                <w:color w:val="auto"/>
                <w:sz w:val="2"/>
                <w:szCs w:val="2"/>
              </w:rPr>
            </w:pPr>
          </w:p>
        </w:tc>
        <w:tc>
          <w:tcPr>
            <w:tcW w:w="1179" w:type="dxa"/>
            <w:vAlign w:val="top"/>
          </w:tcPr>
          <w:p>
            <w:pPr>
              <w:pStyle w:val="8"/>
              <w:spacing w:before="4"/>
              <w:rPr>
                <w:rFonts w:ascii="Times New Roman"/>
                <w:color w:val="auto"/>
                <w:sz w:val="20"/>
              </w:rPr>
            </w:pPr>
          </w:p>
          <w:p>
            <w:pPr>
              <w:pStyle w:val="8"/>
              <w:ind w:left="145" w:right="139"/>
              <w:jc w:val="center"/>
              <w:rPr>
                <w:b/>
                <w:color w:val="auto"/>
                <w:sz w:val="21"/>
              </w:rPr>
            </w:pPr>
            <w:r>
              <w:rPr>
                <w:b/>
                <w:color w:val="auto"/>
                <w:sz w:val="21"/>
              </w:rPr>
              <w:t>裁量情节</w:t>
            </w:r>
          </w:p>
        </w:tc>
        <w:tc>
          <w:tcPr>
            <w:tcW w:w="2715" w:type="dxa"/>
            <w:vAlign w:val="top"/>
          </w:tcPr>
          <w:p>
            <w:pPr>
              <w:pStyle w:val="8"/>
              <w:spacing w:before="97" w:line="244" w:lineRule="auto"/>
              <w:ind w:left="107" w:right="98"/>
              <w:rPr>
                <w:color w:val="auto"/>
                <w:sz w:val="21"/>
              </w:rPr>
            </w:pPr>
            <w:r>
              <w:rPr>
                <w:color w:val="auto"/>
                <w:sz w:val="21"/>
              </w:rPr>
              <w:t>符合裁量规定减轻行政处罚情形的。</w:t>
            </w:r>
          </w:p>
        </w:tc>
        <w:tc>
          <w:tcPr>
            <w:tcW w:w="2714" w:type="dxa"/>
            <w:vAlign w:val="top"/>
          </w:tcPr>
          <w:p>
            <w:pPr>
              <w:pStyle w:val="8"/>
              <w:spacing w:before="97" w:line="244"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4" w:lineRule="auto"/>
              <w:ind w:left="107" w:right="98"/>
              <w:rPr>
                <w:color w:val="auto"/>
                <w:sz w:val="21"/>
              </w:rPr>
            </w:pPr>
            <w:r>
              <w:rPr>
                <w:color w:val="auto"/>
                <w:sz w:val="21"/>
              </w:rPr>
              <w:t>符合裁量规定一般行政处罚情形的。</w:t>
            </w:r>
          </w:p>
        </w:tc>
        <w:tc>
          <w:tcPr>
            <w:tcW w:w="3900" w:type="dxa"/>
            <w:vAlign w:val="top"/>
          </w:tcPr>
          <w:p>
            <w:pPr>
              <w:pStyle w:val="8"/>
              <w:spacing w:before="4"/>
              <w:rPr>
                <w:rFonts w:ascii="Times New Roman"/>
                <w:color w:val="auto"/>
                <w:sz w:val="20"/>
              </w:rPr>
            </w:pPr>
          </w:p>
          <w:p>
            <w:pPr>
              <w:pStyle w:val="8"/>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21"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26"/>
              </w:rPr>
            </w:pPr>
          </w:p>
          <w:p>
            <w:pPr>
              <w:pStyle w:val="8"/>
              <w:ind w:left="145" w:right="139"/>
              <w:jc w:val="center"/>
              <w:rPr>
                <w:b/>
                <w:color w:val="auto"/>
                <w:sz w:val="21"/>
              </w:rPr>
            </w:pPr>
            <w:r>
              <w:rPr>
                <w:b/>
                <w:color w:val="auto"/>
                <w:sz w:val="21"/>
              </w:rPr>
              <w:t>裁量基准</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68" w:line="244" w:lineRule="auto"/>
              <w:ind w:left="107" w:right="94"/>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68" w:line="244" w:lineRule="auto"/>
              <w:ind w:left="107" w:right="96"/>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26"/>
              </w:rPr>
            </w:pPr>
          </w:p>
          <w:p>
            <w:pPr>
              <w:pStyle w:val="8"/>
              <w:ind w:left="105"/>
              <w:rPr>
                <w:color w:val="auto"/>
                <w:sz w:val="21"/>
              </w:rPr>
            </w:pPr>
            <w:r>
              <w:rPr>
                <w:color w:val="auto"/>
                <w:sz w:val="21"/>
              </w:rPr>
              <w:t>处 24 万元以上 30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0"/>
        <w:gridCol w:w="523"/>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7"/>
              <w:rPr>
                <w:rFonts w:ascii="Times New Roman"/>
                <w:color w:val="auto"/>
                <w:sz w:val="18"/>
              </w:rPr>
            </w:pPr>
          </w:p>
          <w:p>
            <w:pPr>
              <w:pStyle w:val="8"/>
              <w:ind w:left="175"/>
              <w:rPr>
                <w:b/>
                <w:color w:val="auto"/>
                <w:sz w:val="21"/>
              </w:rPr>
            </w:pPr>
            <w:r>
              <w:rPr>
                <w:b/>
                <w:color w:val="auto"/>
                <w:sz w:val="21"/>
              </w:rPr>
              <w:t>15</w:t>
            </w:r>
          </w:p>
        </w:tc>
        <w:tc>
          <w:tcPr>
            <w:tcW w:w="1183" w:type="dxa"/>
            <w:gridSpan w:val="2"/>
            <w:vAlign w:val="top"/>
          </w:tcPr>
          <w:p>
            <w:pPr>
              <w:pStyle w:val="8"/>
              <w:spacing w:before="149"/>
              <w:ind w:left="170"/>
              <w:rPr>
                <w:b/>
                <w:color w:val="auto"/>
                <w:sz w:val="21"/>
              </w:rPr>
            </w:pPr>
            <w:r>
              <w:rPr>
                <w:b/>
                <w:color w:val="auto"/>
                <w:sz w:val="21"/>
              </w:rPr>
              <w:t>违法行为</w:t>
            </w:r>
          </w:p>
        </w:tc>
        <w:tc>
          <w:tcPr>
            <w:tcW w:w="12046" w:type="dxa"/>
            <w:gridSpan w:val="4"/>
            <w:vAlign w:val="top"/>
          </w:tcPr>
          <w:p>
            <w:pPr>
              <w:pStyle w:val="8"/>
              <w:spacing w:before="149"/>
              <w:ind w:left="528"/>
              <w:rPr>
                <w:color w:val="auto"/>
                <w:sz w:val="21"/>
              </w:rPr>
            </w:pPr>
            <w:r>
              <w:rPr>
                <w:color w:val="auto"/>
                <w:sz w:val="21"/>
              </w:rPr>
              <w:t>违反本条例有关医疗器械广告管理规定的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24"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26"/>
              </w:rPr>
            </w:pPr>
          </w:p>
          <w:p>
            <w:pPr>
              <w:pStyle w:val="8"/>
              <w:ind w:left="170"/>
              <w:rPr>
                <w:b/>
                <w:color w:val="auto"/>
                <w:sz w:val="21"/>
              </w:rPr>
            </w:pPr>
            <w:r>
              <w:rPr>
                <w:b/>
                <w:color w:val="auto"/>
                <w:sz w:val="21"/>
              </w:rPr>
              <w:t>处罚依据</w:t>
            </w:r>
          </w:p>
        </w:tc>
        <w:tc>
          <w:tcPr>
            <w:tcW w:w="12046" w:type="dxa"/>
            <w:gridSpan w:val="4"/>
            <w:vAlign w:val="top"/>
          </w:tcPr>
          <w:p>
            <w:pPr>
              <w:pStyle w:val="8"/>
              <w:spacing w:before="1" w:line="242" w:lineRule="auto"/>
              <w:ind w:left="108" w:right="-15" w:firstLine="420"/>
              <w:rPr>
                <w:color w:val="auto"/>
                <w:sz w:val="21"/>
              </w:rPr>
            </w:pPr>
            <w:r>
              <w:rPr>
                <w:color w:val="auto"/>
                <w:spacing w:val="-8"/>
                <w:sz w:val="21"/>
              </w:rPr>
              <w:t>根据《医疗器械监督管理条例》第九十七条规定，违反本条例有关医疗器械广告管理规定的，依照《中华人民共和国广告法》</w:t>
            </w:r>
            <w:r>
              <w:rPr>
                <w:color w:val="auto"/>
                <w:spacing w:val="-5"/>
                <w:sz w:val="21"/>
              </w:rPr>
              <w:t>的规定给予处罚。</w:t>
            </w:r>
          </w:p>
          <w:p>
            <w:pPr>
              <w:pStyle w:val="8"/>
              <w:spacing w:before="1" w:line="242" w:lineRule="auto"/>
              <w:ind w:left="108" w:right="98" w:firstLine="420"/>
              <w:jc w:val="both"/>
              <w:rPr>
                <w:color w:val="auto"/>
                <w:sz w:val="21"/>
              </w:rPr>
            </w:pPr>
            <w:r>
              <w:rPr>
                <w:color w:val="auto"/>
                <w:spacing w:val="-1"/>
                <w:sz w:val="21"/>
              </w:rPr>
              <w:t xml:space="preserve">《中华人民共和国广告法》第五十八条 有下列行为之一的，由市场监督管理部门责令停止发布广告，责令广告主在相应范围内消除影响，处广告费用一倍以上三倍以下的罚款，广告费用无法计算或者明显偏低的，处十万元以上二十万元以下的罚款； 情节严重的，处广告费用三倍以上五倍以下的罚款，广告费用无法计算或者明显偏低的，处二十万元以上一百万元以下的罚款， </w:t>
            </w:r>
            <w:r>
              <w:rPr>
                <w:color w:val="auto"/>
                <w:spacing w:val="-3"/>
                <w:sz w:val="21"/>
              </w:rPr>
              <w:t>可以吊销营业执照，并由广告审查机关撤销广告审查批准文件、一年内不受理其广告审查申请：</w:t>
            </w:r>
          </w:p>
          <w:p>
            <w:pPr>
              <w:pStyle w:val="8"/>
              <w:spacing w:before="3"/>
              <w:ind w:left="528"/>
              <w:rPr>
                <w:color w:val="auto"/>
                <w:sz w:val="21"/>
              </w:rPr>
            </w:pPr>
            <w:r>
              <w:rPr>
                <w:color w:val="auto"/>
                <w:sz w:val="21"/>
              </w:rPr>
              <w:t>（一）违反本法第十六条规定发布医疗、药品、医疗器械广告的；</w:t>
            </w:r>
          </w:p>
          <w:p>
            <w:pPr>
              <w:pStyle w:val="8"/>
              <w:spacing w:before="2" w:line="244" w:lineRule="auto"/>
              <w:ind w:left="108" w:right="98" w:firstLine="420"/>
              <w:rPr>
                <w:color w:val="auto"/>
                <w:sz w:val="21"/>
              </w:rPr>
            </w:pPr>
            <w:r>
              <w:rPr>
                <w:color w:val="auto"/>
                <w:sz w:val="21"/>
              </w:rPr>
              <w:t>（二）违反本法第十七条规定，在广告中涉及疾病治疗功能，以及使用医疗用语或者易使推销的商品与药品、医疗器械相混淆的用语的；</w:t>
            </w:r>
          </w:p>
          <w:p>
            <w:pPr>
              <w:pStyle w:val="8"/>
              <w:spacing w:line="248" w:lineRule="exact"/>
              <w:ind w:left="528"/>
              <w:rPr>
                <w:color w:val="auto"/>
                <w:sz w:val="21"/>
              </w:rPr>
            </w:pPr>
            <w:r>
              <w:rPr>
                <w:color w:val="auto"/>
                <w:sz w:val="21"/>
              </w:rPr>
              <w:t>（十四）违反本法第四十六条规定，未经审查发布广告的。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5"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3"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5"/>
              <w:rPr>
                <w:rFonts w:ascii="Times New Roman"/>
                <w:color w:val="auto"/>
                <w:sz w:val="18"/>
              </w:rPr>
            </w:pPr>
          </w:p>
          <w:p>
            <w:pPr>
              <w:pStyle w:val="8"/>
              <w:ind w:left="170"/>
              <w:rPr>
                <w:b/>
                <w:color w:val="auto"/>
                <w:sz w:val="21"/>
              </w:rPr>
            </w:pPr>
            <w:r>
              <w:rPr>
                <w:b/>
                <w:color w:val="auto"/>
                <w:sz w:val="21"/>
              </w:rPr>
              <w:t>裁量情节</w:t>
            </w:r>
          </w:p>
        </w:tc>
        <w:tc>
          <w:tcPr>
            <w:tcW w:w="2715" w:type="dxa"/>
            <w:vAlign w:val="top"/>
          </w:tcPr>
          <w:p>
            <w:pPr>
              <w:pStyle w:val="8"/>
              <w:spacing w:before="75" w:line="244" w:lineRule="auto"/>
              <w:ind w:left="108" w:right="97"/>
              <w:rPr>
                <w:color w:val="auto"/>
                <w:sz w:val="21"/>
              </w:rPr>
            </w:pPr>
            <w:r>
              <w:rPr>
                <w:color w:val="auto"/>
                <w:sz w:val="21"/>
              </w:rPr>
              <w:t>符合裁量规定减轻行政处罚情形的。</w:t>
            </w:r>
          </w:p>
        </w:tc>
        <w:tc>
          <w:tcPr>
            <w:tcW w:w="2714" w:type="dxa"/>
            <w:vAlign w:val="top"/>
          </w:tcPr>
          <w:p>
            <w:pPr>
              <w:pStyle w:val="8"/>
              <w:spacing w:before="75" w:line="244" w:lineRule="auto"/>
              <w:ind w:left="108" w:right="94"/>
              <w:rPr>
                <w:color w:val="auto"/>
                <w:sz w:val="21"/>
              </w:rPr>
            </w:pPr>
            <w:r>
              <w:rPr>
                <w:color w:val="auto"/>
                <w:sz w:val="21"/>
              </w:rPr>
              <w:t>符合裁量规定从轻行政处罚情形的。</w:t>
            </w:r>
          </w:p>
        </w:tc>
        <w:tc>
          <w:tcPr>
            <w:tcW w:w="2717" w:type="dxa"/>
            <w:vAlign w:val="top"/>
          </w:tcPr>
          <w:p>
            <w:pPr>
              <w:pStyle w:val="8"/>
              <w:spacing w:before="75" w:line="244" w:lineRule="auto"/>
              <w:ind w:left="108" w:right="97"/>
              <w:rPr>
                <w:color w:val="auto"/>
                <w:sz w:val="21"/>
              </w:rPr>
            </w:pPr>
            <w:r>
              <w:rPr>
                <w:color w:val="auto"/>
                <w:sz w:val="21"/>
              </w:rPr>
              <w:t>符合裁量规定一般行政处罚情形的。</w:t>
            </w:r>
          </w:p>
        </w:tc>
        <w:tc>
          <w:tcPr>
            <w:tcW w:w="3900" w:type="dxa"/>
            <w:vAlign w:val="top"/>
          </w:tcPr>
          <w:p>
            <w:pPr>
              <w:pStyle w:val="8"/>
              <w:spacing w:before="5"/>
              <w:rPr>
                <w:rFonts w:ascii="Times New Roman"/>
                <w:color w:val="auto"/>
                <w:sz w:val="18"/>
              </w:rPr>
            </w:pPr>
          </w:p>
          <w:p>
            <w:pPr>
              <w:pStyle w:val="8"/>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33" w:hRule="atLeast"/>
        </w:trPr>
        <w:tc>
          <w:tcPr>
            <w:tcW w:w="562" w:type="dxa"/>
            <w:vMerge w:val="continue"/>
            <w:tcBorders>
              <w:top w:val="nil"/>
            </w:tcBorders>
            <w:vAlign w:val="top"/>
          </w:tcPr>
          <w:p>
            <w:pPr>
              <w:rPr>
                <w:color w:val="auto"/>
                <w:sz w:val="2"/>
                <w:szCs w:val="2"/>
              </w:rPr>
            </w:pPr>
          </w:p>
        </w:tc>
        <w:tc>
          <w:tcPr>
            <w:tcW w:w="660"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7"/>
              </w:rPr>
            </w:pPr>
          </w:p>
          <w:p>
            <w:pPr>
              <w:pStyle w:val="8"/>
              <w:spacing w:before="1" w:line="244" w:lineRule="auto"/>
              <w:ind w:left="117" w:right="108"/>
              <w:rPr>
                <w:b/>
                <w:color w:val="auto"/>
                <w:sz w:val="21"/>
              </w:rPr>
            </w:pPr>
            <w:r>
              <w:rPr>
                <w:b/>
                <w:color w:val="auto"/>
                <w:sz w:val="21"/>
              </w:rPr>
              <w:t>裁量基准</w:t>
            </w:r>
          </w:p>
        </w:tc>
        <w:tc>
          <w:tcPr>
            <w:tcW w:w="523" w:type="dxa"/>
            <w:vAlign w:val="top"/>
          </w:tcPr>
          <w:p>
            <w:pPr>
              <w:pStyle w:val="8"/>
              <w:spacing w:before="10"/>
              <w:rPr>
                <w:rFonts w:ascii="Times New Roman"/>
                <w:color w:val="auto"/>
                <w:sz w:val="23"/>
              </w:rPr>
            </w:pPr>
          </w:p>
          <w:p>
            <w:pPr>
              <w:pStyle w:val="8"/>
              <w:spacing w:line="242" w:lineRule="auto"/>
              <w:ind w:left="155" w:right="145"/>
              <w:jc w:val="both"/>
              <w:rPr>
                <w:b/>
                <w:color w:val="auto"/>
                <w:sz w:val="21"/>
              </w:rPr>
            </w:pPr>
            <w:r>
              <w:rPr>
                <w:b/>
                <w:color w:val="auto"/>
                <w:sz w:val="21"/>
              </w:rPr>
              <w:t>一般情形</w:t>
            </w:r>
          </w:p>
        </w:tc>
        <w:tc>
          <w:tcPr>
            <w:tcW w:w="2715" w:type="dxa"/>
            <w:vAlign w:val="top"/>
          </w:tcPr>
          <w:p>
            <w:r>
              <w:rPr>
                <w:color w:val="auto"/>
                <w:spacing w:val="-11"/>
                <w:sz w:val="21"/>
              </w:rPr>
              <w:t xml:space="preserve">处广告费用 </w:t>
            </w:r>
            <w:r>
              <w:rPr>
                <w:color w:val="auto"/>
                <w:sz w:val="21"/>
              </w:rPr>
              <w:t>0.1</w:t>
            </w:r>
            <w:r>
              <w:rPr>
                <w:color w:val="auto"/>
                <w:spacing w:val="-25"/>
                <w:sz w:val="21"/>
              </w:rPr>
              <w:t xml:space="preserve"> 倍以上 </w:t>
            </w:r>
            <w:r>
              <w:rPr>
                <w:color w:val="auto"/>
                <w:sz w:val="21"/>
              </w:rPr>
              <w:t>1</w:t>
            </w:r>
            <w:r>
              <w:rPr>
                <w:color w:val="auto"/>
                <w:spacing w:val="-36"/>
                <w:sz w:val="21"/>
              </w:rPr>
              <w:t xml:space="preserve"> 倍</w:t>
            </w:r>
            <w:r>
              <w:rPr>
                <w:color w:val="auto"/>
                <w:spacing w:val="-7"/>
                <w:sz w:val="21"/>
              </w:rPr>
              <w:t>以下罚款，广告费用无法计</w:t>
            </w:r>
            <w:r>
              <w:rPr>
                <w:color w:val="auto"/>
                <w:spacing w:val="-10"/>
                <w:sz w:val="21"/>
              </w:rPr>
              <w:t xml:space="preserve">算或者明显偏低的，处 </w:t>
            </w:r>
            <w:r>
              <w:rPr>
                <w:color w:val="auto"/>
                <w:sz w:val="21"/>
              </w:rPr>
              <w:t>1</w:t>
            </w:r>
            <w:r>
              <w:rPr>
                <w:color w:val="auto"/>
                <w:spacing w:val="-31"/>
                <w:sz w:val="21"/>
              </w:rPr>
              <w:t xml:space="preserve"> 万</w:t>
            </w:r>
          </w:p>
          <w:p>
            <w:pPr>
              <w:pStyle w:val="8"/>
              <w:spacing w:before="1" w:line="242" w:lineRule="auto"/>
              <w:ind w:left="108" w:right="97"/>
              <w:jc w:val="both"/>
              <w:rPr>
                <w:color w:val="auto"/>
                <w:sz w:val="21"/>
              </w:rPr>
            </w:pPr>
            <w:r>
              <w:rPr>
                <w:color w:val="auto"/>
                <w:spacing w:val="-14"/>
                <w:sz w:val="21"/>
              </w:rPr>
              <w:t xml:space="preserve">元以上 </w:t>
            </w:r>
            <w:r>
              <w:rPr>
                <w:color w:val="auto"/>
                <w:sz w:val="21"/>
              </w:rPr>
              <w:t>10</w:t>
            </w:r>
            <w:r>
              <w:rPr>
                <w:color w:val="auto"/>
                <w:spacing w:val="-8"/>
                <w:sz w:val="21"/>
              </w:rPr>
              <w:t xml:space="preserve"> 万元以下罚款。</w:t>
            </w:r>
          </w:p>
        </w:tc>
        <w:tc>
          <w:tcPr>
            <w:tcW w:w="2714" w:type="dxa"/>
            <w:vAlign w:val="top"/>
          </w:tcPr>
          <w:p>
            <w:pPr>
              <w:pStyle w:val="8"/>
              <w:spacing w:before="138" w:line="242" w:lineRule="auto"/>
              <w:ind w:left="108" w:right="92"/>
              <w:jc w:val="both"/>
              <w:rPr>
                <w:color w:val="auto"/>
                <w:sz w:val="21"/>
              </w:rPr>
            </w:pPr>
            <w:r>
              <w:rPr>
                <w:color w:val="auto"/>
                <w:spacing w:val="-11"/>
                <w:sz w:val="21"/>
              </w:rPr>
              <w:t xml:space="preserve">处广告费用 </w:t>
            </w:r>
            <w:r>
              <w:rPr>
                <w:color w:val="auto"/>
                <w:sz w:val="21"/>
              </w:rPr>
              <w:t>1</w:t>
            </w:r>
            <w:r>
              <w:rPr>
                <w:color w:val="auto"/>
                <w:spacing w:val="-24"/>
                <w:sz w:val="21"/>
              </w:rPr>
              <w:t xml:space="preserve"> 倍以上 </w:t>
            </w:r>
            <w:r>
              <w:rPr>
                <w:color w:val="auto"/>
                <w:sz w:val="21"/>
              </w:rPr>
              <w:t>1.6</w:t>
            </w:r>
            <w:r>
              <w:rPr>
                <w:color w:val="auto"/>
                <w:spacing w:val="-35"/>
                <w:sz w:val="21"/>
              </w:rPr>
              <w:t xml:space="preserve"> 倍</w:t>
            </w:r>
            <w:r>
              <w:rPr>
                <w:color w:val="auto"/>
                <w:spacing w:val="-6"/>
                <w:sz w:val="21"/>
              </w:rPr>
              <w:t>以下罚款，广告费用无法计</w:t>
            </w:r>
            <w:r>
              <w:rPr>
                <w:color w:val="auto"/>
                <w:spacing w:val="6"/>
                <w:sz w:val="21"/>
              </w:rPr>
              <w:t xml:space="preserve">算或者明显偏低的，处 </w:t>
            </w:r>
            <w:r>
              <w:rPr>
                <w:color w:val="auto"/>
                <w:spacing w:val="-3"/>
                <w:sz w:val="21"/>
              </w:rPr>
              <w:t>10</w:t>
            </w:r>
          </w:p>
          <w:p>
            <w:pPr>
              <w:pStyle w:val="8"/>
              <w:spacing w:before="3"/>
              <w:ind w:left="108"/>
              <w:jc w:val="both"/>
              <w:rPr>
                <w:color w:val="auto"/>
                <w:sz w:val="21"/>
              </w:rPr>
            </w:pPr>
            <w:r>
              <w:rPr>
                <w:color w:val="auto"/>
                <w:spacing w:val="-13"/>
                <w:sz w:val="21"/>
              </w:rPr>
              <w:t xml:space="preserve">万元以上 </w:t>
            </w:r>
            <w:r>
              <w:rPr>
                <w:color w:val="auto"/>
                <w:sz w:val="21"/>
              </w:rPr>
              <w:t>13</w:t>
            </w:r>
            <w:r>
              <w:rPr>
                <w:color w:val="auto"/>
                <w:spacing w:val="-13"/>
                <w:sz w:val="21"/>
              </w:rPr>
              <w:t xml:space="preserve"> 万元以下罚款。</w:t>
            </w:r>
          </w:p>
        </w:tc>
        <w:tc>
          <w:tcPr>
            <w:tcW w:w="2717" w:type="dxa"/>
            <w:vAlign w:val="top"/>
          </w:tcPr>
          <w:p>
            <w:r>
              <w:rPr>
                <w:color w:val="auto"/>
                <w:spacing w:val="-8"/>
                <w:sz w:val="21"/>
              </w:rPr>
              <w:t xml:space="preserve">处广告费用 </w:t>
            </w:r>
            <w:r>
              <w:rPr>
                <w:color w:val="auto"/>
                <w:sz w:val="21"/>
              </w:rPr>
              <w:t>1.6</w:t>
            </w:r>
            <w:r>
              <w:rPr>
                <w:color w:val="auto"/>
                <w:spacing w:val="-17"/>
                <w:sz w:val="21"/>
              </w:rPr>
              <w:t xml:space="preserve"> 倍以上 </w:t>
            </w:r>
            <w:r>
              <w:rPr>
                <w:color w:val="auto"/>
                <w:spacing w:val="-8"/>
                <w:sz w:val="21"/>
              </w:rPr>
              <w:t xml:space="preserve">2.4 </w:t>
            </w:r>
            <w:r>
              <w:rPr>
                <w:color w:val="auto"/>
                <w:spacing w:val="-7"/>
                <w:sz w:val="21"/>
              </w:rPr>
              <w:t>倍以下罚款，广告费用无法</w:t>
            </w:r>
            <w:r>
              <w:rPr>
                <w:color w:val="auto"/>
                <w:spacing w:val="-13"/>
                <w:sz w:val="21"/>
              </w:rPr>
              <w:t xml:space="preserve">计算或者明显偏低的，处 </w:t>
            </w:r>
            <w:r>
              <w:rPr>
                <w:color w:val="auto"/>
                <w:spacing w:val="-3"/>
                <w:sz w:val="21"/>
              </w:rPr>
              <w:t>13</w:t>
            </w:r>
          </w:p>
          <w:p>
            <w:pPr>
              <w:pStyle w:val="8"/>
              <w:spacing w:before="138" w:line="242" w:lineRule="auto"/>
              <w:ind w:left="108" w:right="95"/>
              <w:jc w:val="both"/>
              <w:rPr>
                <w:color w:val="auto"/>
                <w:sz w:val="21"/>
              </w:rPr>
            </w:pPr>
            <w:r>
              <w:rPr>
                <w:color w:val="auto"/>
                <w:spacing w:val="-13"/>
                <w:sz w:val="21"/>
              </w:rPr>
              <w:t xml:space="preserve">万元以上 </w:t>
            </w:r>
            <w:r>
              <w:rPr>
                <w:color w:val="auto"/>
                <w:sz w:val="21"/>
              </w:rPr>
              <w:t>17</w:t>
            </w:r>
            <w:r>
              <w:rPr>
                <w:color w:val="auto"/>
                <w:spacing w:val="-13"/>
                <w:sz w:val="21"/>
              </w:rPr>
              <w:t xml:space="preserve"> 万元以下罚款。</w:t>
            </w:r>
          </w:p>
        </w:tc>
        <w:tc>
          <w:tcPr>
            <w:tcW w:w="3900" w:type="dxa"/>
            <w:vAlign w:val="top"/>
          </w:tcPr>
          <w:p>
            <w:pPr>
              <w:pStyle w:val="8"/>
              <w:spacing w:before="0"/>
              <w:ind w:left="106"/>
              <w:rPr>
                <w:rFonts w:ascii="Times New Roman"/>
                <w:color w:val="auto"/>
                <w:sz w:val="23"/>
              </w:rPr>
            </w:pPr>
          </w:p>
          <w:p>
            <w:r>
              <w:rPr>
                <w:color w:val="auto"/>
                <w:spacing w:val="-10"/>
                <w:sz w:val="21"/>
              </w:rPr>
              <w:t xml:space="preserve">处广告费用 </w:t>
            </w:r>
            <w:r>
              <w:rPr>
                <w:color w:val="auto"/>
                <w:sz w:val="21"/>
              </w:rPr>
              <w:t>2.4</w:t>
            </w:r>
            <w:r>
              <w:rPr>
                <w:color w:val="auto"/>
                <w:spacing w:val="-21"/>
                <w:sz w:val="21"/>
              </w:rPr>
              <w:t xml:space="preserve"> 倍以上 </w:t>
            </w:r>
            <w:r>
              <w:rPr>
                <w:color w:val="auto"/>
                <w:sz w:val="21"/>
              </w:rPr>
              <w:t>3</w:t>
            </w:r>
            <w:r>
              <w:rPr>
                <w:color w:val="auto"/>
                <w:spacing w:val="-21"/>
                <w:sz w:val="21"/>
              </w:rPr>
              <w:t xml:space="preserve"> 倍以下罚款，广</w:t>
            </w:r>
          </w:p>
          <w:p>
            <w:r>
              <w:rPr>
                <w:color w:val="auto"/>
                <w:spacing w:val="-2"/>
                <w:sz w:val="21"/>
              </w:rPr>
              <w:t xml:space="preserve">告费用无法计算或者明显偏低的，处 </w:t>
            </w:r>
            <w:r>
              <w:rPr>
                <w:color w:val="auto"/>
                <w:sz w:val="21"/>
              </w:rPr>
              <w:t>17</w:t>
            </w:r>
          </w:p>
          <w:p>
            <w:pPr>
              <w:pStyle w:val="8"/>
              <w:spacing w:before="0"/>
              <w:ind w:left="106"/>
              <w:rPr>
                <w:color w:val="auto"/>
                <w:sz w:val="21"/>
              </w:rPr>
            </w:pPr>
            <w:r>
              <w:rPr>
                <w:color w:val="auto"/>
                <w:sz w:val="21"/>
              </w:rPr>
              <w:t>万元以上 20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3" w:hRule="atLeast"/>
        </w:trPr>
        <w:tc>
          <w:tcPr>
            <w:tcW w:w="562" w:type="dxa"/>
            <w:vMerge w:val="continue"/>
            <w:tcBorders>
              <w:top w:val="nil"/>
            </w:tcBorders>
            <w:vAlign w:val="top"/>
          </w:tcPr>
          <w:p>
            <w:pPr>
              <w:rPr>
                <w:color w:val="auto"/>
                <w:sz w:val="2"/>
                <w:szCs w:val="2"/>
              </w:rPr>
            </w:pPr>
          </w:p>
        </w:tc>
        <w:tc>
          <w:tcPr>
            <w:tcW w:w="660" w:type="dxa"/>
            <w:vMerge w:val="continue"/>
            <w:tcBorders>
              <w:top w:val="nil"/>
            </w:tcBorders>
            <w:vAlign w:val="top"/>
          </w:tcPr>
          <w:p>
            <w:pPr>
              <w:rPr>
                <w:color w:val="auto"/>
                <w:sz w:val="2"/>
                <w:szCs w:val="2"/>
              </w:rPr>
            </w:pPr>
          </w:p>
        </w:tc>
        <w:tc>
          <w:tcPr>
            <w:tcW w:w="523" w:type="dxa"/>
            <w:vAlign w:val="top"/>
          </w:tcPr>
          <w:p>
            <w:pPr>
              <w:pStyle w:val="8"/>
              <w:spacing w:before="1" w:line="242" w:lineRule="auto"/>
              <w:ind w:left="155" w:right="145"/>
              <w:jc w:val="both"/>
              <w:rPr>
                <w:b/>
                <w:color w:val="auto"/>
                <w:sz w:val="21"/>
              </w:rPr>
            </w:pPr>
            <w:r>
              <w:rPr>
                <w:b/>
                <w:color w:val="auto"/>
                <w:sz w:val="21"/>
              </w:rPr>
              <w:t>情节严</w:t>
            </w:r>
          </w:p>
          <w:p>
            <w:pPr>
              <w:pStyle w:val="8"/>
              <w:spacing w:before="3" w:line="270" w:lineRule="atLeast"/>
              <w:ind w:left="155" w:right="145"/>
              <w:jc w:val="both"/>
              <w:rPr>
                <w:b/>
                <w:color w:val="auto"/>
                <w:sz w:val="21"/>
              </w:rPr>
            </w:pPr>
            <w:r>
              <w:rPr>
                <w:b/>
                <w:color w:val="auto"/>
                <w:sz w:val="21"/>
              </w:rPr>
              <w:t>重的</w:t>
            </w:r>
          </w:p>
        </w:tc>
        <w:tc>
          <w:tcPr>
            <w:tcW w:w="2715" w:type="dxa"/>
            <w:vAlign w:val="top"/>
          </w:tcPr>
          <w:p>
            <w:pPr>
              <w:pStyle w:val="8"/>
              <w:rPr>
                <w:rFonts w:ascii="Times New Roman"/>
                <w:color w:val="auto"/>
                <w:sz w:val="20"/>
              </w:rPr>
            </w:pPr>
          </w:p>
        </w:tc>
        <w:tc>
          <w:tcPr>
            <w:tcW w:w="2714" w:type="dxa"/>
            <w:vAlign w:val="top"/>
          </w:tcPr>
          <w:p>
            <w:r>
              <w:rPr>
                <w:color w:val="auto"/>
                <w:spacing w:val="-11"/>
                <w:sz w:val="21"/>
              </w:rPr>
              <w:t xml:space="preserve">处广告费用 </w:t>
            </w:r>
            <w:r>
              <w:rPr>
                <w:color w:val="auto"/>
                <w:sz w:val="21"/>
              </w:rPr>
              <w:t>3</w:t>
            </w:r>
            <w:r>
              <w:rPr>
                <w:color w:val="auto"/>
                <w:spacing w:val="-24"/>
                <w:sz w:val="21"/>
              </w:rPr>
              <w:t xml:space="preserve"> 倍以上 </w:t>
            </w:r>
            <w:r>
              <w:rPr>
                <w:color w:val="auto"/>
                <w:sz w:val="21"/>
              </w:rPr>
              <w:t>3.6</w:t>
            </w:r>
            <w:r>
              <w:rPr>
                <w:color w:val="auto"/>
                <w:spacing w:val="-35"/>
                <w:sz w:val="21"/>
              </w:rPr>
              <w:t xml:space="preserve"> 倍</w:t>
            </w:r>
            <w:r>
              <w:rPr>
                <w:color w:val="auto"/>
                <w:spacing w:val="-6"/>
                <w:sz w:val="21"/>
              </w:rPr>
              <w:t>以下罚款，广告费用无法计</w:t>
            </w:r>
            <w:r>
              <w:rPr>
                <w:color w:val="auto"/>
                <w:spacing w:val="6"/>
                <w:sz w:val="21"/>
              </w:rPr>
              <w:t>算或者明显偏低的，处</w:t>
            </w:r>
            <w:r>
              <w:rPr>
                <w:color w:val="auto"/>
                <w:spacing w:val="-3"/>
                <w:sz w:val="21"/>
              </w:rPr>
              <w:t>20</w:t>
            </w:r>
          </w:p>
          <w:p>
            <w:pPr>
              <w:pStyle w:val="8"/>
              <w:spacing w:before="1" w:line="242" w:lineRule="auto"/>
              <w:ind w:left="108" w:right="92"/>
              <w:jc w:val="both"/>
              <w:rPr>
                <w:color w:val="auto"/>
                <w:sz w:val="21"/>
              </w:rPr>
            </w:pPr>
            <w:r>
              <w:rPr>
                <w:color w:val="auto"/>
                <w:spacing w:val="-13"/>
                <w:sz w:val="21"/>
              </w:rPr>
              <w:t xml:space="preserve">万元以上 </w:t>
            </w:r>
            <w:r>
              <w:rPr>
                <w:color w:val="auto"/>
                <w:sz w:val="21"/>
              </w:rPr>
              <w:t>44</w:t>
            </w:r>
            <w:r>
              <w:rPr>
                <w:color w:val="auto"/>
                <w:spacing w:val="-13"/>
                <w:sz w:val="21"/>
              </w:rPr>
              <w:t xml:space="preserve"> 万元以下罚款。</w:t>
            </w:r>
          </w:p>
        </w:tc>
        <w:tc>
          <w:tcPr>
            <w:tcW w:w="2717" w:type="dxa"/>
            <w:vAlign w:val="top"/>
          </w:tcPr>
          <w:p>
            <w:r>
              <w:rPr>
                <w:color w:val="auto"/>
                <w:spacing w:val="-8"/>
                <w:sz w:val="21"/>
              </w:rPr>
              <w:t xml:space="preserve">处广告费用 </w:t>
            </w:r>
            <w:r>
              <w:rPr>
                <w:color w:val="auto"/>
                <w:sz w:val="21"/>
              </w:rPr>
              <w:t>3.6</w:t>
            </w:r>
            <w:r>
              <w:rPr>
                <w:color w:val="auto"/>
                <w:spacing w:val="-17"/>
                <w:sz w:val="21"/>
              </w:rPr>
              <w:t xml:space="preserve"> 倍以上 </w:t>
            </w:r>
            <w:r>
              <w:rPr>
                <w:color w:val="auto"/>
                <w:spacing w:val="-8"/>
                <w:sz w:val="21"/>
              </w:rPr>
              <w:t xml:space="preserve">4.4 </w:t>
            </w:r>
            <w:r>
              <w:rPr>
                <w:color w:val="auto"/>
                <w:spacing w:val="-7"/>
                <w:sz w:val="21"/>
              </w:rPr>
              <w:t>倍以下罚款，广告费用无法</w:t>
            </w:r>
            <w:r>
              <w:rPr>
                <w:color w:val="auto"/>
                <w:spacing w:val="-13"/>
                <w:sz w:val="21"/>
              </w:rPr>
              <w:t xml:space="preserve">计算或者明显偏低的，处 </w:t>
            </w:r>
            <w:r>
              <w:rPr>
                <w:color w:val="auto"/>
                <w:spacing w:val="-3"/>
                <w:sz w:val="21"/>
              </w:rPr>
              <w:t>44</w:t>
            </w:r>
          </w:p>
          <w:p>
            <w:pPr>
              <w:pStyle w:val="8"/>
              <w:spacing w:before="1" w:line="242" w:lineRule="auto"/>
              <w:ind w:left="108" w:right="95"/>
              <w:jc w:val="both"/>
              <w:rPr>
                <w:color w:val="auto"/>
                <w:sz w:val="21"/>
              </w:rPr>
            </w:pPr>
            <w:r>
              <w:rPr>
                <w:color w:val="auto"/>
                <w:spacing w:val="-13"/>
                <w:sz w:val="21"/>
              </w:rPr>
              <w:t xml:space="preserve">万元以上 </w:t>
            </w:r>
            <w:r>
              <w:rPr>
                <w:color w:val="auto"/>
                <w:sz w:val="21"/>
              </w:rPr>
              <w:t>76</w:t>
            </w:r>
            <w:r>
              <w:rPr>
                <w:color w:val="auto"/>
                <w:spacing w:val="-13"/>
                <w:sz w:val="21"/>
              </w:rPr>
              <w:t xml:space="preserve"> 万元以下罚款。</w:t>
            </w:r>
          </w:p>
        </w:tc>
        <w:tc>
          <w:tcPr>
            <w:tcW w:w="3900" w:type="dxa"/>
            <w:vAlign w:val="top"/>
          </w:tcPr>
          <w:p>
            <w:r>
              <w:rPr>
                <w:color w:val="auto"/>
                <w:spacing w:val="-10"/>
                <w:sz w:val="21"/>
              </w:rPr>
              <w:t xml:space="preserve">处广告费用 </w:t>
            </w:r>
            <w:r>
              <w:rPr>
                <w:color w:val="auto"/>
                <w:sz w:val="21"/>
              </w:rPr>
              <w:t>4.4</w:t>
            </w:r>
            <w:r>
              <w:rPr>
                <w:color w:val="auto"/>
                <w:spacing w:val="-21"/>
                <w:sz w:val="21"/>
              </w:rPr>
              <w:t xml:space="preserve"> 倍以上 </w:t>
            </w:r>
            <w:r>
              <w:rPr>
                <w:color w:val="auto"/>
                <w:sz w:val="21"/>
              </w:rPr>
              <w:t>5</w:t>
            </w:r>
            <w:r>
              <w:rPr>
                <w:color w:val="auto"/>
                <w:spacing w:val="-21"/>
                <w:sz w:val="21"/>
              </w:rPr>
              <w:t xml:space="preserve"> 倍以下罚款，广</w:t>
            </w:r>
          </w:p>
          <w:p>
            <w:r>
              <w:rPr>
                <w:color w:val="auto"/>
                <w:spacing w:val="-2"/>
                <w:sz w:val="21"/>
              </w:rPr>
              <w:t xml:space="preserve">告费用无法计算或者明显偏低的，处 </w:t>
            </w:r>
            <w:r>
              <w:rPr>
                <w:color w:val="auto"/>
                <w:sz w:val="21"/>
              </w:rPr>
              <w:t>76</w:t>
            </w:r>
          </w:p>
          <w:p>
            <w:pPr>
              <w:pStyle w:val="8"/>
              <w:spacing w:before="138"/>
              <w:ind w:left="106"/>
              <w:rPr>
                <w:color w:val="auto"/>
                <w:sz w:val="21"/>
              </w:rPr>
            </w:pPr>
            <w:r>
              <w:rPr>
                <w:color w:val="auto"/>
                <w:sz w:val="21"/>
              </w:rPr>
              <w:t>万元以上 100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06"/>
        <w:gridCol w:w="478"/>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8"/>
              </w:rPr>
            </w:pPr>
          </w:p>
          <w:p>
            <w:pPr>
              <w:pStyle w:val="8"/>
              <w:spacing w:before="1"/>
              <w:ind w:left="175"/>
              <w:rPr>
                <w:b/>
                <w:color w:val="auto"/>
                <w:sz w:val="21"/>
              </w:rPr>
            </w:pPr>
            <w:r>
              <w:rPr>
                <w:b/>
                <w:color w:val="auto"/>
                <w:sz w:val="21"/>
              </w:rPr>
              <w:t>16</w:t>
            </w:r>
          </w:p>
        </w:tc>
        <w:tc>
          <w:tcPr>
            <w:tcW w:w="1184" w:type="dxa"/>
            <w:gridSpan w:val="2"/>
            <w:vAlign w:val="top"/>
          </w:tcPr>
          <w:p>
            <w:pPr>
              <w:pStyle w:val="8"/>
              <w:spacing w:before="9"/>
              <w:rPr>
                <w:rFonts w:ascii="Times New Roman"/>
                <w:color w:val="auto"/>
                <w:sz w:val="17"/>
              </w:rPr>
            </w:pPr>
          </w:p>
          <w:p>
            <w:pPr>
              <w:pStyle w:val="8"/>
              <w:ind w:left="170"/>
              <w:rPr>
                <w:b/>
                <w:color w:val="auto"/>
                <w:sz w:val="21"/>
              </w:rPr>
            </w:pPr>
            <w:r>
              <w:rPr>
                <w:b/>
                <w:color w:val="auto"/>
                <w:sz w:val="21"/>
              </w:rPr>
              <w:t>违法行为</w:t>
            </w:r>
          </w:p>
        </w:tc>
        <w:tc>
          <w:tcPr>
            <w:tcW w:w="12046" w:type="dxa"/>
            <w:gridSpan w:val="4"/>
            <w:vAlign w:val="top"/>
          </w:tcPr>
          <w:p>
            <w:pPr>
              <w:pStyle w:val="8"/>
              <w:spacing w:before="9"/>
              <w:rPr>
                <w:rFonts w:ascii="Times New Roman"/>
                <w:color w:val="auto"/>
                <w:sz w:val="17"/>
              </w:rPr>
            </w:pPr>
          </w:p>
          <w:p>
            <w:pPr>
              <w:pStyle w:val="8"/>
              <w:ind w:left="527"/>
              <w:rPr>
                <w:color w:val="auto"/>
                <w:sz w:val="21"/>
              </w:rPr>
            </w:pPr>
            <w:r>
              <w:rPr>
                <w:color w:val="auto"/>
                <w:sz w:val="21"/>
              </w:rPr>
              <w:t>境外医疗器械注册人、备案人指定的我国境内企业法人未依照《医疗器械监督管理条例》规定履行相关义务的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14"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7"/>
              </w:rPr>
            </w:pPr>
          </w:p>
          <w:p>
            <w:pPr>
              <w:pStyle w:val="8"/>
              <w:spacing w:before="1"/>
              <w:ind w:left="170"/>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spacing w:before="5"/>
              <w:rPr>
                <w:rFonts w:ascii="Times New Roman"/>
                <w:color w:val="auto"/>
                <w:sz w:val="23"/>
              </w:rPr>
            </w:pPr>
          </w:p>
          <w:p>
            <w:pPr>
              <w:pStyle w:val="8"/>
              <w:spacing w:line="242" w:lineRule="auto"/>
              <w:ind w:left="107" w:right="95" w:firstLine="420"/>
              <w:jc w:val="both"/>
              <w:rPr>
                <w:color w:val="auto"/>
                <w:sz w:val="21"/>
              </w:rPr>
            </w:pPr>
            <w:r>
              <w:rPr>
                <w:color w:val="auto"/>
                <w:spacing w:val="-1"/>
                <w:sz w:val="21"/>
              </w:rPr>
              <w:t xml:space="preserve">根据《医疗器械监督管理条例》第九十八条规定，由省、自治区、直辖市人民政府药品监督管理部门责令改正，给予警告， </w:t>
            </w:r>
            <w:r>
              <w:rPr>
                <w:color w:val="auto"/>
                <w:spacing w:val="-16"/>
                <w:sz w:val="21"/>
              </w:rPr>
              <w:t xml:space="preserve">并处 </w:t>
            </w:r>
            <w:r>
              <w:rPr>
                <w:color w:val="auto"/>
                <w:sz w:val="21"/>
              </w:rPr>
              <w:t>5</w:t>
            </w:r>
            <w:r>
              <w:rPr>
                <w:color w:val="auto"/>
                <w:spacing w:val="-17"/>
                <w:sz w:val="21"/>
              </w:rPr>
              <w:t xml:space="preserve"> 万元以上 </w:t>
            </w:r>
            <w:r>
              <w:rPr>
                <w:color w:val="auto"/>
                <w:sz w:val="21"/>
              </w:rPr>
              <w:t>10</w:t>
            </w:r>
            <w:r>
              <w:rPr>
                <w:color w:val="auto"/>
                <w:spacing w:val="-11"/>
                <w:sz w:val="21"/>
              </w:rPr>
              <w:t xml:space="preserve"> 万元以下罚款；情节严重的，处 </w:t>
            </w:r>
            <w:r>
              <w:rPr>
                <w:color w:val="auto"/>
                <w:sz w:val="21"/>
              </w:rPr>
              <w:t>10</w:t>
            </w:r>
            <w:r>
              <w:rPr>
                <w:color w:val="auto"/>
                <w:spacing w:val="-17"/>
                <w:sz w:val="21"/>
              </w:rPr>
              <w:t xml:space="preserve"> 万元以上 </w:t>
            </w:r>
            <w:r>
              <w:rPr>
                <w:color w:val="auto"/>
                <w:sz w:val="21"/>
              </w:rPr>
              <w:t>50</w:t>
            </w:r>
            <w:r>
              <w:rPr>
                <w:color w:val="auto"/>
                <w:spacing w:val="-8"/>
                <w:sz w:val="21"/>
              </w:rPr>
              <w:t xml:space="preserve"> 万元以下罚款，</w:t>
            </w:r>
            <w:r>
              <w:rPr>
                <w:color w:val="auto"/>
                <w:sz w:val="21"/>
              </w:rPr>
              <w:t>5</w:t>
            </w:r>
            <w:r>
              <w:rPr>
                <w:color w:val="auto"/>
                <w:spacing w:val="-8"/>
                <w:sz w:val="21"/>
              </w:rPr>
              <w:t xml:space="preserve"> 年内禁止其法定代表人、主要负责人、直接</w:t>
            </w:r>
            <w:r>
              <w:rPr>
                <w:color w:val="auto"/>
                <w:spacing w:val="-5"/>
                <w:sz w:val="21"/>
              </w:rPr>
              <w:t>负责的主管人员和其他责任人员从事医疗器械生产经营活动。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7"/>
              <w:rPr>
                <w:b/>
                <w:color w:val="auto"/>
                <w:sz w:val="21"/>
              </w:rPr>
            </w:pPr>
            <w:r>
              <w:rPr>
                <w:b/>
                <w:color w:val="auto"/>
                <w:sz w:val="21"/>
              </w:rPr>
              <w:t>减轻</w:t>
            </w:r>
          </w:p>
        </w:tc>
        <w:tc>
          <w:tcPr>
            <w:tcW w:w="2714" w:type="dxa"/>
            <w:vAlign w:val="top"/>
          </w:tcPr>
          <w:p>
            <w:pPr>
              <w:pStyle w:val="8"/>
              <w:spacing w:before="147"/>
              <w:ind w:left="107"/>
              <w:rPr>
                <w:b/>
                <w:color w:val="auto"/>
                <w:sz w:val="21"/>
              </w:rPr>
            </w:pPr>
            <w:r>
              <w:rPr>
                <w:b/>
                <w:color w:val="auto"/>
                <w:sz w:val="21"/>
              </w:rPr>
              <w:t>从轻</w:t>
            </w:r>
          </w:p>
        </w:tc>
        <w:tc>
          <w:tcPr>
            <w:tcW w:w="2717" w:type="dxa"/>
            <w:vAlign w:val="top"/>
          </w:tcPr>
          <w:p>
            <w:pPr>
              <w:pStyle w:val="8"/>
              <w:spacing w:before="147"/>
              <w:ind w:left="107"/>
              <w:rPr>
                <w:b/>
                <w:color w:val="auto"/>
                <w:sz w:val="21"/>
              </w:rPr>
            </w:pPr>
            <w:r>
              <w:rPr>
                <w:b/>
                <w:color w:val="auto"/>
                <w:sz w:val="21"/>
              </w:rPr>
              <w:t>一般</w:t>
            </w:r>
          </w:p>
        </w:tc>
        <w:tc>
          <w:tcPr>
            <w:tcW w:w="3900" w:type="dxa"/>
            <w:vAlign w:val="top"/>
          </w:tcPr>
          <w:p>
            <w:pPr>
              <w:pStyle w:val="8"/>
              <w:spacing w:before="147"/>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4" w:lineRule="auto"/>
              <w:ind w:left="107" w:right="98"/>
              <w:rPr>
                <w:color w:val="auto"/>
                <w:sz w:val="21"/>
              </w:rPr>
            </w:pPr>
            <w:r>
              <w:rPr>
                <w:color w:val="auto"/>
                <w:sz w:val="21"/>
              </w:rPr>
              <w:t>符合裁量规定减轻行政处罚情形的。</w:t>
            </w:r>
          </w:p>
        </w:tc>
        <w:tc>
          <w:tcPr>
            <w:tcW w:w="2714" w:type="dxa"/>
            <w:vAlign w:val="top"/>
          </w:tcPr>
          <w:p>
            <w:pPr>
              <w:pStyle w:val="8"/>
              <w:spacing w:before="97" w:line="244" w:lineRule="auto"/>
              <w:ind w:left="107" w:right="95"/>
              <w:rPr>
                <w:color w:val="auto"/>
                <w:sz w:val="21"/>
              </w:rPr>
            </w:pPr>
            <w:r>
              <w:rPr>
                <w:color w:val="auto"/>
                <w:sz w:val="21"/>
              </w:rPr>
              <w:t>符合裁量规定从轻行政处罚情形的。</w:t>
            </w:r>
          </w:p>
        </w:tc>
        <w:tc>
          <w:tcPr>
            <w:tcW w:w="2717" w:type="dxa"/>
            <w:vAlign w:val="top"/>
          </w:tcPr>
          <w:p>
            <w:pPr>
              <w:pStyle w:val="8"/>
              <w:spacing w:before="97" w:line="244"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70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9"/>
              </w:rPr>
            </w:pPr>
          </w:p>
          <w:p>
            <w:pPr>
              <w:pStyle w:val="8"/>
              <w:spacing w:line="242" w:lineRule="auto"/>
              <w:ind w:left="141" w:right="130"/>
              <w:rPr>
                <w:b/>
                <w:color w:val="auto"/>
                <w:sz w:val="21"/>
              </w:rPr>
            </w:pPr>
            <w:r>
              <w:rPr>
                <w:b/>
                <w:color w:val="auto"/>
                <w:sz w:val="21"/>
              </w:rPr>
              <w:t>裁量基准</w:t>
            </w:r>
          </w:p>
        </w:tc>
        <w:tc>
          <w:tcPr>
            <w:tcW w:w="478" w:type="dxa"/>
            <w:vAlign w:val="top"/>
          </w:tcPr>
          <w:p>
            <w:pPr>
              <w:pStyle w:val="8"/>
              <w:rPr>
                <w:rFonts w:ascii="Times New Roman"/>
                <w:color w:val="auto"/>
                <w:sz w:val="20"/>
              </w:rPr>
            </w:pPr>
          </w:p>
          <w:p>
            <w:pPr>
              <w:pStyle w:val="8"/>
              <w:spacing w:before="162" w:line="242" w:lineRule="auto"/>
              <w:ind w:left="131" w:right="123"/>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7" w:right="97"/>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7"/>
                <w:sz w:val="21"/>
              </w:rPr>
              <w:t xml:space="preserve"> 万元以下</w:t>
            </w:r>
            <w:r>
              <w:rPr>
                <w:color w:val="auto"/>
                <w:sz w:val="21"/>
              </w:rPr>
              <w:t>罚款。</w:t>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7" w:right="94"/>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7" w:right="96"/>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29"/>
              </w:rPr>
            </w:pPr>
          </w:p>
          <w:p>
            <w:pPr>
              <w:pStyle w:val="8"/>
              <w:ind w:left="105"/>
              <w:rPr>
                <w:color w:val="auto"/>
                <w:sz w:val="21"/>
              </w:rPr>
            </w:pPr>
            <w:r>
              <w:rPr>
                <w:color w:val="auto"/>
                <w:sz w:val="21"/>
              </w:rPr>
              <w:t>处 8.5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706" w:type="dxa"/>
            <w:vMerge w:val="continue"/>
            <w:tcBorders>
              <w:top w:val="nil"/>
            </w:tcBorders>
            <w:vAlign w:val="top"/>
          </w:tcPr>
          <w:p>
            <w:pPr>
              <w:rPr>
                <w:color w:val="auto"/>
                <w:sz w:val="2"/>
                <w:szCs w:val="2"/>
              </w:rPr>
            </w:pPr>
          </w:p>
        </w:tc>
        <w:tc>
          <w:tcPr>
            <w:tcW w:w="478" w:type="dxa"/>
            <w:vAlign w:val="top"/>
          </w:tcPr>
          <w:p>
            <w:pPr>
              <w:pStyle w:val="8"/>
              <w:spacing w:before="2"/>
              <w:rPr>
                <w:rFonts w:ascii="Times New Roman"/>
                <w:color w:val="auto"/>
                <w:sz w:val="22"/>
              </w:rPr>
            </w:pPr>
          </w:p>
          <w:p>
            <w:pPr>
              <w:pStyle w:val="8"/>
              <w:spacing w:line="242" w:lineRule="auto"/>
              <w:ind w:left="131" w:right="123"/>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7" w:right="94"/>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7"/>
              </w:rPr>
            </w:pPr>
          </w:p>
          <w:p>
            <w:pPr>
              <w:pStyle w:val="8"/>
              <w:spacing w:line="242" w:lineRule="auto"/>
              <w:ind w:left="107" w:right="96"/>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29"/>
              </w:rPr>
            </w:pPr>
          </w:p>
          <w:p>
            <w:pPr>
              <w:pStyle w:val="8"/>
              <w:ind w:left="105"/>
              <w:rPr>
                <w:color w:val="auto"/>
                <w:sz w:val="21"/>
              </w:rPr>
            </w:pPr>
            <w:r>
              <w:rPr>
                <w:color w:val="auto"/>
                <w:sz w:val="21"/>
              </w:rPr>
              <w:t>处 38 万元以上 50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p>
      <w:pPr>
        <w:pStyle w:val="4"/>
        <w:spacing w:before="1"/>
        <w:rPr>
          <w:rFonts w:ascii="Times New Roman"/>
          <w:color w:val="auto"/>
          <w:sz w:val="22"/>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3：</w:t>
      </w:r>
    </w:p>
    <w:p>
      <w:pPr>
        <w:pStyle w:val="2"/>
        <w:ind w:left="416" w:firstLine="880" w:firstLineChars="200"/>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lang w:eastAsia="zh-CN"/>
        </w:rPr>
        <w:t>西藏</w:t>
      </w:r>
      <w:r>
        <w:rPr>
          <w:rFonts w:hint="eastAsia" w:ascii="方正小标宋简体" w:hAnsi="方正小标宋简体" w:eastAsia="方正小标宋简体" w:cs="方正小标宋简体"/>
          <w:color w:val="auto"/>
        </w:rPr>
        <w:t>自治区药品监督管理局化妆品行政处罚裁量基准（试行）</w:t>
      </w:r>
    </w:p>
    <w:p>
      <w:pPr>
        <w:pStyle w:val="4"/>
        <w:spacing w:before="18"/>
        <w:ind w:left="6360" w:right="6360"/>
        <w:jc w:val="center"/>
        <w:rPr>
          <w:rFonts w:hint="eastAsia" w:ascii="黑体" w:eastAsia="黑体"/>
          <w:color w:val="auto"/>
        </w:rPr>
      </w:pPr>
      <w:r>
        <w:rPr>
          <w:rFonts w:hint="eastAsia" w:ascii="黑体" w:eastAsia="黑体"/>
          <w:color w:val="auto"/>
        </w:rPr>
        <w:t>使用说明</w:t>
      </w:r>
    </w:p>
    <w:p>
      <w:pPr>
        <w:pStyle w:val="4"/>
        <w:rPr>
          <w:rFonts w:ascii="黑体"/>
          <w:color w:val="auto"/>
        </w:rPr>
      </w:pPr>
    </w:p>
    <w:p>
      <w:pPr>
        <w:pStyle w:val="4"/>
        <w:spacing w:before="2"/>
        <w:rPr>
          <w:rFonts w:ascii="黑体"/>
          <w:color w:val="auto"/>
          <w:sz w:val="26"/>
        </w:rPr>
      </w:pPr>
    </w:p>
    <w:p>
      <w:pPr>
        <w:pStyle w:val="4"/>
        <w:spacing w:line="338" w:lineRule="auto"/>
        <w:ind w:left="131" w:right="129" w:firstLine="641"/>
        <w:rPr>
          <w:color w:val="auto"/>
        </w:rPr>
      </w:pPr>
      <w:r>
        <w:rPr>
          <w:color w:val="auto"/>
        </w:rPr>
        <w:t>一、本基准只涉及化妆品行政处罚罚款自由裁量适用情形，警告、没收违法物品及违法所得、责令停产停业等不涉及自由裁量的，按照法律法规的规定进行适用。</w:t>
      </w:r>
    </w:p>
    <w:p>
      <w:pPr>
        <w:pStyle w:val="4"/>
        <w:spacing w:line="338" w:lineRule="auto"/>
        <w:ind w:left="131" w:right="129" w:firstLine="641"/>
        <w:rPr>
          <w:color w:val="auto"/>
        </w:rPr>
      </w:pPr>
      <w:r>
        <w:rPr>
          <w:color w:val="auto"/>
        </w:rPr>
        <w:t>二、本基准内容和语言表述与法律、法规、规章规定不一致的应当以法律、法规、规章规定为准。</w:t>
      </w:r>
    </w:p>
    <w:p>
      <w:pPr>
        <w:pStyle w:val="4"/>
        <w:spacing w:line="408" w:lineRule="exact"/>
        <w:ind w:left="772"/>
        <w:rPr>
          <w:color w:val="auto"/>
        </w:rPr>
      </w:pPr>
      <w:r>
        <w:rPr>
          <w:color w:val="auto"/>
          <w:spacing w:val="-13"/>
          <w:w w:val="99"/>
        </w:rPr>
        <w:t>三、本裁量基准中“以上”“以下”的含义如下：</w:t>
      </w:r>
    </w:p>
    <w:p>
      <w:pPr>
        <w:pStyle w:val="4"/>
        <w:spacing w:before="165"/>
        <w:ind w:left="772"/>
        <w:rPr>
          <w:color w:val="auto"/>
        </w:rPr>
      </w:pPr>
      <w:r>
        <w:rPr>
          <w:color w:val="auto"/>
          <w:spacing w:val="2"/>
          <w:w w:val="99"/>
        </w:rPr>
        <w:t>（</w:t>
      </w:r>
      <w:r>
        <w:rPr>
          <w:color w:val="auto"/>
          <w:w w:val="99"/>
        </w:rPr>
        <w:t>一）</w:t>
      </w:r>
      <w:r>
        <w:rPr>
          <w:color w:val="auto"/>
          <w:spacing w:val="-12"/>
          <w:w w:val="99"/>
        </w:rPr>
        <w:t>减轻处罚的“以上”含本数，“以下”不含本数；</w:t>
      </w:r>
    </w:p>
    <w:p>
      <w:pPr>
        <w:pStyle w:val="4"/>
        <w:spacing w:before="168"/>
        <w:ind w:left="772"/>
        <w:rPr>
          <w:color w:val="auto"/>
        </w:rPr>
      </w:pPr>
      <w:r>
        <w:rPr>
          <w:color w:val="auto"/>
          <w:spacing w:val="2"/>
          <w:w w:val="99"/>
        </w:rPr>
        <w:t>（</w:t>
      </w:r>
      <w:r>
        <w:rPr>
          <w:color w:val="auto"/>
          <w:w w:val="99"/>
        </w:rPr>
        <w:t>二）</w:t>
      </w:r>
      <w:r>
        <w:rPr>
          <w:color w:val="auto"/>
          <w:spacing w:val="-13"/>
          <w:w w:val="99"/>
        </w:rPr>
        <w:t>从轻、从重处罚的“以上”“以下”均含本数；</w:t>
      </w:r>
    </w:p>
    <w:p>
      <w:pPr>
        <w:pStyle w:val="4"/>
        <w:spacing w:before="166"/>
        <w:ind w:left="772"/>
        <w:rPr>
          <w:color w:val="auto"/>
        </w:rPr>
      </w:pPr>
      <w:r>
        <w:rPr>
          <w:color w:val="auto"/>
          <w:spacing w:val="2"/>
          <w:w w:val="99"/>
        </w:rPr>
        <w:t>（</w:t>
      </w:r>
      <w:r>
        <w:rPr>
          <w:color w:val="auto"/>
          <w:w w:val="99"/>
        </w:rPr>
        <w:t>三）</w:t>
      </w:r>
      <w:r>
        <w:rPr>
          <w:color w:val="auto"/>
          <w:spacing w:val="-13"/>
          <w:w w:val="99"/>
        </w:rPr>
        <w:t>一般处罚的“以上”“以下”均不含本数。</w:t>
      </w:r>
    </w:p>
    <w:p>
      <w:pPr>
        <w:pStyle w:val="4"/>
        <w:spacing w:before="169" w:line="338" w:lineRule="auto"/>
        <w:ind w:left="131" w:right="129" w:firstLine="641"/>
        <w:rPr>
          <w:color w:val="auto"/>
        </w:rPr>
      </w:pPr>
      <w:r>
        <w:rPr>
          <w:color w:val="auto"/>
        </w:rPr>
        <w:t>四、裁量基准栏中列明的罚款数据仅供参考。案件查办中涉及罚款的，应当依照《</w:t>
      </w:r>
      <w:r>
        <w:rPr>
          <w:rFonts w:hint="eastAsia"/>
          <w:color w:val="auto"/>
          <w:lang w:eastAsia="zh-CN"/>
        </w:rPr>
        <w:t>西藏</w:t>
      </w:r>
      <w:r>
        <w:rPr>
          <w:color w:val="auto"/>
        </w:rPr>
        <w:t>自治区药品监督管理局行政处罚裁量权适用规定》进行准确计算。</w:t>
      </w:r>
    </w:p>
    <w:p>
      <w:pPr>
        <w:spacing w:after="0" w:line="338" w:lineRule="auto"/>
        <w:rPr>
          <w:color w:val="auto"/>
        </w:rPr>
        <w:sectPr>
          <w:pgSz w:w="16840" w:h="11910" w:orient="landscape"/>
          <w:pgMar w:top="1100" w:right="1400" w:bottom="1760" w:left="1400" w:header="0" w:footer="1572" w:gutter="0"/>
          <w:pgNumType w:fmt="numberInDash"/>
          <w:cols w:space="720" w:num="1"/>
        </w:sectPr>
      </w:pPr>
    </w:p>
    <w:p>
      <w:pPr>
        <w:pStyle w:val="4"/>
        <w:spacing w:before="2"/>
        <w:rPr>
          <w:rFonts w:ascii="Times New Roman"/>
          <w:color w:val="auto"/>
          <w:sz w:val="26"/>
        </w:rPr>
      </w:pPr>
    </w:p>
    <w:tbl>
      <w:tblPr>
        <w:tblStyle w:val="7"/>
        <w:tblW w:w="13795"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652"/>
        <w:gridCol w:w="537"/>
        <w:gridCol w:w="2714"/>
        <w:gridCol w:w="2713"/>
        <w:gridCol w:w="2716"/>
        <w:gridCol w:w="38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9" w:hRule="atLeast"/>
        </w:trPr>
        <w:tc>
          <w:tcPr>
            <w:tcW w:w="564"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18"/>
              </w:rPr>
            </w:pPr>
          </w:p>
          <w:p>
            <w:pPr>
              <w:pStyle w:val="8"/>
              <w:ind w:left="7"/>
              <w:jc w:val="center"/>
              <w:rPr>
                <w:b/>
                <w:color w:val="auto"/>
                <w:sz w:val="21"/>
              </w:rPr>
            </w:pPr>
            <w:r>
              <w:rPr>
                <w:b/>
                <w:color w:val="auto"/>
                <w:w w:val="99"/>
                <w:sz w:val="21"/>
              </w:rPr>
              <w:t>1</w:t>
            </w:r>
          </w:p>
        </w:tc>
        <w:tc>
          <w:tcPr>
            <w:tcW w:w="1189" w:type="dxa"/>
            <w:gridSpan w:val="2"/>
            <w:vAlign w:val="top"/>
          </w:tcPr>
          <w:p>
            <w:pPr>
              <w:pStyle w:val="8"/>
              <w:rPr>
                <w:rFonts w:ascii="Times New Roman"/>
                <w:color w:val="auto"/>
                <w:sz w:val="20"/>
              </w:rPr>
            </w:pPr>
          </w:p>
          <w:p>
            <w:pPr>
              <w:pStyle w:val="8"/>
              <w:spacing w:before="8"/>
              <w:rPr>
                <w:rFonts w:ascii="Times New Roman"/>
                <w:color w:val="auto"/>
                <w:sz w:val="15"/>
              </w:rPr>
            </w:pPr>
          </w:p>
          <w:p>
            <w:pPr>
              <w:pStyle w:val="8"/>
              <w:spacing w:before="1"/>
              <w:ind w:left="175"/>
              <w:rPr>
                <w:b/>
                <w:color w:val="auto"/>
                <w:sz w:val="21"/>
              </w:rPr>
            </w:pPr>
            <w:r>
              <w:rPr>
                <w:b/>
                <w:color w:val="auto"/>
                <w:sz w:val="21"/>
              </w:rPr>
              <w:t>违法行为</w:t>
            </w:r>
          </w:p>
        </w:tc>
        <w:tc>
          <w:tcPr>
            <w:tcW w:w="12042" w:type="dxa"/>
            <w:gridSpan w:val="4"/>
            <w:vAlign w:val="top"/>
          </w:tcPr>
          <w:p>
            <w:pPr>
              <w:pStyle w:val="8"/>
              <w:spacing w:before="1" w:line="244" w:lineRule="auto"/>
              <w:ind w:left="529" w:right="1200"/>
              <w:rPr>
                <w:color w:val="auto"/>
                <w:sz w:val="21"/>
              </w:rPr>
            </w:pPr>
            <w:r>
              <w:rPr>
                <w:color w:val="auto"/>
                <w:sz w:val="21"/>
              </w:rPr>
              <w:t xml:space="preserve">未经许可从事化妆品生产活动，或者化妆品注册人、备案人委托未取得相应化妆品生产许可的企业生产化妆品； </w:t>
            </w:r>
          </w:p>
          <w:p>
            <w:pPr>
              <w:pStyle w:val="8"/>
              <w:spacing w:before="1" w:line="244" w:lineRule="auto"/>
              <w:ind w:left="529" w:right="1200"/>
              <w:rPr>
                <w:color w:val="auto"/>
                <w:sz w:val="21"/>
              </w:rPr>
            </w:pPr>
            <w:r>
              <w:rPr>
                <w:color w:val="auto"/>
                <w:sz w:val="21"/>
              </w:rPr>
              <w:t>生产经营或者进口未经注册的特殊化妆品；</w:t>
            </w:r>
          </w:p>
          <w:p>
            <w:pPr>
              <w:pStyle w:val="8"/>
              <w:spacing w:line="265" w:lineRule="exact"/>
              <w:ind w:left="529" w:right="-29"/>
              <w:rPr>
                <w:color w:val="auto"/>
                <w:sz w:val="21"/>
              </w:rPr>
            </w:pPr>
            <w:r>
              <w:rPr>
                <w:color w:val="auto"/>
                <w:spacing w:val="-6"/>
                <w:sz w:val="21"/>
              </w:rPr>
              <w:t>使用禁止用于化妆品生产的原料、应当注册但未经注册的新原料生产化妆品，在化妆品中非法添加可能危害人体健康的物质，</w:t>
            </w:r>
          </w:p>
          <w:p>
            <w:pPr>
              <w:pStyle w:val="8"/>
              <w:spacing w:before="4" w:line="250" w:lineRule="exact"/>
              <w:ind w:left="109"/>
              <w:rPr>
                <w:color w:val="auto"/>
                <w:sz w:val="21"/>
              </w:rPr>
            </w:pPr>
            <w:r>
              <w:rPr>
                <w:color w:val="auto"/>
                <w:sz w:val="21"/>
              </w:rPr>
              <w:t>或者使用超过使用期限、废弃、回收的化妆品或者原料生产化妆品。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44" w:hRule="atLeast"/>
        </w:trPr>
        <w:tc>
          <w:tcPr>
            <w:tcW w:w="564" w:type="dxa"/>
            <w:vMerge w:val="continue"/>
            <w:tcBorders>
              <w:top w:val="nil"/>
            </w:tcBorders>
            <w:vAlign w:val="top"/>
          </w:tcPr>
          <w:p>
            <w:pPr>
              <w:rPr>
                <w:color w:val="auto"/>
                <w:sz w:val="2"/>
                <w:szCs w:val="2"/>
              </w:rPr>
            </w:pPr>
          </w:p>
        </w:tc>
        <w:tc>
          <w:tcPr>
            <w:tcW w:w="1189"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19"/>
              </w:rPr>
            </w:pPr>
          </w:p>
          <w:p>
            <w:pPr>
              <w:pStyle w:val="8"/>
              <w:ind w:left="175"/>
              <w:rPr>
                <w:b/>
                <w:color w:val="auto"/>
                <w:sz w:val="21"/>
              </w:rPr>
            </w:pPr>
            <w:r>
              <w:rPr>
                <w:b/>
                <w:color w:val="auto"/>
                <w:sz w:val="21"/>
              </w:rPr>
              <w:t>处罚依据</w:t>
            </w:r>
          </w:p>
        </w:tc>
        <w:tc>
          <w:tcPr>
            <w:tcW w:w="12042" w:type="dxa"/>
            <w:gridSpan w:val="4"/>
            <w:vAlign w:val="top"/>
          </w:tcPr>
          <w:p>
            <w:pPr>
              <w:pStyle w:val="8"/>
              <w:spacing w:before="0" w:line="242" w:lineRule="auto"/>
              <w:ind w:left="109" w:right="88" w:firstLine="0"/>
              <w:rPr>
                <w:color w:val="auto"/>
                <w:sz w:val="21"/>
              </w:rPr>
            </w:pPr>
            <w:r>
              <w:rPr>
                <w:color w:val="auto"/>
                <w:spacing w:val="-1"/>
                <w:sz w:val="21"/>
              </w:rPr>
              <w:t>根据《化妆品监督管理条例》第五十九条规定，由负责药品监督管理的部门没收违法所得、违法生产经营的化妆品和专门用</w:t>
            </w:r>
            <w:r>
              <w:rPr>
                <w:color w:val="auto"/>
                <w:spacing w:val="-8"/>
                <w:sz w:val="21"/>
              </w:rPr>
              <w:t xml:space="preserve">于违法生产经营的原料、包装材料、工具、设备等物品；违法生产经营的化妆品货值金额不足 </w:t>
            </w:r>
            <w:r>
              <w:rPr>
                <w:color w:val="auto"/>
                <w:sz w:val="21"/>
              </w:rPr>
              <w:t>1</w:t>
            </w:r>
            <w:r>
              <w:rPr>
                <w:color w:val="auto"/>
                <w:spacing w:val="-15"/>
                <w:sz w:val="21"/>
              </w:rPr>
              <w:t xml:space="preserve"> 万元的，并处 </w:t>
            </w:r>
            <w:r>
              <w:rPr>
                <w:color w:val="auto"/>
                <w:sz w:val="21"/>
              </w:rPr>
              <w:t>5</w:t>
            </w:r>
            <w:r>
              <w:rPr>
                <w:color w:val="auto"/>
                <w:spacing w:val="-17"/>
                <w:sz w:val="21"/>
              </w:rPr>
              <w:t xml:space="preserve"> 万元以上 </w:t>
            </w:r>
            <w:r>
              <w:rPr>
                <w:color w:val="auto"/>
                <w:sz w:val="21"/>
              </w:rPr>
              <w:t>15</w:t>
            </w:r>
            <w:r>
              <w:rPr>
                <w:color w:val="auto"/>
                <w:spacing w:val="-17"/>
                <w:sz w:val="21"/>
              </w:rPr>
              <w:t xml:space="preserve"> 万元</w:t>
            </w:r>
          </w:p>
          <w:p>
            <w:r>
              <w:rPr>
                <w:color w:val="auto"/>
                <w:spacing w:val="-6"/>
                <w:sz w:val="21"/>
              </w:rPr>
              <w:t xml:space="preserve">以下罚款；货值金额 </w:t>
            </w:r>
            <w:r>
              <w:rPr>
                <w:color w:val="auto"/>
                <w:sz w:val="21"/>
              </w:rPr>
              <w:t>1</w:t>
            </w:r>
            <w:r>
              <w:rPr>
                <w:color w:val="auto"/>
                <w:spacing w:val="-9"/>
                <w:sz w:val="21"/>
              </w:rPr>
              <w:t xml:space="preserve"> 万元以上的，并处货值金额 </w:t>
            </w:r>
            <w:r>
              <w:rPr>
                <w:color w:val="auto"/>
                <w:sz w:val="21"/>
              </w:rPr>
              <w:t>15</w:t>
            </w:r>
            <w:r>
              <w:rPr>
                <w:color w:val="auto"/>
                <w:spacing w:val="-15"/>
                <w:sz w:val="21"/>
              </w:rPr>
              <w:t xml:space="preserve"> 倍以上 </w:t>
            </w:r>
            <w:r>
              <w:rPr>
                <w:color w:val="auto"/>
                <w:sz w:val="21"/>
              </w:rPr>
              <w:t>30</w:t>
            </w:r>
            <w:r>
              <w:rPr>
                <w:color w:val="auto"/>
                <w:spacing w:val="-7"/>
                <w:sz w:val="21"/>
              </w:rPr>
              <w:t xml:space="preserve"> 倍以下罚款。情节严重的，责令停产停业、由备案部门取消备案</w:t>
            </w:r>
            <w:r>
              <w:rPr>
                <w:color w:val="auto"/>
                <w:spacing w:val="-5"/>
                <w:sz w:val="21"/>
              </w:rPr>
              <w:t>或者由原发证部门吊销化妆品许可证件，</w:t>
            </w:r>
            <w:r>
              <w:rPr>
                <w:color w:val="auto"/>
                <w:sz w:val="21"/>
              </w:rPr>
              <w:t>10</w:t>
            </w:r>
            <w:r>
              <w:rPr>
                <w:color w:val="auto"/>
                <w:spacing w:val="-3"/>
                <w:sz w:val="21"/>
              </w:rPr>
              <w:t xml:space="preserve"> 年内不予办理其提出的化妆品备案或者受理其提出的化妆品行政许可申请，对违法单</w:t>
            </w:r>
            <w:r>
              <w:rPr>
                <w:color w:val="auto"/>
                <w:spacing w:val="-4"/>
                <w:sz w:val="21"/>
              </w:rPr>
              <w:t xml:space="preserve">位的法定代表人或者主要负责人、直接负责的主管人员和其他直接责任人员处以其上一年度从本单位取得收入的 </w:t>
            </w:r>
            <w:r>
              <w:rPr>
                <w:color w:val="auto"/>
                <w:sz w:val="21"/>
              </w:rPr>
              <w:t>3</w:t>
            </w:r>
            <w:r>
              <w:rPr>
                <w:color w:val="auto"/>
                <w:spacing w:val="-10"/>
                <w:sz w:val="21"/>
              </w:rPr>
              <w:t xml:space="preserve"> 倍以上 </w:t>
            </w:r>
            <w:r>
              <w:rPr>
                <w:color w:val="auto"/>
                <w:sz w:val="21"/>
              </w:rPr>
              <w:t>5</w:t>
            </w:r>
            <w:r>
              <w:rPr>
                <w:color w:val="auto"/>
                <w:spacing w:val="-10"/>
                <w:sz w:val="21"/>
              </w:rPr>
              <w:t xml:space="preserve"> 倍以</w:t>
            </w:r>
          </w:p>
          <w:p>
            <w:pPr>
              <w:pStyle w:val="8"/>
              <w:spacing w:line="242" w:lineRule="auto"/>
              <w:ind w:left="109" w:right="88"/>
              <w:jc w:val="both"/>
              <w:rPr>
                <w:color w:val="auto"/>
                <w:sz w:val="21"/>
              </w:rPr>
            </w:pPr>
            <w:r>
              <w:rPr>
                <w:color w:val="auto"/>
                <w:sz w:val="21"/>
              </w:rPr>
              <w:t>下罚款，终身禁止其从事化妆品生产经营活动。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4" w:type="dxa"/>
            <w:vMerge w:val="continue"/>
            <w:tcBorders>
              <w:top w:val="nil"/>
            </w:tcBorders>
            <w:vAlign w:val="top"/>
          </w:tcPr>
          <w:p>
            <w:pPr>
              <w:rPr>
                <w:color w:val="auto"/>
                <w:sz w:val="2"/>
                <w:szCs w:val="2"/>
              </w:rPr>
            </w:pPr>
          </w:p>
        </w:tc>
        <w:tc>
          <w:tcPr>
            <w:tcW w:w="1189" w:type="dxa"/>
            <w:gridSpan w:val="2"/>
            <w:vAlign w:val="top"/>
          </w:tcPr>
          <w:p>
            <w:pPr>
              <w:pStyle w:val="8"/>
              <w:spacing w:before="150"/>
              <w:ind w:left="175"/>
              <w:rPr>
                <w:b/>
                <w:color w:val="auto"/>
                <w:sz w:val="21"/>
              </w:rPr>
            </w:pPr>
            <w:r>
              <w:rPr>
                <w:b/>
                <w:color w:val="auto"/>
                <w:sz w:val="21"/>
              </w:rPr>
              <w:t>裁量等级</w:t>
            </w:r>
          </w:p>
        </w:tc>
        <w:tc>
          <w:tcPr>
            <w:tcW w:w="2714" w:type="dxa"/>
            <w:vAlign w:val="top"/>
          </w:tcPr>
          <w:p>
            <w:pPr>
              <w:pStyle w:val="8"/>
              <w:spacing w:before="150"/>
              <w:ind w:left="109"/>
              <w:rPr>
                <w:b/>
                <w:color w:val="auto"/>
                <w:sz w:val="21"/>
              </w:rPr>
            </w:pPr>
            <w:r>
              <w:rPr>
                <w:b/>
                <w:color w:val="auto"/>
                <w:sz w:val="21"/>
              </w:rPr>
              <w:t>减轻</w:t>
            </w:r>
          </w:p>
        </w:tc>
        <w:tc>
          <w:tcPr>
            <w:tcW w:w="2713" w:type="dxa"/>
            <w:vAlign w:val="top"/>
          </w:tcPr>
          <w:p>
            <w:pPr>
              <w:pStyle w:val="8"/>
              <w:spacing w:before="150"/>
              <w:ind w:left="110"/>
              <w:rPr>
                <w:b/>
                <w:color w:val="auto"/>
                <w:sz w:val="21"/>
              </w:rPr>
            </w:pPr>
            <w:r>
              <w:rPr>
                <w:b/>
                <w:color w:val="auto"/>
                <w:sz w:val="21"/>
              </w:rPr>
              <w:t>从轻</w:t>
            </w:r>
          </w:p>
        </w:tc>
        <w:tc>
          <w:tcPr>
            <w:tcW w:w="2716" w:type="dxa"/>
            <w:vAlign w:val="top"/>
          </w:tcPr>
          <w:p>
            <w:pPr>
              <w:pStyle w:val="8"/>
              <w:spacing w:before="150"/>
              <w:ind w:left="111"/>
              <w:rPr>
                <w:b/>
                <w:color w:val="auto"/>
                <w:sz w:val="21"/>
              </w:rPr>
            </w:pPr>
            <w:r>
              <w:rPr>
                <w:b/>
                <w:color w:val="auto"/>
                <w:sz w:val="21"/>
              </w:rPr>
              <w:t>一般</w:t>
            </w:r>
          </w:p>
        </w:tc>
        <w:tc>
          <w:tcPr>
            <w:tcW w:w="3899" w:type="dxa"/>
            <w:vAlign w:val="top"/>
          </w:tcPr>
          <w:p>
            <w:pPr>
              <w:pStyle w:val="8"/>
              <w:spacing w:before="150"/>
              <w:ind w:left="113"/>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4" w:type="dxa"/>
            <w:vMerge w:val="continue"/>
            <w:tcBorders>
              <w:top w:val="nil"/>
            </w:tcBorders>
            <w:vAlign w:val="top"/>
          </w:tcPr>
          <w:p>
            <w:pPr>
              <w:rPr>
                <w:color w:val="auto"/>
                <w:sz w:val="2"/>
                <w:szCs w:val="2"/>
              </w:rPr>
            </w:pPr>
          </w:p>
        </w:tc>
        <w:tc>
          <w:tcPr>
            <w:tcW w:w="1189" w:type="dxa"/>
            <w:gridSpan w:val="2"/>
            <w:vAlign w:val="top"/>
          </w:tcPr>
          <w:p>
            <w:pPr>
              <w:pStyle w:val="8"/>
              <w:spacing w:before="3"/>
              <w:rPr>
                <w:rFonts w:ascii="Times New Roman"/>
                <w:color w:val="auto"/>
                <w:sz w:val="20"/>
              </w:rPr>
            </w:pPr>
          </w:p>
          <w:p>
            <w:pPr>
              <w:pStyle w:val="8"/>
              <w:spacing w:before="1"/>
              <w:ind w:left="175"/>
              <w:rPr>
                <w:b/>
                <w:color w:val="auto"/>
                <w:sz w:val="21"/>
              </w:rPr>
            </w:pPr>
            <w:r>
              <w:rPr>
                <w:b/>
                <w:color w:val="auto"/>
                <w:sz w:val="21"/>
              </w:rPr>
              <w:t>裁量情节</w:t>
            </w:r>
          </w:p>
        </w:tc>
        <w:tc>
          <w:tcPr>
            <w:tcW w:w="2714" w:type="dxa"/>
            <w:vAlign w:val="top"/>
          </w:tcPr>
          <w:p>
            <w:pPr>
              <w:pStyle w:val="8"/>
              <w:spacing w:before="97" w:line="244" w:lineRule="auto"/>
              <w:ind w:left="109" w:right="95"/>
              <w:rPr>
                <w:color w:val="auto"/>
                <w:sz w:val="21"/>
              </w:rPr>
            </w:pPr>
            <w:r>
              <w:rPr>
                <w:color w:val="auto"/>
                <w:sz w:val="21"/>
              </w:rPr>
              <w:t>符合裁量规定减轻行政处罚情形的。</w:t>
            </w:r>
          </w:p>
        </w:tc>
        <w:tc>
          <w:tcPr>
            <w:tcW w:w="2713" w:type="dxa"/>
            <w:vAlign w:val="top"/>
          </w:tcPr>
          <w:p>
            <w:pPr>
              <w:pStyle w:val="8"/>
              <w:spacing w:before="97" w:line="244" w:lineRule="auto"/>
              <w:ind w:left="110" w:right="91"/>
              <w:rPr>
                <w:color w:val="auto"/>
                <w:sz w:val="21"/>
              </w:rPr>
            </w:pPr>
            <w:r>
              <w:rPr>
                <w:color w:val="auto"/>
                <w:sz w:val="21"/>
              </w:rPr>
              <w:t>符合裁量规定从轻行政处罚情形的。</w:t>
            </w:r>
          </w:p>
        </w:tc>
        <w:tc>
          <w:tcPr>
            <w:tcW w:w="2716" w:type="dxa"/>
            <w:vAlign w:val="top"/>
          </w:tcPr>
          <w:p>
            <w:pPr>
              <w:pStyle w:val="8"/>
              <w:spacing w:before="97" w:line="244" w:lineRule="auto"/>
              <w:ind w:left="111" w:right="92"/>
              <w:rPr>
                <w:color w:val="auto"/>
                <w:sz w:val="21"/>
              </w:rPr>
            </w:pPr>
            <w:r>
              <w:rPr>
                <w:color w:val="auto"/>
                <w:sz w:val="21"/>
              </w:rPr>
              <w:t>符合裁量规定一般行政处罚情形的。</w:t>
            </w:r>
          </w:p>
        </w:tc>
        <w:tc>
          <w:tcPr>
            <w:tcW w:w="3899" w:type="dxa"/>
            <w:vAlign w:val="top"/>
          </w:tcPr>
          <w:p>
            <w:pPr>
              <w:pStyle w:val="8"/>
              <w:spacing w:before="3"/>
              <w:rPr>
                <w:rFonts w:ascii="Times New Roman"/>
                <w:color w:val="auto"/>
                <w:sz w:val="20"/>
              </w:rPr>
            </w:pPr>
          </w:p>
          <w:p>
            <w:pPr>
              <w:pStyle w:val="8"/>
              <w:spacing w:before="1"/>
              <w:ind w:left="113"/>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4" w:type="dxa"/>
            <w:vMerge w:val="continue"/>
            <w:tcBorders>
              <w:top w:val="nil"/>
            </w:tcBorders>
            <w:vAlign w:val="top"/>
          </w:tcPr>
          <w:p>
            <w:pPr>
              <w:rPr>
                <w:color w:val="auto"/>
                <w:sz w:val="2"/>
                <w:szCs w:val="2"/>
              </w:rPr>
            </w:pPr>
          </w:p>
        </w:tc>
        <w:tc>
          <w:tcPr>
            <w:tcW w:w="65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9"/>
              </w:rPr>
            </w:pPr>
          </w:p>
          <w:p>
            <w:pPr>
              <w:pStyle w:val="8"/>
              <w:spacing w:line="244" w:lineRule="auto"/>
              <w:ind w:left="115" w:right="102"/>
              <w:rPr>
                <w:b/>
                <w:color w:val="auto"/>
                <w:sz w:val="21"/>
              </w:rPr>
            </w:pPr>
            <w:r>
              <w:rPr>
                <w:b/>
                <w:color w:val="auto"/>
                <w:sz w:val="21"/>
              </w:rPr>
              <w:t>裁量基准</w:t>
            </w:r>
          </w:p>
        </w:tc>
        <w:tc>
          <w:tcPr>
            <w:tcW w:w="537" w:type="dxa"/>
            <w:vAlign w:val="top"/>
          </w:tcPr>
          <w:p>
            <w:pPr>
              <w:pStyle w:val="8"/>
              <w:spacing w:before="9"/>
              <w:rPr>
                <w:rFonts w:ascii="Times New Roman"/>
                <w:color w:val="auto"/>
                <w:sz w:val="26"/>
              </w:rPr>
            </w:pPr>
          </w:p>
          <w:p>
            <w:pPr>
              <w:pStyle w:val="8"/>
              <w:spacing w:line="242" w:lineRule="auto"/>
              <w:ind w:left="164" w:right="149"/>
              <w:jc w:val="both"/>
              <w:rPr>
                <w:b/>
                <w:color w:val="auto"/>
                <w:sz w:val="21"/>
              </w:rPr>
            </w:pPr>
            <w:r>
              <w:rPr>
                <w:b/>
                <w:color w:val="auto"/>
                <w:sz w:val="21"/>
              </w:rPr>
              <w:t>一般情形</w:t>
            </w:r>
          </w:p>
        </w:tc>
        <w:tc>
          <w:tcPr>
            <w:tcW w:w="2714" w:type="dxa"/>
            <w:vAlign w:val="top"/>
          </w:tcPr>
          <w:p>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4"/>
                <w:sz w:val="21"/>
              </w:rPr>
              <w:t xml:space="preserve"> 万元以下</w:t>
            </w:r>
          </w:p>
          <w:p>
            <w:r>
              <w:rPr>
                <w:color w:val="auto"/>
                <w:spacing w:val="-11"/>
                <w:sz w:val="21"/>
              </w:rPr>
              <w:t xml:space="preserve">罚款；货值金额 </w:t>
            </w:r>
            <w:r>
              <w:rPr>
                <w:color w:val="auto"/>
                <w:sz w:val="21"/>
              </w:rPr>
              <w:t>1</w:t>
            </w:r>
            <w:r>
              <w:rPr>
                <w:color w:val="auto"/>
                <w:spacing w:val="-12"/>
                <w:sz w:val="21"/>
              </w:rPr>
              <w:t xml:space="preserve"> 万元以上</w:t>
            </w:r>
          </w:p>
          <w:p>
            <w:r>
              <w:rPr>
                <w:color w:val="auto"/>
                <w:spacing w:val="-11"/>
                <w:sz w:val="21"/>
              </w:rPr>
              <w:t xml:space="preserve">的，并处货值金额 </w:t>
            </w:r>
            <w:r>
              <w:rPr>
                <w:color w:val="auto"/>
                <w:sz w:val="21"/>
              </w:rPr>
              <w:t>1.5</w:t>
            </w:r>
            <w:r>
              <w:rPr>
                <w:color w:val="auto"/>
                <w:spacing w:val="-19"/>
                <w:sz w:val="21"/>
              </w:rPr>
              <w:t xml:space="preserve"> 倍以</w:t>
            </w:r>
          </w:p>
          <w:p>
            <w:pPr>
              <w:pStyle w:val="8"/>
              <w:spacing w:before="3"/>
              <w:ind w:left="109"/>
              <w:rPr>
                <w:color w:val="auto"/>
                <w:sz w:val="21"/>
              </w:rPr>
            </w:pPr>
            <w:r>
              <w:rPr>
                <w:color w:val="auto"/>
                <w:sz w:val="21"/>
              </w:rPr>
              <w:t>上 15 倍以下罚款。</w:t>
            </w:r>
          </w:p>
        </w:tc>
        <w:tc>
          <w:tcPr>
            <w:tcW w:w="2713" w:type="dxa"/>
            <w:vAlign w:val="top"/>
          </w:tcPr>
          <w:p>
            <w:pPr>
              <w:pStyle w:val="8"/>
              <w:spacing w:before="3"/>
              <w:ind w:left="110"/>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27"/>
                <w:sz w:val="21"/>
              </w:rPr>
              <w:t xml:space="preserve">处 </w:t>
            </w:r>
            <w:r>
              <w:rPr>
                <w:color w:val="auto"/>
                <w:sz w:val="21"/>
              </w:rPr>
              <w:t>5</w:t>
            </w:r>
            <w:r>
              <w:rPr>
                <w:color w:val="auto"/>
                <w:spacing w:val="-21"/>
                <w:sz w:val="21"/>
              </w:rPr>
              <w:t xml:space="preserve"> 万元以上 </w:t>
            </w:r>
            <w:r>
              <w:rPr>
                <w:color w:val="auto"/>
                <w:sz w:val="21"/>
              </w:rPr>
              <w:t>8</w:t>
            </w:r>
            <w:r>
              <w:rPr>
                <w:color w:val="auto"/>
                <w:spacing w:val="-11"/>
                <w:sz w:val="21"/>
              </w:rPr>
              <w:t xml:space="preserve"> 万元以下罚</w:t>
            </w:r>
          </w:p>
          <w:p>
            <w:r>
              <w:rPr>
                <w:color w:val="auto"/>
                <w:spacing w:val="-26"/>
                <w:sz w:val="21"/>
              </w:rPr>
              <w:t xml:space="preserve">款；货值金额 </w:t>
            </w:r>
            <w:r>
              <w:rPr>
                <w:color w:val="auto"/>
                <w:sz w:val="21"/>
              </w:rPr>
              <w:t>1</w:t>
            </w:r>
            <w:r>
              <w:rPr>
                <w:color w:val="auto"/>
                <w:spacing w:val="-13"/>
                <w:sz w:val="21"/>
              </w:rPr>
              <w:t xml:space="preserve"> 万元以上的，</w:t>
            </w:r>
          </w:p>
          <w:p>
            <w:r>
              <w:rPr>
                <w:color w:val="auto"/>
                <w:spacing w:val="16"/>
                <w:sz w:val="21"/>
              </w:rPr>
              <w:t>并处货值金</w:t>
            </w:r>
            <w:r>
              <w:rPr>
                <w:color w:val="auto"/>
                <w:sz w:val="21"/>
              </w:rPr>
              <w:t>1</w:t>
            </w:r>
            <w:r>
              <w:rPr>
                <w:rFonts w:hint="eastAsia"/>
                <w:color w:val="auto"/>
                <w:sz w:val="21"/>
                <w:lang w:val="en-US" w:eastAsia="zh-CN"/>
              </w:rPr>
              <w:t>5</w:t>
            </w:r>
            <w:r>
              <w:rPr>
                <w:color w:val="auto"/>
                <w:spacing w:val="20"/>
                <w:sz w:val="21"/>
              </w:rPr>
              <w:t>倍以上</w:t>
            </w:r>
          </w:p>
          <w:p>
            <w:pPr>
              <w:pStyle w:val="8"/>
              <w:spacing w:before="3"/>
              <w:ind w:left="110"/>
              <w:rPr>
                <w:color w:val="auto"/>
                <w:sz w:val="21"/>
              </w:rPr>
            </w:pPr>
            <w:r>
              <w:rPr>
                <w:color w:val="auto"/>
                <w:sz w:val="21"/>
              </w:rPr>
              <w:t>19.5 倍以下罚款。</w:t>
            </w:r>
          </w:p>
        </w:tc>
        <w:tc>
          <w:tcPr>
            <w:tcW w:w="2716" w:type="dxa"/>
            <w:vAlign w:val="top"/>
          </w:tcPr>
          <w:p>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15"/>
                <w:sz w:val="21"/>
              </w:rPr>
              <w:t xml:space="preserve">处 </w:t>
            </w:r>
            <w:r>
              <w:rPr>
                <w:color w:val="auto"/>
                <w:sz w:val="21"/>
              </w:rPr>
              <w:t>8</w:t>
            </w:r>
            <w:r>
              <w:rPr>
                <w:color w:val="auto"/>
                <w:spacing w:val="-12"/>
                <w:sz w:val="21"/>
              </w:rPr>
              <w:t xml:space="preserve"> 万元以上 </w:t>
            </w:r>
            <w:r>
              <w:rPr>
                <w:color w:val="auto"/>
                <w:sz w:val="21"/>
              </w:rPr>
              <w:t>12</w:t>
            </w:r>
            <w:r>
              <w:rPr>
                <w:color w:val="auto"/>
                <w:spacing w:val="-8"/>
                <w:sz w:val="21"/>
              </w:rPr>
              <w:t xml:space="preserve"> 万元以下</w:t>
            </w:r>
          </w:p>
          <w:p>
            <w:r>
              <w:rPr>
                <w:color w:val="auto"/>
                <w:spacing w:val="-12"/>
                <w:sz w:val="21"/>
              </w:rPr>
              <w:t xml:space="preserve">罚款；货值金额 </w:t>
            </w:r>
            <w:r>
              <w:rPr>
                <w:color w:val="auto"/>
                <w:sz w:val="21"/>
              </w:rPr>
              <w:t>1</w:t>
            </w:r>
            <w:r>
              <w:rPr>
                <w:color w:val="auto"/>
                <w:spacing w:val="-12"/>
                <w:sz w:val="21"/>
              </w:rPr>
              <w:t xml:space="preserve"> 万元以上</w:t>
            </w:r>
          </w:p>
          <w:p>
            <w:r>
              <w:rPr>
                <w:color w:val="auto"/>
                <w:spacing w:val="-4"/>
                <w:sz w:val="21"/>
              </w:rPr>
              <w:t xml:space="preserve">的，并处货值金额 </w:t>
            </w:r>
            <w:r>
              <w:rPr>
                <w:color w:val="auto"/>
                <w:sz w:val="21"/>
              </w:rPr>
              <w:t>19.5</w:t>
            </w:r>
            <w:r>
              <w:rPr>
                <w:color w:val="auto"/>
                <w:spacing w:val="-4"/>
                <w:sz w:val="21"/>
              </w:rPr>
              <w:t xml:space="preserve"> 倍</w:t>
            </w:r>
          </w:p>
          <w:p>
            <w:pPr>
              <w:pStyle w:val="8"/>
              <w:spacing w:before="171"/>
              <w:ind w:left="111"/>
              <w:rPr>
                <w:color w:val="auto"/>
                <w:sz w:val="21"/>
              </w:rPr>
            </w:pPr>
            <w:r>
              <w:rPr>
                <w:color w:val="auto"/>
                <w:sz w:val="21"/>
              </w:rPr>
              <w:t>以上 25.5 倍以下罚款。</w:t>
            </w:r>
          </w:p>
        </w:tc>
        <w:tc>
          <w:tcPr>
            <w:tcW w:w="3899" w:type="dxa"/>
            <w:vAlign w:val="top"/>
          </w:tcPr>
          <w:p>
            <w:pPr>
              <w:pStyle w:val="8"/>
              <w:spacing w:before="0"/>
              <w:ind w:left="113"/>
              <w:rPr>
                <w:rFonts w:ascii="Times New Roman"/>
                <w:color w:val="auto"/>
                <w:sz w:val="26"/>
              </w:rPr>
            </w:pPr>
          </w:p>
          <w:p>
            <w:r>
              <w:rPr>
                <w:color w:val="auto"/>
                <w:spacing w:val="-9"/>
                <w:sz w:val="21"/>
              </w:rPr>
              <w:t xml:space="preserve">货值金额不足 </w:t>
            </w:r>
            <w:r>
              <w:rPr>
                <w:color w:val="auto"/>
                <w:sz w:val="21"/>
              </w:rPr>
              <w:t>1</w:t>
            </w:r>
            <w:r>
              <w:rPr>
                <w:color w:val="auto"/>
                <w:spacing w:val="-14"/>
                <w:sz w:val="21"/>
              </w:rPr>
              <w:t xml:space="preserve"> 万元的，并处 </w:t>
            </w:r>
            <w:r>
              <w:rPr>
                <w:color w:val="auto"/>
                <w:sz w:val="21"/>
              </w:rPr>
              <w:t>12</w:t>
            </w:r>
            <w:r>
              <w:rPr>
                <w:color w:val="auto"/>
                <w:spacing w:val="-13"/>
                <w:sz w:val="21"/>
              </w:rPr>
              <w:t xml:space="preserve"> 万元以</w:t>
            </w:r>
          </w:p>
          <w:p>
            <w:r>
              <w:rPr>
                <w:color w:val="auto"/>
                <w:spacing w:val="-23"/>
                <w:sz w:val="21"/>
              </w:rPr>
              <w:t xml:space="preserve">上 </w:t>
            </w:r>
            <w:r>
              <w:rPr>
                <w:color w:val="auto"/>
                <w:sz w:val="21"/>
              </w:rPr>
              <w:t>15</w:t>
            </w:r>
            <w:r>
              <w:rPr>
                <w:color w:val="auto"/>
                <w:spacing w:val="-11"/>
                <w:sz w:val="21"/>
              </w:rPr>
              <w:t xml:space="preserve"> 万元以下罚款；货值金额 </w:t>
            </w:r>
            <w:r>
              <w:rPr>
                <w:color w:val="auto"/>
                <w:sz w:val="21"/>
              </w:rPr>
              <w:t>1</w:t>
            </w:r>
            <w:r>
              <w:rPr>
                <w:color w:val="auto"/>
                <w:spacing w:val="-12"/>
                <w:sz w:val="21"/>
              </w:rPr>
              <w:t xml:space="preserve"> 万元以</w:t>
            </w:r>
          </w:p>
          <w:p>
            <w:pPr>
              <w:pStyle w:val="8"/>
              <w:spacing w:before="0" w:line="240" w:lineRule="auto"/>
              <w:ind w:left="113" w:right="0"/>
              <w:rPr>
                <w:color w:val="auto"/>
                <w:sz w:val="21"/>
              </w:rPr>
            </w:pPr>
            <w:r>
              <w:rPr>
                <w:color w:val="auto"/>
                <w:spacing w:val="-19"/>
                <w:sz w:val="21"/>
              </w:rPr>
              <w:t xml:space="preserve">上的，并处货值金额 </w:t>
            </w:r>
            <w:r>
              <w:rPr>
                <w:color w:val="auto"/>
                <w:sz w:val="21"/>
              </w:rPr>
              <w:t>25.5</w:t>
            </w:r>
            <w:r>
              <w:rPr>
                <w:color w:val="auto"/>
                <w:spacing w:val="-22"/>
                <w:sz w:val="21"/>
              </w:rPr>
              <w:t xml:space="preserve"> 倍以上 </w:t>
            </w:r>
            <w:r>
              <w:rPr>
                <w:color w:val="auto"/>
                <w:sz w:val="21"/>
              </w:rPr>
              <w:t>30</w:t>
            </w:r>
            <w:r>
              <w:rPr>
                <w:color w:val="auto"/>
                <w:spacing w:val="-22"/>
                <w:sz w:val="21"/>
              </w:rPr>
              <w:t xml:space="preserve"> 倍以</w:t>
            </w:r>
            <w:r>
              <w:rPr>
                <w:color w:val="auto"/>
                <w:spacing w:val="-1"/>
                <w:sz w:val="21"/>
              </w:rPr>
              <w:t>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14" w:hRule="atLeast"/>
        </w:trPr>
        <w:tc>
          <w:tcPr>
            <w:tcW w:w="564" w:type="dxa"/>
            <w:vMerge w:val="continue"/>
            <w:tcBorders>
              <w:top w:val="nil"/>
            </w:tcBorders>
            <w:vAlign w:val="top"/>
          </w:tcPr>
          <w:p>
            <w:pPr>
              <w:rPr>
                <w:color w:val="auto"/>
                <w:sz w:val="2"/>
                <w:szCs w:val="2"/>
              </w:rPr>
            </w:pPr>
          </w:p>
        </w:tc>
        <w:tc>
          <w:tcPr>
            <w:tcW w:w="652" w:type="dxa"/>
            <w:vMerge w:val="continue"/>
            <w:tcBorders>
              <w:top w:val="nil"/>
            </w:tcBorders>
            <w:vAlign w:val="top"/>
          </w:tcPr>
          <w:p>
            <w:pPr>
              <w:rPr>
                <w:color w:val="auto"/>
                <w:sz w:val="2"/>
                <w:szCs w:val="2"/>
              </w:rPr>
            </w:pPr>
          </w:p>
        </w:tc>
        <w:tc>
          <w:tcPr>
            <w:tcW w:w="537" w:type="dxa"/>
            <w:vAlign w:val="top"/>
          </w:tcPr>
          <w:p>
            <w:pPr>
              <w:pStyle w:val="8"/>
              <w:spacing w:before="8"/>
              <w:rPr>
                <w:rFonts w:ascii="Times New Roman"/>
                <w:color w:val="auto"/>
                <w:sz w:val="19"/>
              </w:rPr>
            </w:pPr>
          </w:p>
          <w:p>
            <w:pPr>
              <w:pStyle w:val="8"/>
              <w:spacing w:line="242" w:lineRule="auto"/>
              <w:ind w:left="164" w:right="149"/>
              <w:jc w:val="both"/>
              <w:rPr>
                <w:b/>
                <w:color w:val="auto"/>
                <w:sz w:val="21"/>
              </w:rPr>
            </w:pPr>
            <w:r>
              <w:rPr>
                <w:b/>
                <w:color w:val="auto"/>
                <w:sz w:val="21"/>
              </w:rPr>
              <w:t>情节严重的</w:t>
            </w:r>
          </w:p>
        </w:tc>
        <w:tc>
          <w:tcPr>
            <w:tcW w:w="2714" w:type="dxa"/>
            <w:vAlign w:val="top"/>
          </w:tcPr>
          <w:p>
            <w:pPr>
              <w:pStyle w:val="8"/>
              <w:rPr>
                <w:rFonts w:ascii="Times New Roman"/>
                <w:color w:val="auto"/>
                <w:sz w:val="20"/>
              </w:rPr>
            </w:pPr>
          </w:p>
        </w:tc>
        <w:tc>
          <w:tcPr>
            <w:tcW w:w="2713" w:type="dxa"/>
            <w:vAlign w:val="top"/>
          </w:tcPr>
          <w:p>
            <w:pPr>
              <w:pStyle w:val="8"/>
              <w:spacing w:before="92" w:line="242" w:lineRule="auto"/>
              <w:ind w:left="110" w:right="89"/>
              <w:jc w:val="both"/>
              <w:rPr>
                <w:color w:val="auto"/>
                <w:sz w:val="21"/>
              </w:rPr>
            </w:pPr>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3</w:t>
            </w:r>
            <w:r>
              <w:rPr>
                <w:color w:val="auto"/>
                <w:spacing w:val="-24"/>
                <w:sz w:val="21"/>
              </w:rPr>
              <w:t xml:space="preserve"> 倍以上 </w:t>
            </w:r>
            <w:r>
              <w:rPr>
                <w:color w:val="auto"/>
                <w:sz w:val="21"/>
              </w:rPr>
              <w:t>3.6</w:t>
            </w:r>
            <w:r>
              <w:rPr>
                <w:color w:val="auto"/>
                <w:spacing w:val="-19"/>
                <w:sz w:val="21"/>
              </w:rPr>
              <w:t xml:space="preserve"> 倍以下</w:t>
            </w:r>
            <w:r>
              <w:rPr>
                <w:color w:val="auto"/>
                <w:sz w:val="21"/>
              </w:rPr>
              <w:t>罚款。</w:t>
            </w:r>
          </w:p>
        </w:tc>
        <w:tc>
          <w:tcPr>
            <w:tcW w:w="2716" w:type="dxa"/>
            <w:vAlign w:val="top"/>
          </w:tcPr>
          <w:p>
            <w:pPr>
              <w:pStyle w:val="8"/>
              <w:spacing w:before="92" w:line="242" w:lineRule="auto"/>
              <w:ind w:left="111" w:right="90"/>
              <w:jc w:val="both"/>
              <w:rPr>
                <w:color w:val="auto"/>
                <w:sz w:val="21"/>
              </w:rPr>
            </w:pPr>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3.6</w:t>
            </w:r>
            <w:r>
              <w:rPr>
                <w:color w:val="auto"/>
                <w:spacing w:val="-24"/>
                <w:sz w:val="21"/>
              </w:rPr>
              <w:t xml:space="preserve"> 倍以上 </w:t>
            </w:r>
            <w:r>
              <w:rPr>
                <w:color w:val="auto"/>
                <w:sz w:val="21"/>
              </w:rPr>
              <w:t>4.4</w:t>
            </w:r>
            <w:r>
              <w:rPr>
                <w:color w:val="auto"/>
                <w:spacing w:val="-21"/>
                <w:sz w:val="21"/>
              </w:rPr>
              <w:t xml:space="preserve"> 倍以</w:t>
            </w:r>
            <w:r>
              <w:rPr>
                <w:color w:val="auto"/>
                <w:sz w:val="21"/>
              </w:rPr>
              <w:t>下罚款。</w:t>
            </w:r>
          </w:p>
        </w:tc>
        <w:tc>
          <w:tcPr>
            <w:tcW w:w="3899" w:type="dxa"/>
            <w:vAlign w:val="top"/>
          </w:tcPr>
          <w:p/>
          <w:p>
            <w:r>
              <w:rPr>
                <w:color w:val="auto"/>
                <w:spacing w:val="-11"/>
                <w:sz w:val="21"/>
              </w:rPr>
              <w:t>对法定代表人或者主要负责人、直接负责</w:t>
            </w:r>
            <w:r>
              <w:rPr>
                <w:color w:val="auto"/>
                <w:spacing w:val="3"/>
                <w:sz w:val="21"/>
              </w:rPr>
              <w:t>的主管人员和其他直接责任人员处以其</w:t>
            </w:r>
            <w:r>
              <w:rPr>
                <w:color w:val="auto"/>
                <w:spacing w:val="-2"/>
                <w:sz w:val="21"/>
              </w:rPr>
              <w:t xml:space="preserve">上一年度从本单位取得收入的 </w:t>
            </w:r>
            <w:r>
              <w:rPr>
                <w:color w:val="auto"/>
                <w:sz w:val="21"/>
              </w:rPr>
              <w:t>4.4</w:t>
            </w:r>
            <w:r>
              <w:rPr>
                <w:color w:val="auto"/>
                <w:spacing w:val="-2"/>
                <w:sz w:val="21"/>
              </w:rPr>
              <w:t xml:space="preserve"> 倍以</w:t>
            </w:r>
          </w:p>
          <w:p>
            <w:pPr>
              <w:pStyle w:val="8"/>
              <w:spacing w:before="133" w:line="242" w:lineRule="auto"/>
              <w:ind w:left="113" w:right="84"/>
              <w:jc w:val="both"/>
              <w:rPr>
                <w:color w:val="auto"/>
                <w:sz w:val="21"/>
              </w:rPr>
            </w:pPr>
            <w:r>
              <w:rPr>
                <w:color w:val="auto"/>
                <w:sz w:val="21"/>
              </w:rPr>
              <w:t>上 5 倍以下罚款。</w:t>
            </w:r>
          </w:p>
        </w:tc>
      </w:tr>
    </w:tbl>
    <w:p>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06"/>
        <w:gridCol w:w="478"/>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24"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1"/>
              </w:rPr>
            </w:pPr>
          </w:p>
          <w:p>
            <w:pPr>
              <w:pStyle w:val="8"/>
              <w:ind w:left="9"/>
              <w:jc w:val="center"/>
              <w:rPr>
                <w:color w:val="auto"/>
                <w:sz w:val="21"/>
              </w:rPr>
            </w:pPr>
            <w:r>
              <w:rPr>
                <w:color w:val="auto"/>
                <w:w w:val="100"/>
                <w:sz w:val="21"/>
              </w:rPr>
              <w:t>2</w:t>
            </w: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5"/>
              </w:rPr>
            </w:pPr>
          </w:p>
          <w:p>
            <w:pPr>
              <w:pStyle w:val="8"/>
              <w:ind w:left="170"/>
              <w:rPr>
                <w:b/>
                <w:color w:val="auto"/>
                <w:sz w:val="21"/>
              </w:rPr>
            </w:pPr>
            <w:r>
              <w:rPr>
                <w:b/>
                <w:color w:val="auto"/>
                <w:sz w:val="21"/>
              </w:rPr>
              <w:t>违法行为</w:t>
            </w:r>
          </w:p>
        </w:tc>
        <w:tc>
          <w:tcPr>
            <w:tcW w:w="12046" w:type="dxa"/>
            <w:gridSpan w:val="4"/>
            <w:vAlign w:val="top"/>
          </w:tcPr>
          <w:p>
            <w:pPr>
              <w:pStyle w:val="8"/>
              <w:spacing w:before="13" w:line="249" w:lineRule="auto"/>
              <w:ind w:left="107" w:right="100" w:firstLine="420"/>
              <w:rPr>
                <w:color w:val="auto"/>
                <w:sz w:val="21"/>
              </w:rPr>
            </w:pPr>
            <w:r>
              <w:rPr>
                <w:color w:val="auto"/>
                <w:sz w:val="21"/>
              </w:rPr>
              <w:t>使用不符合强制性国家标准、技术规范的原料、直接接触化妆品的包装材料，应当备案但未备案的新原料生产化妆品，或者不按照强制性国家标准或者技术规范使用原料；</w:t>
            </w:r>
          </w:p>
          <w:p>
            <w:pPr>
              <w:pStyle w:val="8"/>
              <w:spacing w:before="2" w:line="247" w:lineRule="auto"/>
              <w:ind w:left="527" w:right="1838"/>
              <w:rPr>
                <w:color w:val="auto"/>
                <w:sz w:val="21"/>
              </w:rPr>
            </w:pPr>
            <w:r>
              <w:rPr>
                <w:color w:val="auto"/>
                <w:sz w:val="21"/>
              </w:rPr>
              <w:t xml:space="preserve">生产经营不符合强制性国家标准、技术规范或者不符合化妆品注册、备案资料载明的技术要求的化妆品； </w:t>
            </w:r>
          </w:p>
          <w:p>
            <w:pPr>
              <w:pStyle w:val="8"/>
              <w:spacing w:before="2" w:line="247" w:lineRule="auto"/>
              <w:ind w:left="527" w:right="1838"/>
              <w:rPr>
                <w:color w:val="auto"/>
                <w:sz w:val="21"/>
              </w:rPr>
            </w:pPr>
            <w:r>
              <w:rPr>
                <w:color w:val="auto"/>
                <w:sz w:val="21"/>
              </w:rPr>
              <w:t>未按照化妆品生产质量管理规范的要求组织生产；</w:t>
            </w:r>
          </w:p>
          <w:p>
            <w:pPr>
              <w:pStyle w:val="8"/>
              <w:spacing w:before="5"/>
              <w:ind w:left="527"/>
              <w:rPr>
                <w:color w:val="auto"/>
                <w:sz w:val="21"/>
              </w:rPr>
            </w:pPr>
            <w:r>
              <w:rPr>
                <w:color w:val="auto"/>
                <w:sz w:val="21"/>
              </w:rPr>
              <w:t>更改化妆品使用期限；</w:t>
            </w:r>
          </w:p>
          <w:p>
            <w:pPr>
              <w:pStyle w:val="8"/>
              <w:spacing w:before="11" w:line="268" w:lineRule="exact"/>
              <w:ind w:left="527"/>
              <w:rPr>
                <w:color w:val="auto"/>
                <w:sz w:val="21"/>
              </w:rPr>
            </w:pPr>
            <w:r>
              <w:rPr>
                <w:color w:val="auto"/>
                <w:sz w:val="21"/>
              </w:rPr>
              <w:t>化妆品经营者擅自配制化妆品，或者经营变质、超过使用期限的化妆品；</w:t>
            </w:r>
          </w:p>
          <w:p>
            <w:pPr>
              <w:pStyle w:val="8"/>
              <w:spacing w:line="268" w:lineRule="exact"/>
              <w:ind w:left="527"/>
              <w:rPr>
                <w:color w:val="auto"/>
                <w:sz w:val="21"/>
              </w:rPr>
            </w:pPr>
            <w:r>
              <w:rPr>
                <w:color w:val="auto"/>
                <w:sz w:val="21"/>
              </w:rPr>
              <w:t>在负责药品监督管理的部门责令其实施召回后拒不召回，或者在负责药品监督管理的部门责令停止或者暂停生产、经营后拒</w:t>
            </w:r>
          </w:p>
          <w:p>
            <w:pPr>
              <w:pStyle w:val="8"/>
              <w:spacing w:before="5" w:line="250" w:lineRule="exact"/>
              <w:ind w:left="107"/>
              <w:rPr>
                <w:color w:val="auto"/>
                <w:sz w:val="21"/>
              </w:rPr>
            </w:pPr>
            <w:r>
              <w:rPr>
                <w:color w:val="auto"/>
                <w:sz w:val="21"/>
              </w:rPr>
              <w:t>不停止或者暂停生产、经营。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2"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spacing w:before="5"/>
              <w:rPr>
                <w:rFonts w:ascii="Times New Roman"/>
                <w:color w:val="auto"/>
                <w:sz w:val="27"/>
              </w:rPr>
            </w:pPr>
          </w:p>
          <w:p>
            <w:pPr>
              <w:pStyle w:val="8"/>
              <w:ind w:left="170"/>
              <w:rPr>
                <w:b/>
                <w:color w:val="auto"/>
                <w:sz w:val="21"/>
              </w:rPr>
            </w:pPr>
            <w:r>
              <w:rPr>
                <w:b/>
                <w:color w:val="auto"/>
                <w:sz w:val="21"/>
              </w:rPr>
              <w:t>处罚依据</w:t>
            </w:r>
          </w:p>
        </w:tc>
        <w:tc>
          <w:tcPr>
            <w:tcW w:w="12046" w:type="dxa"/>
            <w:gridSpan w:val="4"/>
            <w:vAlign w:val="top"/>
          </w:tcPr>
          <w:p>
            <w:r>
              <w:rPr>
                <w:color w:val="auto"/>
                <w:spacing w:val="-1"/>
                <w:sz w:val="21"/>
              </w:rPr>
              <w:t>根据《化妆品监督管理条例》第六十条规定，由负责药品监督管理的部门没收违法所得、违法生产经营的化妆品和专门用于</w:t>
            </w:r>
            <w:r>
              <w:rPr>
                <w:color w:val="auto"/>
                <w:spacing w:val="-4"/>
                <w:sz w:val="21"/>
              </w:rPr>
              <w:t xml:space="preserve">违法生产经营的原料、包装材料、工具、设备等物品；违法生产经营的化妆品货值金额不足 </w:t>
            </w:r>
            <w:r>
              <w:rPr>
                <w:color w:val="auto"/>
                <w:sz w:val="21"/>
              </w:rPr>
              <w:t>1</w:t>
            </w:r>
            <w:r>
              <w:rPr>
                <w:color w:val="auto"/>
                <w:spacing w:val="-11"/>
                <w:sz w:val="21"/>
              </w:rPr>
              <w:t xml:space="preserve"> 万元的，并处 </w:t>
            </w:r>
            <w:r>
              <w:rPr>
                <w:color w:val="auto"/>
                <w:sz w:val="21"/>
              </w:rPr>
              <w:t>1</w:t>
            </w:r>
            <w:r>
              <w:rPr>
                <w:color w:val="auto"/>
                <w:spacing w:val="-12"/>
                <w:sz w:val="21"/>
              </w:rPr>
              <w:t xml:space="preserve"> 万元以上 </w:t>
            </w:r>
            <w:r>
              <w:rPr>
                <w:color w:val="auto"/>
                <w:sz w:val="21"/>
              </w:rPr>
              <w:t>5</w:t>
            </w:r>
            <w:r>
              <w:rPr>
                <w:color w:val="auto"/>
                <w:spacing w:val="-11"/>
                <w:sz w:val="21"/>
              </w:rPr>
              <w:t xml:space="preserve"> 万元以</w:t>
            </w:r>
          </w:p>
          <w:p>
            <w:r>
              <w:rPr>
                <w:color w:val="auto"/>
                <w:spacing w:val="-9"/>
                <w:sz w:val="21"/>
              </w:rPr>
              <w:t xml:space="preserve">下罚款；货值金额 </w:t>
            </w:r>
            <w:r>
              <w:rPr>
                <w:color w:val="auto"/>
                <w:sz w:val="21"/>
              </w:rPr>
              <w:t>1</w:t>
            </w:r>
            <w:r>
              <w:rPr>
                <w:color w:val="auto"/>
                <w:spacing w:val="-12"/>
                <w:sz w:val="21"/>
              </w:rPr>
              <w:t xml:space="preserve"> 万元以上的，并处货值金额 </w:t>
            </w:r>
            <w:r>
              <w:rPr>
                <w:color w:val="auto"/>
                <w:sz w:val="21"/>
              </w:rPr>
              <w:t>5</w:t>
            </w:r>
            <w:r>
              <w:rPr>
                <w:color w:val="auto"/>
                <w:spacing w:val="-18"/>
                <w:sz w:val="21"/>
              </w:rPr>
              <w:t xml:space="preserve"> 倍以上 </w:t>
            </w:r>
            <w:r>
              <w:rPr>
                <w:color w:val="auto"/>
                <w:sz w:val="21"/>
              </w:rPr>
              <w:t>20</w:t>
            </w:r>
            <w:r>
              <w:rPr>
                <w:color w:val="auto"/>
                <w:spacing w:val="-9"/>
                <w:sz w:val="21"/>
              </w:rPr>
              <w:t xml:space="preserve"> 倍以下罚款。情节严重的，责令停产停业、由备案部门取消备案或者</w:t>
            </w:r>
          </w:p>
          <w:p>
            <w:pPr>
              <w:pStyle w:val="8"/>
              <w:spacing w:before="1" w:line="244" w:lineRule="auto"/>
              <w:ind w:left="107" w:right="98" w:firstLine="420"/>
              <w:rPr>
                <w:color w:val="auto"/>
                <w:sz w:val="21"/>
              </w:rPr>
            </w:pPr>
            <w:r>
              <w:rPr>
                <w:color w:val="auto"/>
                <w:sz w:val="21"/>
              </w:rPr>
              <w:t>由原发证部门吊销化妆品许可证件，对违法单位的法定代表人或者主要负责人、直接负责的主管人员和其他直接责任人员处以其上一年度从本单位取得收入的 1 倍以上 3 倍以下罚款，10 年内禁止其从事化妆品生产经营活动。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92"/>
              <w:ind w:left="170"/>
              <w:rPr>
                <w:b/>
                <w:color w:val="auto"/>
                <w:sz w:val="21"/>
              </w:rPr>
            </w:pPr>
            <w:r>
              <w:rPr>
                <w:b/>
                <w:color w:val="auto"/>
                <w:sz w:val="21"/>
              </w:rPr>
              <w:t>裁量等级</w:t>
            </w:r>
          </w:p>
        </w:tc>
        <w:tc>
          <w:tcPr>
            <w:tcW w:w="2715" w:type="dxa"/>
            <w:vAlign w:val="top"/>
          </w:tcPr>
          <w:p>
            <w:pPr>
              <w:pStyle w:val="8"/>
              <w:spacing w:before="92"/>
              <w:ind w:left="107"/>
              <w:rPr>
                <w:b/>
                <w:color w:val="auto"/>
                <w:sz w:val="21"/>
              </w:rPr>
            </w:pPr>
            <w:r>
              <w:rPr>
                <w:b/>
                <w:color w:val="auto"/>
                <w:sz w:val="21"/>
              </w:rPr>
              <w:t>减轻</w:t>
            </w:r>
          </w:p>
        </w:tc>
        <w:tc>
          <w:tcPr>
            <w:tcW w:w="2714" w:type="dxa"/>
            <w:vAlign w:val="top"/>
          </w:tcPr>
          <w:p>
            <w:pPr>
              <w:pStyle w:val="8"/>
              <w:spacing w:before="92"/>
              <w:ind w:left="107"/>
              <w:rPr>
                <w:b/>
                <w:color w:val="auto"/>
                <w:sz w:val="21"/>
              </w:rPr>
            </w:pPr>
            <w:r>
              <w:rPr>
                <w:b/>
                <w:color w:val="auto"/>
                <w:sz w:val="21"/>
              </w:rPr>
              <w:t>从轻</w:t>
            </w:r>
          </w:p>
        </w:tc>
        <w:tc>
          <w:tcPr>
            <w:tcW w:w="2717" w:type="dxa"/>
            <w:vAlign w:val="top"/>
          </w:tcPr>
          <w:p>
            <w:pPr>
              <w:pStyle w:val="8"/>
              <w:spacing w:before="92"/>
              <w:ind w:left="107"/>
              <w:rPr>
                <w:b/>
                <w:color w:val="auto"/>
                <w:sz w:val="21"/>
              </w:rPr>
            </w:pPr>
            <w:r>
              <w:rPr>
                <w:b/>
                <w:color w:val="auto"/>
                <w:sz w:val="21"/>
              </w:rPr>
              <w:t>一般</w:t>
            </w:r>
          </w:p>
        </w:tc>
        <w:tc>
          <w:tcPr>
            <w:tcW w:w="3900" w:type="dxa"/>
            <w:vAlign w:val="top"/>
          </w:tcPr>
          <w:p>
            <w:pPr>
              <w:pStyle w:val="8"/>
              <w:spacing w:before="92"/>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9"/>
              <w:ind w:left="170"/>
              <w:rPr>
                <w:b/>
                <w:color w:val="auto"/>
                <w:sz w:val="21"/>
              </w:rPr>
            </w:pPr>
            <w:r>
              <w:rPr>
                <w:b/>
                <w:color w:val="auto"/>
                <w:sz w:val="21"/>
              </w:rPr>
              <w:t>裁量情节</w:t>
            </w:r>
          </w:p>
        </w:tc>
        <w:tc>
          <w:tcPr>
            <w:tcW w:w="2715" w:type="dxa"/>
            <w:vAlign w:val="top"/>
          </w:tcPr>
          <w:p>
            <w:pPr>
              <w:pStyle w:val="8"/>
              <w:spacing w:before="12" w:line="270" w:lineRule="atLeast"/>
              <w:ind w:left="107" w:right="98"/>
              <w:rPr>
                <w:color w:val="auto"/>
                <w:sz w:val="21"/>
              </w:rPr>
            </w:pPr>
            <w:r>
              <w:rPr>
                <w:color w:val="auto"/>
                <w:sz w:val="21"/>
              </w:rPr>
              <w:t>符合裁量规定减轻行政处罚情形的。</w:t>
            </w:r>
          </w:p>
        </w:tc>
        <w:tc>
          <w:tcPr>
            <w:tcW w:w="2714" w:type="dxa"/>
            <w:vAlign w:val="top"/>
          </w:tcPr>
          <w:p>
            <w:pPr>
              <w:pStyle w:val="8"/>
              <w:spacing w:before="12" w:line="270" w:lineRule="atLeast"/>
              <w:ind w:left="107" w:right="95"/>
              <w:rPr>
                <w:color w:val="auto"/>
                <w:sz w:val="21"/>
              </w:rPr>
            </w:pPr>
            <w:r>
              <w:rPr>
                <w:color w:val="auto"/>
                <w:sz w:val="21"/>
              </w:rPr>
              <w:t>符合裁量规定从轻行政处罚情形的。</w:t>
            </w:r>
          </w:p>
        </w:tc>
        <w:tc>
          <w:tcPr>
            <w:tcW w:w="2717" w:type="dxa"/>
            <w:vAlign w:val="top"/>
          </w:tcPr>
          <w:p>
            <w:pPr>
              <w:pStyle w:val="8"/>
              <w:spacing w:before="12" w:line="270" w:lineRule="atLeast"/>
              <w:ind w:left="107" w:right="98"/>
              <w:rPr>
                <w:color w:val="auto"/>
                <w:sz w:val="21"/>
              </w:rPr>
            </w:pPr>
            <w:r>
              <w:rPr>
                <w:color w:val="auto"/>
                <w:sz w:val="21"/>
              </w:rPr>
              <w:t>符合裁量规定一般行政处罚情形的。</w:t>
            </w:r>
          </w:p>
        </w:tc>
        <w:tc>
          <w:tcPr>
            <w:tcW w:w="3900" w:type="dxa"/>
            <w:vAlign w:val="top"/>
          </w:tcPr>
          <w:p>
            <w:pPr>
              <w:pStyle w:val="8"/>
              <w:spacing w:before="149"/>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0" w:hRule="atLeast"/>
        </w:trPr>
        <w:tc>
          <w:tcPr>
            <w:tcW w:w="562" w:type="dxa"/>
            <w:vMerge w:val="continue"/>
            <w:tcBorders>
              <w:top w:val="nil"/>
            </w:tcBorders>
            <w:vAlign w:val="top"/>
          </w:tcPr>
          <w:p>
            <w:pPr>
              <w:rPr>
                <w:color w:val="auto"/>
                <w:sz w:val="2"/>
                <w:szCs w:val="2"/>
              </w:rPr>
            </w:pPr>
          </w:p>
        </w:tc>
        <w:tc>
          <w:tcPr>
            <w:tcW w:w="70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26"/>
              </w:rPr>
            </w:pPr>
          </w:p>
          <w:p>
            <w:pPr>
              <w:pStyle w:val="8"/>
              <w:spacing w:before="1" w:line="244" w:lineRule="auto"/>
              <w:ind w:left="141" w:right="130"/>
              <w:rPr>
                <w:b/>
                <w:color w:val="auto"/>
                <w:sz w:val="21"/>
              </w:rPr>
            </w:pPr>
            <w:r>
              <w:rPr>
                <w:b/>
                <w:color w:val="auto"/>
                <w:sz w:val="21"/>
              </w:rPr>
              <w:t>裁量基准</w:t>
            </w:r>
          </w:p>
        </w:tc>
        <w:tc>
          <w:tcPr>
            <w:tcW w:w="478" w:type="dxa"/>
            <w:vAlign w:val="top"/>
          </w:tcPr>
          <w:p>
            <w:pPr>
              <w:pStyle w:val="8"/>
              <w:spacing w:before="135" w:line="242" w:lineRule="auto"/>
              <w:ind w:left="131" w:right="123"/>
              <w:jc w:val="both"/>
              <w:rPr>
                <w:b/>
                <w:color w:val="auto"/>
                <w:sz w:val="21"/>
              </w:rPr>
            </w:pPr>
            <w:r>
              <w:rPr>
                <w:b/>
                <w:color w:val="auto"/>
                <w:sz w:val="21"/>
              </w:rPr>
              <w:t>一般情形</w:t>
            </w:r>
          </w:p>
        </w:tc>
        <w:tc>
          <w:tcPr>
            <w:tcW w:w="2715" w:type="dxa"/>
            <w:vAlign w:val="top"/>
          </w:tcPr>
          <w:p>
            <w:pPr>
              <w:pStyle w:val="8"/>
              <w:spacing w:before="2"/>
              <w:ind w:left="107"/>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4"/>
                <w:sz w:val="21"/>
              </w:rPr>
              <w:t xml:space="preserve"> 万元以下</w:t>
            </w:r>
          </w:p>
          <w:p>
            <w:r>
              <w:rPr>
                <w:color w:val="auto"/>
                <w:spacing w:val="-11"/>
                <w:sz w:val="21"/>
              </w:rPr>
              <w:t xml:space="preserve">罚款；货值金额 </w:t>
            </w:r>
            <w:r>
              <w:rPr>
                <w:color w:val="auto"/>
                <w:sz w:val="21"/>
              </w:rPr>
              <w:t>1</w:t>
            </w:r>
            <w:r>
              <w:rPr>
                <w:color w:val="auto"/>
                <w:spacing w:val="-12"/>
                <w:sz w:val="21"/>
              </w:rPr>
              <w:t xml:space="preserve"> 万元以上</w:t>
            </w:r>
          </w:p>
          <w:p>
            <w:r>
              <w:rPr>
                <w:color w:val="auto"/>
                <w:spacing w:val="-11"/>
                <w:sz w:val="21"/>
              </w:rPr>
              <w:t xml:space="preserve">的，并处货值金额 </w:t>
            </w:r>
            <w:r>
              <w:rPr>
                <w:color w:val="auto"/>
                <w:sz w:val="21"/>
              </w:rPr>
              <w:t>0.5</w:t>
            </w:r>
            <w:r>
              <w:rPr>
                <w:color w:val="auto"/>
                <w:spacing w:val="-19"/>
                <w:sz w:val="21"/>
              </w:rPr>
              <w:t xml:space="preserve"> 倍以</w:t>
            </w:r>
          </w:p>
          <w:p>
            <w:pPr>
              <w:pStyle w:val="8"/>
              <w:spacing w:before="2" w:line="240" w:lineRule="auto"/>
              <w:ind w:left="107"/>
              <w:rPr>
                <w:color w:val="auto"/>
                <w:sz w:val="21"/>
              </w:rPr>
            </w:pPr>
            <w:r>
              <w:rPr>
                <w:color w:val="auto"/>
                <w:sz w:val="21"/>
              </w:rPr>
              <w:t>上 5 倍以下罚款。</w:t>
            </w:r>
          </w:p>
        </w:tc>
        <w:tc>
          <w:tcPr>
            <w:tcW w:w="2714" w:type="dxa"/>
            <w:vAlign w:val="top"/>
          </w:tcPr>
          <w:p>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28"/>
                <w:sz w:val="21"/>
              </w:rPr>
              <w:t xml:space="preserve">处 </w:t>
            </w:r>
            <w:r>
              <w:rPr>
                <w:color w:val="auto"/>
                <w:sz w:val="21"/>
              </w:rPr>
              <w:t>1</w:t>
            </w:r>
            <w:r>
              <w:rPr>
                <w:color w:val="auto"/>
                <w:spacing w:val="-21"/>
                <w:sz w:val="21"/>
              </w:rPr>
              <w:t xml:space="preserve"> 万元以上 </w:t>
            </w:r>
            <w:r>
              <w:rPr>
                <w:color w:val="auto"/>
                <w:sz w:val="21"/>
              </w:rPr>
              <w:t>2.2</w:t>
            </w:r>
            <w:r>
              <w:rPr>
                <w:color w:val="auto"/>
                <w:spacing w:val="-13"/>
                <w:sz w:val="21"/>
              </w:rPr>
              <w:t xml:space="preserve"> 万元以下</w:t>
            </w:r>
          </w:p>
          <w:p>
            <w:r>
              <w:rPr>
                <w:color w:val="auto"/>
                <w:spacing w:val="-12"/>
                <w:sz w:val="21"/>
              </w:rPr>
              <w:t xml:space="preserve">罚款；货值金额 </w:t>
            </w:r>
            <w:r>
              <w:rPr>
                <w:color w:val="auto"/>
                <w:sz w:val="21"/>
              </w:rPr>
              <w:t>1</w:t>
            </w:r>
            <w:r>
              <w:rPr>
                <w:color w:val="auto"/>
                <w:spacing w:val="-12"/>
                <w:sz w:val="21"/>
              </w:rPr>
              <w:t xml:space="preserve"> 万元以上</w:t>
            </w:r>
          </w:p>
          <w:p>
            <w:r>
              <w:rPr>
                <w:color w:val="auto"/>
                <w:spacing w:val="-11"/>
                <w:sz w:val="21"/>
              </w:rPr>
              <w:t xml:space="preserve">的，并处货值金额 </w:t>
            </w:r>
            <w:r>
              <w:rPr>
                <w:color w:val="auto"/>
                <w:sz w:val="21"/>
              </w:rPr>
              <w:t>5</w:t>
            </w:r>
            <w:r>
              <w:rPr>
                <w:color w:val="auto"/>
                <w:spacing w:val="-14"/>
                <w:sz w:val="21"/>
              </w:rPr>
              <w:t xml:space="preserve"> 倍以上</w:t>
            </w:r>
          </w:p>
          <w:p>
            <w:pPr>
              <w:pStyle w:val="8"/>
              <w:spacing w:before="1" w:line="240" w:lineRule="auto"/>
              <w:ind w:left="107"/>
              <w:rPr>
                <w:color w:val="auto"/>
                <w:sz w:val="21"/>
              </w:rPr>
            </w:pPr>
            <w:r>
              <w:rPr>
                <w:color w:val="auto"/>
                <w:sz w:val="21"/>
              </w:rPr>
              <w:t>9.5 倍以下罚款。</w:t>
            </w:r>
          </w:p>
        </w:tc>
        <w:tc>
          <w:tcPr>
            <w:tcW w:w="2717" w:type="dxa"/>
            <w:vAlign w:val="top"/>
          </w:tcPr>
          <w:p>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w:t>
            </w:r>
          </w:p>
          <w:p>
            <w:r>
              <w:rPr>
                <w:color w:val="auto"/>
                <w:spacing w:val="-11"/>
                <w:sz w:val="21"/>
              </w:rPr>
              <w:t xml:space="preserve">下罚款；货值金额 </w:t>
            </w:r>
            <w:r>
              <w:rPr>
                <w:color w:val="auto"/>
                <w:sz w:val="21"/>
              </w:rPr>
              <w:t>1</w:t>
            </w:r>
            <w:r>
              <w:rPr>
                <w:color w:val="auto"/>
                <w:spacing w:val="-14"/>
                <w:sz w:val="21"/>
              </w:rPr>
              <w:t xml:space="preserve"> 万元以</w:t>
            </w:r>
          </w:p>
          <w:p>
            <w:r>
              <w:rPr>
                <w:color w:val="auto"/>
                <w:spacing w:val="-11"/>
                <w:sz w:val="21"/>
              </w:rPr>
              <w:t xml:space="preserve">上的，并处货值金额 </w:t>
            </w:r>
            <w:r>
              <w:rPr>
                <w:color w:val="auto"/>
                <w:sz w:val="21"/>
              </w:rPr>
              <w:t>9.5</w:t>
            </w:r>
            <w:r>
              <w:rPr>
                <w:color w:val="auto"/>
                <w:spacing w:val="-24"/>
                <w:sz w:val="21"/>
              </w:rPr>
              <w:t xml:space="preserve"> 倍</w:t>
            </w:r>
          </w:p>
          <w:p>
            <w:pPr>
              <w:pStyle w:val="8"/>
              <w:spacing w:before="1" w:line="240" w:lineRule="auto"/>
              <w:ind w:left="107"/>
              <w:rPr>
                <w:color w:val="auto"/>
                <w:sz w:val="21"/>
              </w:rPr>
            </w:pPr>
            <w:r>
              <w:rPr>
                <w:color w:val="auto"/>
                <w:sz w:val="21"/>
              </w:rPr>
              <w:t>以上 15.5 倍以下罚款。</w:t>
            </w:r>
          </w:p>
        </w:tc>
        <w:tc>
          <w:tcPr>
            <w:tcW w:w="3900" w:type="dxa"/>
            <w:vAlign w:val="top"/>
          </w:tcPr>
          <w:p>
            <w:r>
              <w:rPr>
                <w:color w:val="auto"/>
                <w:spacing w:val="-9"/>
                <w:sz w:val="21"/>
              </w:rPr>
              <w:t xml:space="preserve">货值金额不足 </w:t>
            </w:r>
            <w:r>
              <w:rPr>
                <w:color w:val="auto"/>
                <w:sz w:val="21"/>
              </w:rPr>
              <w:t>1</w:t>
            </w:r>
            <w:r>
              <w:rPr>
                <w:color w:val="auto"/>
                <w:spacing w:val="-27"/>
                <w:sz w:val="21"/>
              </w:rPr>
              <w:t xml:space="preserve"> 万元的，并处 </w:t>
            </w:r>
            <w:r>
              <w:rPr>
                <w:color w:val="auto"/>
                <w:sz w:val="21"/>
              </w:rPr>
              <w:t>3.8</w:t>
            </w:r>
            <w:r>
              <w:rPr>
                <w:color w:val="auto"/>
                <w:spacing w:val="-14"/>
                <w:sz w:val="21"/>
              </w:rPr>
              <w:t xml:space="preserve"> 万元以</w:t>
            </w:r>
          </w:p>
          <w:p>
            <w:r>
              <w:rPr>
                <w:color w:val="auto"/>
                <w:spacing w:val="-24"/>
                <w:sz w:val="21"/>
              </w:rPr>
              <w:t xml:space="preserve"> </w:t>
            </w:r>
            <w:r>
              <w:rPr>
                <w:color w:val="auto"/>
                <w:sz w:val="21"/>
              </w:rPr>
              <w:t>5</w:t>
            </w:r>
            <w:r>
              <w:rPr>
                <w:color w:val="auto"/>
                <w:spacing w:val="-20"/>
                <w:sz w:val="21"/>
              </w:rPr>
              <w:t xml:space="preserve"> 万元以下罚款；货值金额 </w:t>
            </w:r>
            <w:r>
              <w:rPr>
                <w:color w:val="auto"/>
                <w:sz w:val="21"/>
              </w:rPr>
              <w:t>1</w:t>
            </w:r>
            <w:r>
              <w:rPr>
                <w:color w:val="auto"/>
                <w:spacing w:val="-12"/>
                <w:sz w:val="21"/>
              </w:rPr>
              <w:t xml:space="preserve"> 万元以上</w:t>
            </w:r>
          </w:p>
          <w:p>
            <w:pPr>
              <w:pStyle w:val="8"/>
              <w:spacing w:before="135" w:line="240" w:lineRule="auto"/>
              <w:ind w:left="105" w:right="0"/>
              <w:rPr>
                <w:color w:val="auto"/>
                <w:sz w:val="21"/>
              </w:rPr>
            </w:pPr>
            <w:r>
              <w:rPr>
                <w:color w:val="auto"/>
                <w:spacing w:val="-19"/>
                <w:sz w:val="21"/>
              </w:rPr>
              <w:t xml:space="preserve">的，并处货值金额 </w:t>
            </w:r>
            <w:r>
              <w:rPr>
                <w:color w:val="auto"/>
                <w:sz w:val="21"/>
              </w:rPr>
              <w:t>15.5</w:t>
            </w:r>
            <w:r>
              <w:rPr>
                <w:color w:val="auto"/>
                <w:spacing w:val="-22"/>
                <w:sz w:val="21"/>
              </w:rPr>
              <w:t xml:space="preserve"> 倍以上 </w:t>
            </w:r>
            <w:r>
              <w:rPr>
                <w:color w:val="auto"/>
                <w:sz w:val="21"/>
              </w:rPr>
              <w:t>20</w:t>
            </w:r>
            <w:r>
              <w:rPr>
                <w:color w:val="auto"/>
                <w:spacing w:val="-14"/>
                <w:sz w:val="21"/>
              </w:rPr>
              <w:t xml:space="preserve">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34" w:hRule="atLeast"/>
        </w:trPr>
        <w:tc>
          <w:tcPr>
            <w:tcW w:w="562" w:type="dxa"/>
            <w:vMerge w:val="continue"/>
            <w:tcBorders>
              <w:top w:val="nil"/>
            </w:tcBorders>
            <w:vAlign w:val="top"/>
          </w:tcPr>
          <w:p>
            <w:pPr>
              <w:rPr>
                <w:color w:val="auto"/>
                <w:sz w:val="2"/>
                <w:szCs w:val="2"/>
              </w:rPr>
            </w:pPr>
          </w:p>
        </w:tc>
        <w:tc>
          <w:tcPr>
            <w:tcW w:w="706" w:type="dxa"/>
            <w:vMerge w:val="continue"/>
            <w:tcBorders>
              <w:top w:val="nil"/>
            </w:tcBorders>
            <w:vAlign w:val="top"/>
          </w:tcPr>
          <w:p>
            <w:pPr>
              <w:rPr>
                <w:color w:val="auto"/>
                <w:sz w:val="2"/>
                <w:szCs w:val="2"/>
              </w:rPr>
            </w:pPr>
          </w:p>
        </w:tc>
        <w:tc>
          <w:tcPr>
            <w:tcW w:w="478" w:type="dxa"/>
            <w:vAlign w:val="top"/>
          </w:tcPr>
          <w:p>
            <w:pPr>
              <w:pStyle w:val="8"/>
              <w:spacing w:before="137" w:line="242" w:lineRule="auto"/>
              <w:ind w:left="131" w:right="123"/>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1</w:t>
            </w:r>
            <w:r>
              <w:rPr>
                <w:color w:val="auto"/>
                <w:spacing w:val="-24"/>
                <w:sz w:val="21"/>
              </w:rPr>
              <w:t xml:space="preserve"> 倍以上 </w:t>
            </w:r>
            <w:r>
              <w:rPr>
                <w:color w:val="auto"/>
                <w:sz w:val="21"/>
              </w:rPr>
              <w:t>1.6</w:t>
            </w:r>
            <w:r>
              <w:rPr>
                <w:color w:val="auto"/>
                <w:spacing w:val="-19"/>
                <w:sz w:val="21"/>
              </w:rPr>
              <w:t xml:space="preserve"> 倍以下</w:t>
            </w:r>
          </w:p>
          <w:p>
            <w:pPr>
              <w:pStyle w:val="8"/>
              <w:spacing w:before="1" w:line="242" w:lineRule="auto"/>
              <w:ind w:left="107" w:right="93"/>
              <w:jc w:val="both"/>
              <w:rPr>
                <w:color w:val="auto"/>
                <w:sz w:val="21"/>
              </w:rPr>
            </w:pPr>
            <w:r>
              <w:rPr>
                <w:color w:val="auto"/>
                <w:sz w:val="21"/>
              </w:rPr>
              <w:t>罚款。</w:t>
            </w:r>
          </w:p>
        </w:tc>
        <w:tc>
          <w:tcPr>
            <w:tcW w:w="2717" w:type="dxa"/>
            <w:vAlign w:val="top"/>
          </w:tcPr>
          <w:p>
            <w:r>
              <w:rPr>
                <w:color w:val="auto"/>
                <w:spacing w:val="13"/>
                <w:sz w:val="21"/>
              </w:rPr>
              <w:t>法定代表人或者主要负责</w:t>
            </w:r>
            <w:r>
              <w:rPr>
                <w:color w:val="auto"/>
                <w:spacing w:val="-7"/>
                <w:sz w:val="21"/>
              </w:rPr>
              <w:t>人、直接负责的主管人员和</w:t>
            </w:r>
            <w:r>
              <w:rPr>
                <w:color w:val="auto"/>
                <w:spacing w:val="13"/>
                <w:sz w:val="21"/>
              </w:rPr>
              <w:t>其他直接责任人员处以其上一年度从本单位取得收</w:t>
            </w:r>
            <w:r>
              <w:rPr>
                <w:color w:val="auto"/>
                <w:spacing w:val="-20"/>
                <w:sz w:val="21"/>
              </w:rPr>
              <w:t xml:space="preserve">入的 </w:t>
            </w:r>
            <w:r>
              <w:rPr>
                <w:color w:val="auto"/>
                <w:sz w:val="21"/>
              </w:rPr>
              <w:t>1.6</w:t>
            </w:r>
            <w:r>
              <w:rPr>
                <w:color w:val="auto"/>
                <w:spacing w:val="-24"/>
                <w:sz w:val="21"/>
              </w:rPr>
              <w:t xml:space="preserve"> 倍以上 </w:t>
            </w:r>
            <w:r>
              <w:rPr>
                <w:color w:val="auto"/>
                <w:sz w:val="21"/>
              </w:rPr>
              <w:t>2.4</w:t>
            </w:r>
            <w:r>
              <w:rPr>
                <w:color w:val="auto"/>
                <w:spacing w:val="-20"/>
                <w:sz w:val="21"/>
              </w:rPr>
              <w:t xml:space="preserve"> 倍以下</w:t>
            </w:r>
          </w:p>
          <w:p>
            <w:pPr>
              <w:pStyle w:val="8"/>
              <w:spacing w:before="1" w:line="242" w:lineRule="auto"/>
              <w:ind w:left="107" w:right="96"/>
              <w:jc w:val="both"/>
              <w:rPr>
                <w:color w:val="auto"/>
                <w:sz w:val="21"/>
              </w:rPr>
            </w:pPr>
            <w:r>
              <w:rPr>
                <w:color w:val="auto"/>
                <w:sz w:val="21"/>
              </w:rPr>
              <w:t>罚款。</w:t>
            </w:r>
          </w:p>
        </w:tc>
        <w:tc>
          <w:tcPr>
            <w:tcW w:w="3900" w:type="dxa"/>
            <w:vAlign w:val="top"/>
          </w:tcPr>
          <w:p>
            <w:pPr>
              <w:pStyle w:val="8"/>
              <w:spacing w:before="0" w:line="242" w:lineRule="auto"/>
              <w:ind w:left="105" w:right="93"/>
              <w:rPr>
                <w:rFonts w:ascii="Times New Roman"/>
                <w:color w:val="auto"/>
                <w:sz w:val="23"/>
              </w:rPr>
            </w:pPr>
          </w:p>
          <w:p>
            <w:r>
              <w:rPr>
                <w:color w:val="auto"/>
                <w:spacing w:val="-11"/>
                <w:sz w:val="21"/>
              </w:rPr>
              <w:t>对法定代表人或者主要负责人、直接负责</w:t>
            </w:r>
            <w:r>
              <w:rPr>
                <w:color w:val="auto"/>
                <w:spacing w:val="3"/>
                <w:sz w:val="21"/>
              </w:rPr>
              <w:t>的主管人员和其他直接责任人员处以其</w:t>
            </w:r>
            <w:r>
              <w:rPr>
                <w:color w:val="auto"/>
                <w:spacing w:val="-2"/>
                <w:sz w:val="21"/>
              </w:rPr>
              <w:t xml:space="preserve">上一年度从本单位取得收入的 </w:t>
            </w:r>
            <w:r>
              <w:rPr>
                <w:color w:val="auto"/>
                <w:sz w:val="21"/>
              </w:rPr>
              <w:t>2.4</w:t>
            </w:r>
            <w:r>
              <w:rPr>
                <w:color w:val="auto"/>
                <w:spacing w:val="-2"/>
                <w:sz w:val="21"/>
              </w:rPr>
              <w:t xml:space="preserve"> 倍以</w:t>
            </w:r>
          </w:p>
          <w:p>
            <w:pPr>
              <w:pStyle w:val="8"/>
              <w:spacing w:before="0" w:line="242" w:lineRule="auto"/>
              <w:ind w:left="105" w:right="93"/>
              <w:jc w:val="both"/>
              <w:rPr>
                <w:color w:val="auto"/>
                <w:sz w:val="21"/>
              </w:rPr>
            </w:pPr>
            <w:r>
              <w:rPr>
                <w:color w:val="auto"/>
                <w:sz w:val="21"/>
              </w:rPr>
              <w:t>上 3 倍以下罚款。</w:t>
            </w:r>
          </w:p>
        </w:tc>
      </w:tr>
    </w:tbl>
    <w:p>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36"/>
        <w:gridCol w:w="547"/>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8" w:hRule="atLeast"/>
        </w:trPr>
        <w:tc>
          <w:tcPr>
            <w:tcW w:w="562" w:type="dxa"/>
            <w:tcBorders>
              <w:bottom w:val="nil"/>
            </w:tcBorders>
            <w:vAlign w:val="top"/>
          </w:tcPr>
          <w:p>
            <w:pPr>
              <w:pStyle w:val="8"/>
              <w:rPr>
                <w:rFonts w:ascii="Times New Roman"/>
                <w:color w:val="auto"/>
                <w:sz w:val="20"/>
              </w:rPr>
            </w:pPr>
          </w:p>
        </w:tc>
        <w:tc>
          <w:tcPr>
            <w:tcW w:w="1183" w:type="dxa"/>
            <w:gridSpan w:val="2"/>
            <w:tcBorders>
              <w:bottom w:val="nil"/>
            </w:tcBorders>
            <w:vAlign w:val="top"/>
          </w:tcPr>
          <w:p>
            <w:pPr>
              <w:pStyle w:val="8"/>
              <w:rPr>
                <w:rFonts w:ascii="Times New Roman"/>
                <w:color w:val="auto"/>
                <w:sz w:val="20"/>
              </w:rPr>
            </w:pPr>
          </w:p>
        </w:tc>
        <w:tc>
          <w:tcPr>
            <w:tcW w:w="12046" w:type="dxa"/>
            <w:gridSpan w:val="4"/>
            <w:tcBorders>
              <w:bottom w:val="nil"/>
            </w:tcBorders>
            <w:vAlign w:val="top"/>
          </w:tcPr>
          <w:p>
            <w:pPr>
              <w:pStyle w:val="8"/>
              <w:spacing w:before="54" w:line="254" w:lineRule="exact"/>
              <w:ind w:left="528"/>
              <w:rPr>
                <w:color w:val="auto"/>
                <w:sz w:val="21"/>
              </w:rPr>
            </w:pPr>
            <w:r>
              <w:rPr>
                <w:color w:val="auto"/>
                <w:sz w:val="21"/>
              </w:rPr>
              <w:t>上市销售、经营或者进口未备案的普通化妆品；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atLeast"/>
        </w:trPr>
        <w:tc>
          <w:tcPr>
            <w:tcW w:w="562" w:type="dxa"/>
            <w:tcBorders>
              <w:top w:val="nil"/>
              <w:bottom w:val="nil"/>
            </w:tcBorders>
            <w:vAlign w:val="top"/>
          </w:tcPr>
          <w:p>
            <w:pPr>
              <w:pStyle w:val="8"/>
              <w:rPr>
                <w:rFonts w:ascii="Times New Roman"/>
                <w:color w:val="auto"/>
                <w:sz w:val="20"/>
              </w:rPr>
            </w:pPr>
          </w:p>
        </w:tc>
        <w:tc>
          <w:tcPr>
            <w:tcW w:w="1183" w:type="dxa"/>
            <w:gridSpan w:val="2"/>
            <w:tcBorders>
              <w:top w:val="nil"/>
              <w:bottom w:val="nil"/>
            </w:tcBorders>
            <w:vAlign w:val="top"/>
          </w:tcPr>
          <w:p>
            <w:pPr>
              <w:pStyle w:val="8"/>
              <w:rPr>
                <w:rFonts w:ascii="Times New Roman"/>
                <w:color w:val="auto"/>
                <w:sz w:val="20"/>
              </w:rPr>
            </w:pPr>
          </w:p>
        </w:tc>
        <w:tc>
          <w:tcPr>
            <w:tcW w:w="12046" w:type="dxa"/>
            <w:gridSpan w:val="4"/>
            <w:tcBorders>
              <w:top w:val="nil"/>
              <w:bottom w:val="nil"/>
            </w:tcBorders>
            <w:vAlign w:val="top"/>
          </w:tcPr>
          <w:p>
            <w:pPr>
              <w:pStyle w:val="8"/>
              <w:spacing w:before="6" w:line="249" w:lineRule="exact"/>
              <w:ind w:left="528"/>
              <w:rPr>
                <w:color w:val="auto"/>
                <w:sz w:val="21"/>
              </w:rPr>
            </w:pPr>
            <w:r>
              <w:rPr>
                <w:color w:val="auto"/>
                <w:sz w:val="21"/>
              </w:rPr>
              <w:t>未依照《化妆品监督管理条例》规定设质量安全负责人；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5" w:hRule="atLeast"/>
        </w:trPr>
        <w:tc>
          <w:tcPr>
            <w:tcW w:w="562" w:type="dxa"/>
            <w:tcBorders>
              <w:top w:val="nil"/>
              <w:bottom w:val="nil"/>
            </w:tcBorders>
            <w:vAlign w:val="top"/>
          </w:tcPr>
          <w:p>
            <w:pPr>
              <w:pStyle w:val="8"/>
              <w:rPr>
                <w:rFonts w:ascii="Times New Roman"/>
                <w:color w:val="auto"/>
                <w:sz w:val="20"/>
              </w:rPr>
            </w:pPr>
          </w:p>
        </w:tc>
        <w:tc>
          <w:tcPr>
            <w:tcW w:w="1183" w:type="dxa"/>
            <w:gridSpan w:val="2"/>
            <w:tcBorders>
              <w:top w:val="nil"/>
              <w:bottom w:val="nil"/>
            </w:tcBorders>
            <w:vAlign w:val="top"/>
          </w:tcPr>
          <w:p>
            <w:pPr>
              <w:pStyle w:val="8"/>
              <w:spacing w:line="265" w:lineRule="exact"/>
              <w:ind w:left="170"/>
              <w:rPr>
                <w:b/>
                <w:color w:val="auto"/>
                <w:sz w:val="21"/>
              </w:rPr>
            </w:pPr>
            <w:r>
              <w:rPr>
                <w:b/>
                <w:color w:val="auto"/>
                <w:sz w:val="21"/>
              </w:rPr>
              <w:t>违法行为</w:t>
            </w:r>
          </w:p>
        </w:tc>
        <w:tc>
          <w:tcPr>
            <w:tcW w:w="12046" w:type="dxa"/>
            <w:gridSpan w:val="4"/>
            <w:tcBorders>
              <w:top w:val="nil"/>
              <w:bottom w:val="nil"/>
            </w:tcBorders>
            <w:vAlign w:val="top"/>
          </w:tcPr>
          <w:p>
            <w:pPr>
              <w:pStyle w:val="8"/>
              <w:spacing w:before="12" w:line="253" w:lineRule="exact"/>
              <w:ind w:left="528"/>
              <w:rPr>
                <w:color w:val="auto"/>
                <w:sz w:val="21"/>
              </w:rPr>
            </w:pPr>
            <w:r>
              <w:rPr>
                <w:color w:val="auto"/>
                <w:sz w:val="21"/>
              </w:rPr>
              <w:t>化妆品注册人、备案人未对受托生产企业的生产活动进行监督；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4" w:hRule="atLeast"/>
        </w:trPr>
        <w:tc>
          <w:tcPr>
            <w:tcW w:w="562" w:type="dxa"/>
            <w:tcBorders>
              <w:top w:val="nil"/>
              <w:bottom w:val="nil"/>
            </w:tcBorders>
            <w:vAlign w:val="top"/>
          </w:tcPr>
          <w:p>
            <w:pPr>
              <w:pStyle w:val="8"/>
              <w:rPr>
                <w:rFonts w:ascii="Times New Roman"/>
                <w:color w:val="auto"/>
                <w:sz w:val="20"/>
              </w:rPr>
            </w:pPr>
          </w:p>
        </w:tc>
        <w:tc>
          <w:tcPr>
            <w:tcW w:w="1183" w:type="dxa"/>
            <w:gridSpan w:val="2"/>
            <w:tcBorders>
              <w:top w:val="nil"/>
            </w:tcBorders>
            <w:vAlign w:val="top"/>
          </w:tcPr>
          <w:p>
            <w:pPr>
              <w:pStyle w:val="8"/>
              <w:rPr>
                <w:rFonts w:ascii="Times New Roman"/>
                <w:color w:val="auto"/>
                <w:sz w:val="20"/>
              </w:rPr>
            </w:pPr>
          </w:p>
        </w:tc>
        <w:tc>
          <w:tcPr>
            <w:tcW w:w="12046" w:type="dxa"/>
            <w:gridSpan w:val="4"/>
            <w:tcBorders>
              <w:top w:val="nil"/>
            </w:tcBorders>
            <w:vAlign w:val="top"/>
          </w:tcPr>
          <w:p>
            <w:pPr>
              <w:pStyle w:val="8"/>
              <w:spacing w:before="5"/>
              <w:ind w:left="528" w:right="4779"/>
              <w:rPr>
                <w:color w:val="auto"/>
                <w:sz w:val="21"/>
              </w:rPr>
            </w:pPr>
            <w:r>
              <w:rPr>
                <w:color w:val="auto"/>
                <w:sz w:val="21"/>
              </w:rPr>
              <w:t xml:space="preserve">未依照《化妆品监督管理条例》规定建立并执行从业人员健康管理制度； </w:t>
            </w:r>
          </w:p>
          <w:p>
            <w:r>
              <w:rPr>
                <w:color w:val="auto"/>
                <w:sz w:val="21"/>
              </w:rPr>
              <w:t>生</w:t>
            </w:r>
          </w:p>
          <w:p>
            <w:pPr>
              <w:pStyle w:val="8"/>
              <w:spacing w:before="5"/>
              <w:ind w:left="528" w:right="4779"/>
              <w:rPr>
                <w:color w:val="auto"/>
                <w:sz w:val="21"/>
              </w:rPr>
            </w:pPr>
            <w:r>
              <w:rPr>
                <w:color w:val="auto"/>
                <w:sz w:val="21"/>
              </w:rPr>
              <w:t>产经营标签不符合《化妆品监督管理条例》规定的化妆品。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6" w:hRule="atLeast"/>
        </w:trPr>
        <w:tc>
          <w:tcPr>
            <w:tcW w:w="562" w:type="dxa"/>
            <w:tcBorders>
              <w:top w:val="nil"/>
              <w:bottom w:val="nil"/>
            </w:tcBorders>
            <w:vAlign w:val="top"/>
          </w:tcPr>
          <w:p>
            <w:pPr>
              <w:pStyle w:val="8"/>
              <w:rPr>
                <w:rFonts w:ascii="Times New Roman"/>
                <w:color w:val="auto"/>
                <w:sz w:val="20"/>
              </w:rPr>
            </w:pPr>
          </w:p>
        </w:tc>
        <w:tc>
          <w:tcPr>
            <w:tcW w:w="1183"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144"/>
              <w:ind w:left="170"/>
              <w:rPr>
                <w:b/>
                <w:color w:val="auto"/>
                <w:sz w:val="21"/>
              </w:rPr>
            </w:pPr>
            <w:r>
              <w:rPr>
                <w:b/>
                <w:color w:val="auto"/>
                <w:sz w:val="21"/>
              </w:rPr>
              <w:t>处罚依据</w:t>
            </w:r>
          </w:p>
        </w:tc>
        <w:tc>
          <w:tcPr>
            <w:tcW w:w="12046" w:type="dxa"/>
            <w:gridSpan w:val="4"/>
            <w:vAlign w:val="top"/>
          </w:tcPr>
          <w:p>
            <w:r>
              <w:rPr>
                <w:color w:val="auto"/>
                <w:spacing w:val="-1"/>
                <w:sz w:val="21"/>
              </w:rPr>
              <w:t xml:space="preserve">根据《化妆品监督管理条例》第六十一条第一款规定，由负责药品监督管理的部门没收违法所得、违法生产经营的化妆品， </w:t>
            </w:r>
            <w:r>
              <w:rPr>
                <w:color w:val="auto"/>
                <w:spacing w:val="-8"/>
                <w:sz w:val="21"/>
              </w:rPr>
              <w:t xml:space="preserve">并可以没收专门用于违法生产经营的原料、包装材料、工具、设备等物品；违法生产经营的化妆品货值金额不足 </w:t>
            </w:r>
            <w:r>
              <w:rPr>
                <w:color w:val="auto"/>
                <w:sz w:val="21"/>
              </w:rPr>
              <w:t>1</w:t>
            </w:r>
            <w:r>
              <w:rPr>
                <w:color w:val="auto"/>
                <w:spacing w:val="-14"/>
                <w:sz w:val="21"/>
              </w:rPr>
              <w:t xml:space="preserve"> 万元的，并处 </w:t>
            </w:r>
            <w:r>
              <w:rPr>
                <w:color w:val="auto"/>
                <w:sz w:val="21"/>
              </w:rPr>
              <w:t>1</w:t>
            </w:r>
          </w:p>
          <w:p>
            <w:pPr>
              <w:pStyle w:val="8"/>
              <w:spacing w:before="58" w:line="244" w:lineRule="auto"/>
              <w:ind w:left="108" w:right="92" w:firstLine="420"/>
              <w:jc w:val="both"/>
              <w:rPr>
                <w:color w:val="auto"/>
                <w:sz w:val="21"/>
              </w:rPr>
            </w:pPr>
            <w:r>
              <w:rPr>
                <w:color w:val="auto"/>
                <w:spacing w:val="-10"/>
                <w:sz w:val="21"/>
              </w:rPr>
              <w:t xml:space="preserve">万元以上 </w:t>
            </w:r>
            <w:r>
              <w:rPr>
                <w:color w:val="auto"/>
                <w:sz w:val="21"/>
              </w:rPr>
              <w:t>3</w:t>
            </w:r>
            <w:r>
              <w:rPr>
                <w:color w:val="auto"/>
                <w:spacing w:val="-12"/>
                <w:sz w:val="21"/>
              </w:rPr>
              <w:t xml:space="preserve"> 万元以下罚款；货值金额 </w:t>
            </w:r>
            <w:r>
              <w:rPr>
                <w:color w:val="auto"/>
                <w:sz w:val="21"/>
              </w:rPr>
              <w:t>1</w:t>
            </w:r>
            <w:r>
              <w:rPr>
                <w:color w:val="auto"/>
                <w:spacing w:val="-12"/>
                <w:sz w:val="21"/>
              </w:rPr>
              <w:t xml:space="preserve"> 万元以上的，并处货值金额 </w:t>
            </w:r>
            <w:r>
              <w:rPr>
                <w:color w:val="auto"/>
                <w:sz w:val="21"/>
              </w:rPr>
              <w:t>3</w:t>
            </w:r>
            <w:r>
              <w:rPr>
                <w:color w:val="auto"/>
                <w:spacing w:val="-20"/>
                <w:sz w:val="21"/>
              </w:rPr>
              <w:t xml:space="preserve"> 倍以上 </w:t>
            </w:r>
            <w:r>
              <w:rPr>
                <w:color w:val="auto"/>
                <w:sz w:val="21"/>
              </w:rPr>
              <w:t>10</w:t>
            </w:r>
            <w:r>
              <w:rPr>
                <w:color w:val="auto"/>
                <w:spacing w:val="-10"/>
                <w:sz w:val="21"/>
              </w:rPr>
              <w:t xml:space="preserve"> 倍以下罚款。情节严重的，责令停产停业、由备案</w:t>
            </w:r>
            <w:r>
              <w:rPr>
                <w:color w:val="auto"/>
                <w:spacing w:val="-11"/>
                <w:sz w:val="21"/>
              </w:rPr>
              <w:t>部门取消备案或者由原发证部门吊销化妆品许可证件，对违法单位的法定代表人或者主要负责人、直接负责的主管人员和其他直</w:t>
            </w:r>
            <w:r>
              <w:rPr>
                <w:color w:val="auto"/>
                <w:spacing w:val="-6"/>
                <w:sz w:val="21"/>
              </w:rPr>
              <w:t xml:space="preserve">接责任人员处以其上一年度从本单位取得收入的 </w:t>
            </w:r>
            <w:r>
              <w:rPr>
                <w:color w:val="auto"/>
                <w:sz w:val="21"/>
              </w:rPr>
              <w:t>1</w:t>
            </w:r>
            <w:r>
              <w:rPr>
                <w:color w:val="auto"/>
                <w:spacing w:val="-23"/>
                <w:sz w:val="21"/>
              </w:rPr>
              <w:t xml:space="preserve"> 倍以上 </w:t>
            </w:r>
            <w:r>
              <w:rPr>
                <w:color w:val="auto"/>
                <w:sz w:val="21"/>
              </w:rPr>
              <w:t>2</w:t>
            </w:r>
            <w:r>
              <w:rPr>
                <w:color w:val="auto"/>
                <w:spacing w:val="-11"/>
                <w:sz w:val="21"/>
              </w:rPr>
              <w:t xml:space="preserve"> 倍以下罚款</w:t>
            </w:r>
            <w:r>
              <w:rPr>
                <w:color w:val="auto"/>
                <w:sz w:val="21"/>
              </w:rPr>
              <w:t>，5</w:t>
            </w:r>
            <w:r>
              <w:rPr>
                <w:color w:val="auto"/>
                <w:spacing w:val="-9"/>
                <w:sz w:val="21"/>
              </w:rPr>
              <w:t xml:space="preserve"> 年内禁止其从事化妆品生产经营活动。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tcBorders>
              <w:top w:val="nil"/>
              <w:bottom w:val="nil"/>
            </w:tcBorders>
            <w:vAlign w:val="top"/>
          </w:tcPr>
          <w:p>
            <w:pPr>
              <w:pStyle w:val="8"/>
              <w:rPr>
                <w:rFonts w:ascii="Times New Roman"/>
                <w:color w:val="auto"/>
                <w:sz w:val="20"/>
              </w:rPr>
            </w:pPr>
          </w:p>
        </w:tc>
        <w:tc>
          <w:tcPr>
            <w:tcW w:w="1183"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8" w:hRule="atLeast"/>
        </w:trPr>
        <w:tc>
          <w:tcPr>
            <w:tcW w:w="562" w:type="dxa"/>
            <w:tcBorders>
              <w:top w:val="nil"/>
              <w:bottom w:val="nil"/>
            </w:tcBorders>
            <w:vAlign w:val="top"/>
          </w:tcPr>
          <w:p>
            <w:pPr>
              <w:pStyle w:val="8"/>
              <w:spacing w:before="116"/>
              <w:ind w:left="9"/>
              <w:jc w:val="center"/>
              <w:rPr>
                <w:b/>
                <w:color w:val="auto"/>
                <w:sz w:val="21"/>
              </w:rPr>
            </w:pPr>
            <w:r>
              <w:rPr>
                <w:b/>
                <w:color w:val="auto"/>
                <w:w w:val="99"/>
                <w:sz w:val="21"/>
              </w:rPr>
              <w:t>3</w:t>
            </w: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7" w:line="244"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4"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4"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44" w:hRule="atLeast"/>
        </w:trPr>
        <w:tc>
          <w:tcPr>
            <w:tcW w:w="562" w:type="dxa"/>
            <w:tcBorders>
              <w:top w:val="nil"/>
              <w:bottom w:val="nil"/>
            </w:tcBorders>
            <w:vAlign w:val="top"/>
          </w:tcPr>
          <w:p>
            <w:pPr>
              <w:pStyle w:val="8"/>
              <w:rPr>
                <w:rFonts w:ascii="Times New Roman"/>
                <w:color w:val="auto"/>
                <w:sz w:val="20"/>
              </w:rPr>
            </w:pPr>
          </w:p>
        </w:tc>
        <w:tc>
          <w:tcPr>
            <w:tcW w:w="636"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8"/>
              </w:rPr>
            </w:pPr>
          </w:p>
          <w:p>
            <w:pPr>
              <w:pStyle w:val="8"/>
              <w:spacing w:line="242" w:lineRule="auto"/>
              <w:ind w:left="211" w:right="201"/>
              <w:jc w:val="both"/>
              <w:rPr>
                <w:b/>
                <w:color w:val="auto"/>
                <w:sz w:val="21"/>
              </w:rPr>
            </w:pPr>
            <w:r>
              <w:rPr>
                <w:b/>
                <w:color w:val="auto"/>
                <w:sz w:val="21"/>
              </w:rPr>
              <w:t>裁量基准</w:t>
            </w:r>
          </w:p>
        </w:tc>
        <w:tc>
          <w:tcPr>
            <w:tcW w:w="547" w:type="dxa"/>
            <w:vAlign w:val="top"/>
          </w:tcPr>
          <w:p>
            <w:pPr>
              <w:pStyle w:val="8"/>
              <w:spacing w:before="1"/>
              <w:rPr>
                <w:rFonts w:ascii="Times New Roman"/>
                <w:color w:val="auto"/>
                <w:sz w:val="24"/>
              </w:rPr>
            </w:pPr>
          </w:p>
          <w:p>
            <w:pPr>
              <w:pStyle w:val="8"/>
              <w:spacing w:line="242" w:lineRule="auto"/>
              <w:ind w:left="167" w:right="157"/>
              <w:jc w:val="both"/>
              <w:rPr>
                <w:b/>
                <w:color w:val="auto"/>
                <w:sz w:val="21"/>
              </w:rPr>
            </w:pPr>
            <w:r>
              <w:rPr>
                <w:b/>
                <w:color w:val="auto"/>
                <w:sz w:val="21"/>
              </w:rPr>
              <w:t>一般情形</w:t>
            </w:r>
          </w:p>
        </w:tc>
        <w:tc>
          <w:tcPr>
            <w:tcW w:w="2715" w:type="dxa"/>
            <w:vAlign w:val="top"/>
          </w:tcPr>
          <w:p>
            <w:pPr>
              <w:pStyle w:val="8"/>
              <w:spacing w:before="140"/>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8"/>
              <w:rPr>
                <w:color w:val="auto"/>
                <w:sz w:val="21"/>
              </w:rPr>
            </w:pPr>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4"/>
                <w:sz w:val="21"/>
              </w:rPr>
              <w:t xml:space="preserve"> 万元以下</w:t>
            </w:r>
          </w:p>
          <w:p>
            <w:pPr>
              <w:pStyle w:val="8"/>
              <w:spacing w:before="2"/>
              <w:ind w:left="108"/>
              <w:rPr>
                <w:color w:val="auto"/>
                <w:sz w:val="21"/>
              </w:rPr>
            </w:pPr>
            <w:r>
              <w:rPr>
                <w:color w:val="auto"/>
                <w:spacing w:val="-11"/>
                <w:sz w:val="21"/>
              </w:rPr>
              <w:t xml:space="preserve">罚款；货值金额 </w:t>
            </w:r>
            <w:r>
              <w:rPr>
                <w:color w:val="auto"/>
                <w:sz w:val="21"/>
              </w:rPr>
              <w:t>1</w:t>
            </w:r>
            <w:r>
              <w:rPr>
                <w:color w:val="auto"/>
                <w:spacing w:val="-12"/>
                <w:sz w:val="21"/>
              </w:rPr>
              <w:t xml:space="preserve"> 万元以上</w:t>
            </w:r>
          </w:p>
          <w:p>
            <w:pPr>
              <w:pStyle w:val="8"/>
              <w:spacing w:before="5"/>
              <w:ind w:left="108"/>
              <w:rPr>
                <w:color w:val="auto"/>
                <w:sz w:val="21"/>
              </w:rPr>
            </w:pPr>
            <w:r>
              <w:rPr>
                <w:color w:val="auto"/>
                <w:spacing w:val="-11"/>
                <w:sz w:val="21"/>
              </w:rPr>
              <w:t xml:space="preserve">的，并处货值金额 </w:t>
            </w:r>
            <w:r>
              <w:rPr>
                <w:color w:val="auto"/>
                <w:sz w:val="21"/>
              </w:rPr>
              <w:t>0.3</w:t>
            </w:r>
            <w:r>
              <w:rPr>
                <w:color w:val="auto"/>
                <w:spacing w:val="-19"/>
                <w:sz w:val="21"/>
              </w:rPr>
              <w:t xml:space="preserve"> 倍以</w:t>
            </w:r>
          </w:p>
          <w:p>
            <w:pPr>
              <w:pStyle w:val="8"/>
              <w:spacing w:before="2"/>
              <w:ind w:left="108"/>
              <w:rPr>
                <w:color w:val="auto"/>
                <w:sz w:val="21"/>
              </w:rPr>
            </w:pPr>
            <w:r>
              <w:rPr>
                <w:color w:val="auto"/>
                <w:sz w:val="21"/>
              </w:rPr>
              <w:t>上 3 倍以下罚款。</w:t>
            </w:r>
          </w:p>
        </w:tc>
        <w:tc>
          <w:tcPr>
            <w:tcW w:w="2714" w:type="dxa"/>
            <w:vAlign w:val="top"/>
          </w:tcPr>
          <w:p>
            <w:pPr>
              <w:pStyle w:val="8"/>
              <w:spacing w:before="140"/>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8"/>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1.6</w:t>
            </w:r>
            <w:r>
              <w:rPr>
                <w:color w:val="auto"/>
                <w:spacing w:val="-13"/>
                <w:sz w:val="21"/>
              </w:rPr>
              <w:t xml:space="preserve"> 万元以下</w:t>
            </w:r>
          </w:p>
          <w:p>
            <w:pPr>
              <w:pStyle w:val="8"/>
              <w:spacing w:before="2"/>
              <w:ind w:left="108"/>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pPr>
              <w:pStyle w:val="8"/>
              <w:spacing w:before="5"/>
              <w:ind w:left="108"/>
              <w:rPr>
                <w:color w:val="auto"/>
                <w:sz w:val="21"/>
              </w:rPr>
            </w:pPr>
            <w:r>
              <w:rPr>
                <w:color w:val="auto"/>
                <w:spacing w:val="-11"/>
                <w:sz w:val="21"/>
              </w:rPr>
              <w:t xml:space="preserve">的，并处货值金额 </w:t>
            </w:r>
            <w:r>
              <w:rPr>
                <w:color w:val="auto"/>
                <w:sz w:val="21"/>
              </w:rPr>
              <w:t>3</w:t>
            </w:r>
            <w:r>
              <w:rPr>
                <w:color w:val="auto"/>
                <w:spacing w:val="-14"/>
                <w:sz w:val="21"/>
              </w:rPr>
              <w:t xml:space="preserve"> 倍以上</w:t>
            </w:r>
          </w:p>
          <w:p>
            <w:pPr>
              <w:pStyle w:val="8"/>
              <w:spacing w:before="2"/>
              <w:ind w:left="108"/>
              <w:rPr>
                <w:color w:val="auto"/>
                <w:sz w:val="21"/>
              </w:rPr>
            </w:pPr>
            <w:r>
              <w:rPr>
                <w:color w:val="auto"/>
                <w:sz w:val="21"/>
              </w:rPr>
              <w:t>5.1 倍以下罚款。</w:t>
            </w:r>
          </w:p>
        </w:tc>
        <w:tc>
          <w:tcPr>
            <w:tcW w:w="2717" w:type="dxa"/>
            <w:vAlign w:val="top"/>
          </w:tcPr>
          <w:p>
            <w:pPr>
              <w:pStyle w:val="8"/>
              <w:spacing w:before="140"/>
              <w:ind w:left="108"/>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8"/>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w:t>
            </w:r>
          </w:p>
          <w:p>
            <w:pPr>
              <w:pStyle w:val="8"/>
              <w:spacing w:before="2"/>
              <w:ind w:left="108"/>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pPr>
              <w:pStyle w:val="8"/>
              <w:spacing w:before="5"/>
              <w:ind w:left="108"/>
              <w:rPr>
                <w:color w:val="auto"/>
                <w:sz w:val="21"/>
              </w:rPr>
            </w:pPr>
            <w:r>
              <w:rPr>
                <w:color w:val="auto"/>
                <w:spacing w:val="-11"/>
                <w:sz w:val="21"/>
              </w:rPr>
              <w:t xml:space="preserve">上的，并处货值金额 </w:t>
            </w:r>
            <w:r>
              <w:rPr>
                <w:color w:val="auto"/>
                <w:sz w:val="21"/>
              </w:rPr>
              <w:t>5.1</w:t>
            </w:r>
            <w:r>
              <w:rPr>
                <w:color w:val="auto"/>
                <w:spacing w:val="-24"/>
                <w:sz w:val="21"/>
              </w:rPr>
              <w:t xml:space="preserve"> 倍</w:t>
            </w:r>
          </w:p>
          <w:p>
            <w:pPr>
              <w:pStyle w:val="8"/>
              <w:spacing w:before="2"/>
              <w:ind w:left="108"/>
              <w:rPr>
                <w:color w:val="auto"/>
                <w:sz w:val="21"/>
              </w:rPr>
            </w:pPr>
            <w:r>
              <w:rPr>
                <w:color w:val="auto"/>
                <w:sz w:val="21"/>
              </w:rPr>
              <w:t>以上 7.9 倍以下罚款。</w:t>
            </w:r>
          </w:p>
        </w:tc>
        <w:tc>
          <w:tcPr>
            <w:tcW w:w="3900" w:type="dxa"/>
            <w:vAlign w:val="top"/>
          </w:tcPr>
          <w:p/>
          <w:p>
            <w:pPr>
              <w:pStyle w:val="8"/>
              <w:ind w:left="0"/>
              <w:rPr>
                <w:color w:val="auto"/>
                <w:spacing w:val="-9"/>
                <w:sz w:val="21"/>
              </w:rPr>
            </w:pPr>
          </w:p>
          <w:p>
            <w:r>
              <w:rPr>
                <w:color w:val="auto"/>
                <w:spacing w:val="-9"/>
                <w:sz w:val="21"/>
              </w:rPr>
              <w:t xml:space="preserve">货值金额不足 </w:t>
            </w:r>
            <w:r>
              <w:rPr>
                <w:color w:val="auto"/>
                <w:sz w:val="21"/>
              </w:rPr>
              <w:t>1</w:t>
            </w:r>
            <w:r>
              <w:rPr>
                <w:color w:val="auto"/>
                <w:spacing w:val="-27"/>
                <w:sz w:val="21"/>
              </w:rPr>
              <w:t xml:space="preserve"> 万元的，并处 </w:t>
            </w:r>
            <w:r>
              <w:rPr>
                <w:color w:val="auto"/>
                <w:sz w:val="21"/>
              </w:rPr>
              <w:t>2.4</w:t>
            </w:r>
            <w:r>
              <w:rPr>
                <w:color w:val="auto"/>
                <w:spacing w:val="-14"/>
                <w:sz w:val="21"/>
              </w:rPr>
              <w:t xml:space="preserve"> 万元以</w:t>
            </w:r>
          </w:p>
          <w:p>
            <w:r>
              <w:rPr>
                <w:color w:val="auto"/>
                <w:spacing w:val="-24"/>
                <w:sz w:val="21"/>
              </w:rPr>
              <w:t xml:space="preserve">上 </w:t>
            </w:r>
            <w:r>
              <w:rPr>
                <w:color w:val="auto"/>
                <w:sz w:val="21"/>
              </w:rPr>
              <w:t>3</w:t>
            </w:r>
            <w:r>
              <w:rPr>
                <w:color w:val="auto"/>
                <w:spacing w:val="-20"/>
                <w:sz w:val="21"/>
              </w:rPr>
              <w:t xml:space="preserve"> 万元以下罚款；货值金额 </w:t>
            </w:r>
            <w:r>
              <w:rPr>
                <w:color w:val="auto"/>
                <w:sz w:val="21"/>
              </w:rPr>
              <w:t>1</w:t>
            </w:r>
            <w:r>
              <w:rPr>
                <w:color w:val="auto"/>
                <w:spacing w:val="-12"/>
                <w:sz w:val="21"/>
              </w:rPr>
              <w:t xml:space="preserve"> 万元以上</w:t>
            </w:r>
          </w:p>
          <w:p>
            <w:pPr>
              <w:pStyle w:val="8"/>
              <w:spacing w:before="0" w:line="240" w:lineRule="auto"/>
              <w:ind w:left="0" w:right="0"/>
              <w:rPr>
                <w:color w:val="auto"/>
                <w:sz w:val="21"/>
              </w:rPr>
            </w:pPr>
            <w:r>
              <w:rPr>
                <w:color w:val="auto"/>
                <w:spacing w:val="-8"/>
                <w:sz w:val="21"/>
              </w:rPr>
              <w:t xml:space="preserve">的，并处货值金额 </w:t>
            </w:r>
            <w:r>
              <w:rPr>
                <w:color w:val="auto"/>
                <w:sz w:val="21"/>
              </w:rPr>
              <w:t>7.9</w:t>
            </w:r>
            <w:r>
              <w:rPr>
                <w:color w:val="auto"/>
                <w:spacing w:val="-21"/>
                <w:sz w:val="21"/>
              </w:rPr>
              <w:t xml:space="preserve"> 倍以上 </w:t>
            </w:r>
            <w:r>
              <w:rPr>
                <w:color w:val="auto"/>
                <w:sz w:val="21"/>
              </w:rPr>
              <w:t>10</w:t>
            </w:r>
            <w:r>
              <w:rPr>
                <w:color w:val="auto"/>
                <w:spacing w:val="-16"/>
                <w:sz w:val="21"/>
              </w:rPr>
              <w:t xml:space="preserve"> 倍以下</w:t>
            </w:r>
            <w:r>
              <w:rPr>
                <w:color w:val="auto"/>
                <w:sz w:val="21"/>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2" w:hRule="atLeast"/>
        </w:trPr>
        <w:tc>
          <w:tcPr>
            <w:tcW w:w="562" w:type="dxa"/>
            <w:tcBorders>
              <w:top w:val="nil"/>
              <w:bottom w:val="nil"/>
            </w:tcBorders>
            <w:vAlign w:val="top"/>
          </w:tcPr>
          <w:p>
            <w:pPr>
              <w:pStyle w:val="8"/>
              <w:rPr>
                <w:rFonts w:ascii="Times New Roman"/>
                <w:color w:val="auto"/>
                <w:sz w:val="20"/>
              </w:rPr>
            </w:pPr>
          </w:p>
        </w:tc>
        <w:tc>
          <w:tcPr>
            <w:tcW w:w="636" w:type="dxa"/>
            <w:vMerge w:val="continue"/>
            <w:tcBorders>
              <w:top w:val="nil"/>
            </w:tcBorders>
            <w:vAlign w:val="top"/>
          </w:tcPr>
          <w:p>
            <w:pPr>
              <w:rPr>
                <w:color w:val="auto"/>
                <w:sz w:val="2"/>
                <w:szCs w:val="2"/>
              </w:rPr>
            </w:pPr>
          </w:p>
        </w:tc>
        <w:tc>
          <w:tcPr>
            <w:tcW w:w="547" w:type="dxa"/>
            <w:vMerge w:val="restart"/>
            <w:vAlign w:val="top"/>
          </w:tcPr>
          <w:p>
            <w:pPr>
              <w:pStyle w:val="8"/>
              <w:spacing w:before="142" w:line="242" w:lineRule="auto"/>
              <w:ind w:left="167" w:right="157"/>
              <w:jc w:val="both"/>
              <w:rPr>
                <w:b/>
                <w:color w:val="auto"/>
                <w:sz w:val="21"/>
              </w:rPr>
            </w:pPr>
            <w:r>
              <w:rPr>
                <w:b/>
                <w:color w:val="auto"/>
                <w:sz w:val="21"/>
              </w:rPr>
              <w:t>情节严重的</w:t>
            </w:r>
          </w:p>
        </w:tc>
        <w:tc>
          <w:tcPr>
            <w:tcW w:w="2715" w:type="dxa"/>
            <w:vMerge w:val="restart"/>
            <w:vAlign w:val="top"/>
          </w:tcPr>
          <w:p>
            <w:pPr>
              <w:pStyle w:val="8"/>
              <w:rPr>
                <w:rFonts w:ascii="Times New Roman"/>
                <w:color w:val="auto"/>
                <w:sz w:val="20"/>
              </w:rPr>
            </w:pPr>
          </w:p>
        </w:tc>
        <w:tc>
          <w:tcPr>
            <w:tcW w:w="2714" w:type="dxa"/>
            <w:vMerge w:val="restart"/>
            <w:vAlign w:val="top"/>
          </w:tcPr>
          <w:p>
            <w:r>
              <w:rPr>
                <w:color w:val="auto"/>
                <w:sz w:val="21"/>
              </w:rPr>
              <w:t>对法定代表人或者主要负责人、直接负责的主管人员</w:t>
            </w:r>
          </w:p>
          <w:p>
            <w:r>
              <w:rPr>
                <w:color w:val="auto"/>
                <w:spacing w:val="14"/>
                <w:sz w:val="21"/>
              </w:rPr>
              <w:t>和其他直接责任人员处以</w:t>
            </w:r>
          </w:p>
          <w:p>
            <w:r>
              <w:rPr>
                <w:color w:val="auto"/>
                <w:spacing w:val="14"/>
                <w:sz w:val="21"/>
              </w:rPr>
              <w:t>其上一年度从本单位取得</w:t>
            </w:r>
          </w:p>
          <w:p>
            <w:r>
              <w:rPr>
                <w:color w:val="auto"/>
                <w:spacing w:val="-16"/>
                <w:sz w:val="21"/>
              </w:rPr>
              <w:t xml:space="preserve">收入的 </w:t>
            </w:r>
            <w:r>
              <w:rPr>
                <w:color w:val="auto"/>
                <w:sz w:val="21"/>
              </w:rPr>
              <w:t>1</w:t>
            </w:r>
            <w:r>
              <w:rPr>
                <w:color w:val="auto"/>
                <w:spacing w:val="-25"/>
                <w:sz w:val="21"/>
              </w:rPr>
              <w:t xml:space="preserve"> 倍以上 </w:t>
            </w:r>
            <w:r>
              <w:rPr>
                <w:color w:val="auto"/>
                <w:sz w:val="21"/>
              </w:rPr>
              <w:t>1.3</w:t>
            </w:r>
            <w:r>
              <w:rPr>
                <w:color w:val="auto"/>
                <w:spacing w:val="-16"/>
                <w:sz w:val="21"/>
              </w:rPr>
              <w:t xml:space="preserve"> 倍以下</w:t>
            </w:r>
          </w:p>
          <w:p>
            <w:pPr>
              <w:pStyle w:val="8"/>
              <w:spacing w:before="0" w:line="265" w:lineRule="exact"/>
              <w:ind w:left="108"/>
              <w:rPr>
                <w:color w:val="auto"/>
                <w:sz w:val="21"/>
              </w:rPr>
            </w:pPr>
            <w:r>
              <w:rPr>
                <w:color w:val="auto"/>
                <w:sz w:val="21"/>
              </w:rPr>
              <w:t>罚款。</w:t>
            </w:r>
          </w:p>
        </w:tc>
        <w:tc>
          <w:tcPr>
            <w:tcW w:w="2717" w:type="dxa"/>
            <w:vMerge w:val="restart"/>
            <w:vAlign w:val="top"/>
          </w:tcPr>
          <w:p>
            <w:r>
              <w:rPr>
                <w:color w:val="auto"/>
                <w:sz w:val="21"/>
              </w:rPr>
              <w:t>对法定代表人或者主要负责人、直接负责的主管人员</w:t>
            </w:r>
          </w:p>
          <w:p>
            <w:r>
              <w:rPr>
                <w:color w:val="auto"/>
                <w:spacing w:val="14"/>
                <w:sz w:val="21"/>
              </w:rPr>
              <w:t>和其他直接责任人员处以</w:t>
            </w:r>
          </w:p>
          <w:p>
            <w:r>
              <w:rPr>
                <w:color w:val="auto"/>
                <w:spacing w:val="14"/>
                <w:sz w:val="21"/>
              </w:rPr>
              <w:t>其上一年度从本单位取得</w:t>
            </w:r>
          </w:p>
          <w:p>
            <w:pPr>
              <w:pStyle w:val="8"/>
              <w:spacing w:before="5" w:line="270" w:lineRule="atLeast"/>
              <w:ind w:left="108" w:right="47"/>
              <w:rPr>
                <w:color w:val="auto"/>
                <w:sz w:val="21"/>
              </w:rPr>
            </w:pPr>
            <w:r>
              <w:rPr>
                <w:color w:val="auto"/>
                <w:spacing w:val="-16"/>
                <w:sz w:val="21"/>
              </w:rPr>
              <w:t xml:space="preserve">收入的 </w:t>
            </w:r>
            <w:r>
              <w:rPr>
                <w:color w:val="auto"/>
                <w:sz w:val="21"/>
              </w:rPr>
              <w:t>1.3</w:t>
            </w:r>
            <w:r>
              <w:rPr>
                <w:color w:val="auto"/>
                <w:spacing w:val="-24"/>
                <w:sz w:val="21"/>
              </w:rPr>
              <w:t xml:space="preserve"> 倍以上 </w:t>
            </w:r>
            <w:r>
              <w:rPr>
                <w:color w:val="auto"/>
                <w:sz w:val="21"/>
              </w:rPr>
              <w:t>1.7</w:t>
            </w:r>
            <w:r>
              <w:rPr>
                <w:color w:val="auto"/>
                <w:spacing w:val="-21"/>
                <w:sz w:val="21"/>
              </w:rPr>
              <w:t xml:space="preserve"> 倍以</w:t>
            </w:r>
          </w:p>
          <w:p>
            <w:pPr>
              <w:pStyle w:val="8"/>
              <w:spacing w:before="2" w:line="257" w:lineRule="exact"/>
              <w:ind w:left="108"/>
              <w:rPr>
                <w:color w:val="auto"/>
                <w:sz w:val="21"/>
              </w:rPr>
            </w:pPr>
            <w:r>
              <w:rPr>
                <w:color w:val="auto"/>
                <w:sz w:val="21"/>
              </w:rPr>
              <w:t>下罚款。</w:t>
            </w:r>
          </w:p>
        </w:tc>
        <w:tc>
          <w:tcPr>
            <w:tcW w:w="3900" w:type="dxa"/>
            <w:vMerge w:val="restart"/>
            <w:vAlign w:val="top"/>
          </w:tcPr>
          <w:p>
            <w:pPr>
              <w:pStyle w:val="8"/>
              <w:spacing w:before="0" w:line="265" w:lineRule="exact"/>
              <w:ind w:left="106"/>
              <w:rPr>
                <w:rFonts w:ascii="Times New Roman"/>
                <w:color w:val="auto"/>
                <w:sz w:val="24"/>
              </w:rPr>
            </w:pPr>
          </w:p>
          <w:p>
            <w:pPr>
              <w:pStyle w:val="8"/>
              <w:spacing w:line="265" w:lineRule="exact"/>
              <w:ind w:left="106"/>
              <w:rPr>
                <w:color w:val="auto"/>
                <w:sz w:val="21"/>
              </w:rPr>
            </w:pPr>
            <w:r>
              <w:rPr>
                <w:color w:val="auto"/>
                <w:sz w:val="21"/>
              </w:rPr>
              <w:t>对法定代表人或者主要负责人、直接负责</w:t>
            </w:r>
          </w:p>
          <w:p>
            <w:r>
              <w:rPr>
                <w:color w:val="auto"/>
                <w:spacing w:val="3"/>
                <w:sz w:val="21"/>
              </w:rPr>
              <w:t>的主管人员和其他直接责任人员处以其</w:t>
            </w:r>
          </w:p>
          <w:p>
            <w:r>
              <w:rPr>
                <w:color w:val="auto"/>
                <w:spacing w:val="-3"/>
                <w:sz w:val="21"/>
              </w:rPr>
              <w:t xml:space="preserve">上一年度从本单位取得收入的 </w:t>
            </w:r>
            <w:r>
              <w:rPr>
                <w:color w:val="auto"/>
                <w:sz w:val="21"/>
              </w:rPr>
              <w:t>1.7</w:t>
            </w:r>
            <w:r>
              <w:rPr>
                <w:color w:val="auto"/>
                <w:spacing w:val="2"/>
                <w:sz w:val="21"/>
              </w:rPr>
              <w:t xml:space="preserve"> 倍以</w:t>
            </w:r>
          </w:p>
          <w:p>
            <w:pPr>
              <w:pStyle w:val="8"/>
              <w:spacing w:line="265" w:lineRule="exact"/>
              <w:ind w:left="106"/>
              <w:rPr>
                <w:color w:val="auto"/>
                <w:sz w:val="21"/>
              </w:rPr>
            </w:pPr>
            <w:r>
              <w:rPr>
                <w:color w:val="auto"/>
                <w:sz w:val="21"/>
              </w:rPr>
              <w:t>上 2 倍以下罚款。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3" w:hRule="atLeast"/>
        </w:trPr>
        <w:tc>
          <w:tcPr>
            <w:tcW w:w="562" w:type="dxa"/>
            <w:tcBorders>
              <w:top w:val="nil"/>
              <w:bottom w:val="nil"/>
            </w:tcBorders>
            <w:vAlign w:val="top"/>
          </w:tcPr>
          <w:p>
            <w:pPr>
              <w:pStyle w:val="8"/>
              <w:rPr>
                <w:rFonts w:ascii="Times New Roman"/>
                <w:color w:val="auto"/>
                <w:sz w:val="20"/>
              </w:rPr>
            </w:pPr>
          </w:p>
        </w:tc>
        <w:tc>
          <w:tcPr>
            <w:tcW w:w="636" w:type="dxa"/>
            <w:vMerge w:val="continue"/>
            <w:tcBorders>
              <w:top w:val="nil"/>
            </w:tcBorders>
            <w:vAlign w:val="top"/>
          </w:tcPr>
          <w:p>
            <w:pPr>
              <w:rPr>
                <w:color w:val="auto"/>
                <w:sz w:val="2"/>
                <w:szCs w:val="2"/>
              </w:rPr>
            </w:pPr>
          </w:p>
        </w:tc>
        <w:tc>
          <w:tcPr>
            <w:tcW w:w="547" w:type="dxa"/>
            <w:vMerge w:val="continue"/>
            <w:tcBorders>
              <w:top w:val="nil"/>
            </w:tcBorders>
            <w:vAlign w:val="top"/>
          </w:tcPr>
          <w:p>
            <w:pPr>
              <w:rPr>
                <w:color w:val="auto"/>
                <w:sz w:val="2"/>
                <w:szCs w:val="2"/>
              </w:rPr>
            </w:pPr>
          </w:p>
        </w:tc>
        <w:tc>
          <w:tcPr>
            <w:tcW w:w="2715" w:type="dxa"/>
            <w:vMerge w:val="continue"/>
            <w:tcBorders>
              <w:top w:val="nil"/>
            </w:tcBorders>
            <w:vAlign w:val="top"/>
          </w:tcPr>
          <w:p>
            <w:pPr>
              <w:rPr>
                <w:color w:val="auto"/>
                <w:sz w:val="2"/>
                <w:szCs w:val="2"/>
              </w:rPr>
            </w:pPr>
          </w:p>
        </w:tc>
        <w:tc>
          <w:tcPr>
            <w:tcW w:w="2714" w:type="dxa"/>
            <w:vMerge w:val="continue"/>
            <w:vAlign w:val="top"/>
          </w:tcPr>
          <w:p>
            <w:pPr>
              <w:pStyle w:val="8"/>
              <w:spacing w:before="0" w:line="265" w:lineRule="exact"/>
              <w:ind w:left="108"/>
              <w:rPr>
                <w:color w:val="auto"/>
                <w:sz w:val="21"/>
              </w:rPr>
            </w:pPr>
          </w:p>
        </w:tc>
        <w:tc>
          <w:tcPr>
            <w:tcW w:w="2717" w:type="dxa"/>
            <w:vMerge w:val="continue"/>
            <w:vAlign w:val="top"/>
          </w:tcPr>
          <w:p>
            <w:pPr>
              <w:pStyle w:val="8"/>
              <w:spacing w:before="2" w:line="246" w:lineRule="exact"/>
              <w:ind w:left="108"/>
              <w:rPr>
                <w:color w:val="auto"/>
                <w:sz w:val="21"/>
              </w:rPr>
            </w:pPr>
          </w:p>
        </w:tc>
        <w:tc>
          <w:tcPr>
            <w:tcW w:w="3900" w:type="dxa"/>
            <w:vMerge w:val="continue"/>
            <w:vAlign w:val="top"/>
          </w:tcPr>
          <w:p>
            <w:pPr>
              <w:pStyle w:val="8"/>
              <w:spacing w:before="2" w:line="246" w:lineRule="exact"/>
              <w:ind w:left="106"/>
              <w:rPr>
                <w:color w:val="auto"/>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6" w:hRule="atLeast"/>
        </w:trPr>
        <w:tc>
          <w:tcPr>
            <w:tcW w:w="562" w:type="dxa"/>
            <w:tcBorders>
              <w:top w:val="nil"/>
            </w:tcBorders>
            <w:vAlign w:val="top"/>
          </w:tcPr>
          <w:p>
            <w:pPr>
              <w:pStyle w:val="8"/>
              <w:rPr>
                <w:rFonts w:ascii="Times New Roman"/>
                <w:color w:val="auto"/>
                <w:sz w:val="20"/>
              </w:rPr>
            </w:pPr>
          </w:p>
        </w:tc>
        <w:tc>
          <w:tcPr>
            <w:tcW w:w="636" w:type="dxa"/>
            <w:vMerge w:val="continue"/>
            <w:tcBorders>
              <w:top w:val="nil"/>
            </w:tcBorders>
            <w:vAlign w:val="top"/>
          </w:tcPr>
          <w:p>
            <w:pPr>
              <w:rPr>
                <w:color w:val="auto"/>
                <w:sz w:val="2"/>
                <w:szCs w:val="2"/>
              </w:rPr>
            </w:pPr>
          </w:p>
        </w:tc>
        <w:tc>
          <w:tcPr>
            <w:tcW w:w="547" w:type="dxa"/>
            <w:vMerge w:val="continue"/>
            <w:tcBorders>
              <w:top w:val="nil"/>
            </w:tcBorders>
            <w:vAlign w:val="top"/>
          </w:tcPr>
          <w:p>
            <w:pPr>
              <w:rPr>
                <w:color w:val="auto"/>
                <w:sz w:val="2"/>
                <w:szCs w:val="2"/>
              </w:rPr>
            </w:pPr>
          </w:p>
        </w:tc>
        <w:tc>
          <w:tcPr>
            <w:tcW w:w="2715" w:type="dxa"/>
            <w:vMerge w:val="continue"/>
            <w:tcBorders>
              <w:top w:val="nil"/>
            </w:tcBorders>
            <w:vAlign w:val="top"/>
          </w:tcPr>
          <w:p>
            <w:pPr>
              <w:rPr>
                <w:color w:val="auto"/>
                <w:sz w:val="2"/>
                <w:szCs w:val="2"/>
              </w:rPr>
            </w:pPr>
          </w:p>
        </w:tc>
        <w:tc>
          <w:tcPr>
            <w:tcW w:w="2714" w:type="dxa"/>
            <w:vMerge w:val="continue"/>
            <w:vAlign w:val="top"/>
          </w:tcPr>
          <w:p>
            <w:pPr>
              <w:pStyle w:val="8"/>
              <w:spacing w:before="2" w:line="257" w:lineRule="exact"/>
              <w:ind w:left="108"/>
              <w:rPr>
                <w:color w:val="auto"/>
                <w:sz w:val="21"/>
              </w:rPr>
            </w:pPr>
          </w:p>
        </w:tc>
        <w:tc>
          <w:tcPr>
            <w:tcW w:w="2717" w:type="dxa"/>
            <w:vMerge w:val="continue"/>
            <w:vAlign w:val="top"/>
          </w:tcPr>
          <w:p>
            <w:pPr>
              <w:pStyle w:val="8"/>
              <w:spacing w:before="2" w:line="257" w:lineRule="exact"/>
              <w:ind w:left="108"/>
              <w:rPr>
                <w:color w:val="auto"/>
                <w:sz w:val="21"/>
              </w:rPr>
            </w:pPr>
          </w:p>
        </w:tc>
        <w:tc>
          <w:tcPr>
            <w:tcW w:w="3900" w:type="dxa"/>
            <w:vMerge w:val="continue"/>
            <w:vAlign w:val="top"/>
          </w:tcPr>
          <w:p>
            <w:pPr>
              <w:pStyle w:val="8"/>
              <w:spacing w:line="267" w:lineRule="exact"/>
              <w:ind w:left="106"/>
              <w:rPr>
                <w:color w:val="auto"/>
                <w:sz w:val="21"/>
              </w:rPr>
            </w:pPr>
          </w:p>
        </w:tc>
      </w:tr>
    </w:tbl>
    <w:p>
      <w:pPr>
        <w:spacing w:after="0" w:line="267" w:lineRule="exact"/>
        <w:rPr>
          <w:color w:val="auto"/>
          <w:sz w:val="21"/>
        </w:rPr>
        <w:sectPr>
          <w:pgSz w:w="16840" w:h="11910" w:orient="landscape"/>
          <w:pgMar w:top="1100" w:right="1400" w:bottom="1760" w:left="1400" w:header="0" w:footer="1572" w:gutter="0"/>
          <w:pgNumType w:fmt="numberInDash"/>
          <w:cols w:space="720" w:num="1"/>
        </w:sect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179"/>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19" w:hRule="atLeast"/>
        </w:trPr>
        <w:tc>
          <w:tcPr>
            <w:tcW w:w="5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5"/>
              </w:rPr>
            </w:pPr>
          </w:p>
          <w:p>
            <w:pPr>
              <w:pStyle w:val="8"/>
              <w:ind w:left="4"/>
              <w:jc w:val="center"/>
              <w:rPr>
                <w:b/>
                <w:color w:val="auto"/>
                <w:sz w:val="21"/>
              </w:rPr>
            </w:pPr>
            <w:r>
              <w:rPr>
                <w:b/>
                <w:color w:val="auto"/>
                <w:w w:val="99"/>
                <w:sz w:val="21"/>
              </w:rPr>
              <w:t>4</w:t>
            </w:r>
          </w:p>
        </w:tc>
        <w:tc>
          <w:tcPr>
            <w:tcW w:w="1179" w:type="dxa"/>
            <w:vAlign w:val="top"/>
          </w:tcPr>
          <w:p>
            <w:pPr>
              <w:pStyle w:val="8"/>
              <w:rPr>
                <w:rFonts w:ascii="Times New Roman"/>
                <w:color w:val="auto"/>
                <w:sz w:val="20"/>
              </w:rPr>
            </w:pPr>
          </w:p>
          <w:p>
            <w:pPr>
              <w:pStyle w:val="8"/>
              <w:spacing w:before="145"/>
              <w:ind w:left="145" w:right="139"/>
              <w:jc w:val="center"/>
              <w:rPr>
                <w:b/>
                <w:color w:val="auto"/>
                <w:sz w:val="21"/>
              </w:rPr>
            </w:pPr>
            <w:r>
              <w:rPr>
                <w:b/>
                <w:color w:val="auto"/>
                <w:sz w:val="21"/>
              </w:rPr>
              <w:t>违法行为</w:t>
            </w:r>
          </w:p>
        </w:tc>
        <w:tc>
          <w:tcPr>
            <w:tcW w:w="12046" w:type="dxa"/>
            <w:gridSpan w:val="4"/>
            <w:vAlign w:val="top"/>
          </w:tcPr>
          <w:p>
            <w:pPr>
              <w:pStyle w:val="8"/>
              <w:rPr>
                <w:rFonts w:ascii="Times New Roman"/>
                <w:color w:val="auto"/>
                <w:sz w:val="20"/>
              </w:rPr>
            </w:pPr>
          </w:p>
          <w:p>
            <w:pPr>
              <w:pStyle w:val="8"/>
              <w:spacing w:before="145"/>
              <w:ind w:left="527"/>
              <w:rPr>
                <w:color w:val="auto"/>
                <w:sz w:val="21"/>
              </w:rPr>
            </w:pPr>
            <w:r>
              <w:rPr>
                <w:color w:val="auto"/>
                <w:sz w:val="21"/>
              </w:rPr>
              <w:t>生产经营的化妆品的标签存在瑕疵但不影响质量安全且不会对消费者造成误导的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13"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5"/>
              <w:rPr>
                <w:rFonts w:ascii="Times New Roman"/>
                <w:color w:val="auto"/>
                <w:sz w:val="24"/>
              </w:rPr>
            </w:pPr>
          </w:p>
          <w:p>
            <w:pPr>
              <w:pStyle w:val="8"/>
              <w:ind w:left="145" w:right="139"/>
              <w:jc w:val="center"/>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47" w:line="242" w:lineRule="auto"/>
              <w:ind w:left="107" w:right="98" w:firstLine="420"/>
              <w:rPr>
                <w:color w:val="auto"/>
                <w:sz w:val="21"/>
              </w:rPr>
            </w:pPr>
            <w:r>
              <w:rPr>
                <w:color w:val="auto"/>
                <w:spacing w:val="-9"/>
                <w:sz w:val="21"/>
              </w:rPr>
              <w:t xml:space="preserve">根据《化妆品监督管理条例》第六十一条第二款规定，由负责药品监督管理的部门责令改正；拒不改正的，处 </w:t>
            </w:r>
            <w:r>
              <w:rPr>
                <w:color w:val="auto"/>
                <w:sz w:val="21"/>
              </w:rPr>
              <w:t>2000</w:t>
            </w:r>
            <w:r>
              <w:rPr>
                <w:color w:val="auto"/>
                <w:spacing w:val="-8"/>
                <w:sz w:val="21"/>
              </w:rPr>
              <w:t xml:space="preserve"> 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5" w:hRule="atLeast"/>
        </w:trPr>
        <w:tc>
          <w:tcPr>
            <w:tcW w:w="567" w:type="dxa"/>
            <w:vMerge w:val="continue"/>
            <w:tcBorders>
              <w:top w:val="nil"/>
            </w:tcBorders>
            <w:vAlign w:val="top"/>
          </w:tcPr>
          <w:p>
            <w:pPr>
              <w:rPr>
                <w:color w:val="auto"/>
                <w:sz w:val="2"/>
                <w:szCs w:val="2"/>
              </w:rPr>
            </w:pPr>
          </w:p>
        </w:tc>
        <w:tc>
          <w:tcPr>
            <w:tcW w:w="1179" w:type="dxa"/>
            <w:vAlign w:val="top"/>
          </w:tcPr>
          <w:p>
            <w:pPr>
              <w:pStyle w:val="8"/>
              <w:spacing w:before="147"/>
              <w:ind w:left="145" w:right="139"/>
              <w:jc w:val="center"/>
              <w:rPr>
                <w:b/>
                <w:color w:val="auto"/>
                <w:sz w:val="21"/>
              </w:rPr>
            </w:pPr>
            <w:r>
              <w:rPr>
                <w:b/>
                <w:color w:val="auto"/>
                <w:sz w:val="21"/>
              </w:rPr>
              <w:t>裁量等级</w:t>
            </w:r>
          </w:p>
        </w:tc>
        <w:tc>
          <w:tcPr>
            <w:tcW w:w="2715" w:type="dxa"/>
            <w:vAlign w:val="top"/>
          </w:tcPr>
          <w:p>
            <w:pPr>
              <w:pStyle w:val="8"/>
              <w:spacing w:before="147"/>
              <w:ind w:left="107"/>
              <w:rPr>
                <w:b/>
                <w:color w:val="auto"/>
                <w:sz w:val="21"/>
              </w:rPr>
            </w:pPr>
            <w:r>
              <w:rPr>
                <w:b/>
                <w:color w:val="auto"/>
                <w:sz w:val="21"/>
              </w:rPr>
              <w:t>减轻</w:t>
            </w:r>
          </w:p>
        </w:tc>
        <w:tc>
          <w:tcPr>
            <w:tcW w:w="2714" w:type="dxa"/>
            <w:vAlign w:val="top"/>
          </w:tcPr>
          <w:p>
            <w:pPr>
              <w:pStyle w:val="8"/>
              <w:spacing w:before="147"/>
              <w:ind w:left="107"/>
              <w:rPr>
                <w:b/>
                <w:color w:val="auto"/>
                <w:sz w:val="21"/>
              </w:rPr>
            </w:pPr>
            <w:r>
              <w:rPr>
                <w:b/>
                <w:color w:val="auto"/>
                <w:sz w:val="21"/>
              </w:rPr>
              <w:t>从轻</w:t>
            </w:r>
          </w:p>
        </w:tc>
        <w:tc>
          <w:tcPr>
            <w:tcW w:w="2717" w:type="dxa"/>
            <w:vAlign w:val="top"/>
          </w:tcPr>
          <w:p>
            <w:pPr>
              <w:pStyle w:val="8"/>
              <w:spacing w:before="147"/>
              <w:ind w:left="107"/>
              <w:rPr>
                <w:b/>
                <w:color w:val="auto"/>
                <w:sz w:val="21"/>
              </w:rPr>
            </w:pPr>
            <w:r>
              <w:rPr>
                <w:b/>
                <w:color w:val="auto"/>
                <w:sz w:val="21"/>
              </w:rPr>
              <w:t>一般</w:t>
            </w:r>
          </w:p>
        </w:tc>
        <w:tc>
          <w:tcPr>
            <w:tcW w:w="3900" w:type="dxa"/>
            <w:vAlign w:val="top"/>
          </w:tcPr>
          <w:p>
            <w:pPr>
              <w:pStyle w:val="8"/>
              <w:spacing w:before="147"/>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7"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spacing w:before="5"/>
              <w:rPr>
                <w:rFonts w:ascii="Times New Roman"/>
                <w:color w:val="auto"/>
                <w:sz w:val="22"/>
              </w:rPr>
            </w:pPr>
          </w:p>
          <w:p>
            <w:pPr>
              <w:pStyle w:val="8"/>
              <w:ind w:left="145" w:right="139"/>
              <w:jc w:val="center"/>
              <w:rPr>
                <w:b/>
                <w:color w:val="auto"/>
                <w:sz w:val="21"/>
              </w:rPr>
            </w:pPr>
            <w:r>
              <w:rPr>
                <w:b/>
                <w:color w:val="auto"/>
                <w:sz w:val="21"/>
              </w:rPr>
              <w:t>裁量情节</w:t>
            </w:r>
          </w:p>
        </w:tc>
        <w:tc>
          <w:tcPr>
            <w:tcW w:w="2715" w:type="dxa"/>
            <w:vAlign w:val="top"/>
          </w:tcPr>
          <w:p>
            <w:pPr>
              <w:pStyle w:val="8"/>
              <w:rPr>
                <w:rFonts w:ascii="Times New Roman"/>
                <w:color w:val="auto"/>
                <w:sz w:val="20"/>
              </w:rPr>
            </w:pPr>
          </w:p>
          <w:p>
            <w:pPr>
              <w:pStyle w:val="8"/>
              <w:spacing w:before="124" w:line="242" w:lineRule="auto"/>
              <w:ind w:left="107" w:right="98"/>
              <w:rPr>
                <w:color w:val="auto"/>
                <w:sz w:val="21"/>
              </w:rPr>
            </w:pPr>
            <w:r>
              <w:rPr>
                <w:color w:val="auto"/>
                <w:sz w:val="21"/>
              </w:rPr>
              <w:t>符合裁量规定减轻行政处罚情形的。</w:t>
            </w:r>
          </w:p>
        </w:tc>
        <w:tc>
          <w:tcPr>
            <w:tcW w:w="2714" w:type="dxa"/>
            <w:vAlign w:val="top"/>
          </w:tcPr>
          <w:p>
            <w:pPr>
              <w:pStyle w:val="8"/>
              <w:rPr>
                <w:rFonts w:ascii="Times New Roman"/>
                <w:color w:val="auto"/>
                <w:sz w:val="20"/>
              </w:rPr>
            </w:pPr>
          </w:p>
          <w:p>
            <w:pPr>
              <w:pStyle w:val="8"/>
              <w:spacing w:before="124" w:line="242" w:lineRule="auto"/>
              <w:ind w:left="107" w:right="95"/>
              <w:rPr>
                <w:color w:val="auto"/>
                <w:sz w:val="21"/>
              </w:rPr>
            </w:pPr>
            <w:r>
              <w:rPr>
                <w:color w:val="auto"/>
                <w:sz w:val="21"/>
              </w:rPr>
              <w:t>符合裁量规定从轻行政处罚情形的。</w:t>
            </w:r>
          </w:p>
        </w:tc>
        <w:tc>
          <w:tcPr>
            <w:tcW w:w="2717" w:type="dxa"/>
            <w:vAlign w:val="top"/>
          </w:tcPr>
          <w:p>
            <w:pPr>
              <w:pStyle w:val="8"/>
              <w:rPr>
                <w:rFonts w:ascii="Times New Roman"/>
                <w:color w:val="auto"/>
                <w:sz w:val="20"/>
              </w:rPr>
            </w:pPr>
          </w:p>
          <w:p>
            <w:pPr>
              <w:pStyle w:val="8"/>
              <w:spacing w:before="124" w:line="242" w:lineRule="auto"/>
              <w:ind w:left="107" w:right="98"/>
              <w:rPr>
                <w:color w:val="auto"/>
                <w:sz w:val="21"/>
              </w:rPr>
            </w:pPr>
            <w:r>
              <w:rPr>
                <w:color w:val="auto"/>
                <w:sz w:val="21"/>
              </w:rPr>
              <w:t>符合裁量规定一般行政处罚情形的。</w:t>
            </w:r>
          </w:p>
        </w:tc>
        <w:tc>
          <w:tcPr>
            <w:tcW w:w="3900" w:type="dxa"/>
            <w:vAlign w:val="top"/>
          </w:tcPr>
          <w:p>
            <w:pPr>
              <w:pStyle w:val="8"/>
              <w:rPr>
                <w:rFonts w:ascii="Times New Roman"/>
                <w:color w:val="auto"/>
                <w:sz w:val="20"/>
              </w:rPr>
            </w:pPr>
          </w:p>
          <w:p>
            <w:pPr>
              <w:pStyle w:val="8"/>
              <w:spacing w:before="5"/>
              <w:rPr>
                <w:rFonts w:ascii="Times New Roman"/>
                <w:color w:val="auto"/>
                <w:sz w:val="22"/>
              </w:rPr>
            </w:pPr>
          </w:p>
          <w:p>
            <w:pPr>
              <w:pStyle w:val="8"/>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13" w:hRule="atLeast"/>
        </w:trPr>
        <w:tc>
          <w:tcPr>
            <w:tcW w:w="567" w:type="dxa"/>
            <w:vMerge w:val="continue"/>
            <w:tcBorders>
              <w:top w:val="nil"/>
            </w:tcBorders>
            <w:vAlign w:val="top"/>
          </w:tcPr>
          <w:p>
            <w:pPr>
              <w:rPr>
                <w:color w:val="auto"/>
                <w:sz w:val="2"/>
                <w:szCs w:val="2"/>
              </w:rPr>
            </w:pPr>
          </w:p>
        </w:tc>
        <w:tc>
          <w:tcPr>
            <w:tcW w:w="1179"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24"/>
              </w:rPr>
            </w:pPr>
          </w:p>
          <w:p>
            <w:pPr>
              <w:pStyle w:val="8"/>
              <w:ind w:left="145" w:right="139"/>
              <w:jc w:val="center"/>
              <w:rPr>
                <w:b/>
                <w:color w:val="auto"/>
                <w:sz w:val="21"/>
              </w:rPr>
            </w:pPr>
            <w:r>
              <w:rPr>
                <w:b/>
                <w:color w:val="auto"/>
                <w:sz w:val="21"/>
              </w:rPr>
              <w:t>裁量基准</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24"/>
              </w:rPr>
            </w:pPr>
          </w:p>
          <w:p>
            <w:pPr>
              <w:pStyle w:val="8"/>
              <w:ind w:left="107"/>
              <w:rPr>
                <w:color w:val="auto"/>
                <w:sz w:val="21"/>
              </w:rPr>
            </w:pPr>
            <w:r>
              <w:rPr>
                <w:color w:val="auto"/>
                <w:sz w:val="21"/>
              </w:rPr>
              <w:t>处 600 元以下罚款。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44" w:line="244" w:lineRule="auto"/>
              <w:ind w:left="107" w:right="96"/>
              <w:rPr>
                <w:color w:val="auto"/>
                <w:sz w:val="21"/>
              </w:rPr>
            </w:pPr>
            <w:r>
              <w:rPr>
                <w:color w:val="auto"/>
                <w:spacing w:val="-15"/>
                <w:sz w:val="21"/>
              </w:rPr>
              <w:t xml:space="preserve">处 </w:t>
            </w:r>
            <w:r>
              <w:rPr>
                <w:color w:val="auto"/>
                <w:sz w:val="21"/>
              </w:rPr>
              <w:t>600</w:t>
            </w:r>
            <w:r>
              <w:rPr>
                <w:color w:val="auto"/>
                <w:spacing w:val="-14"/>
                <w:sz w:val="21"/>
              </w:rPr>
              <w:t xml:space="preserve"> 元以上 </w:t>
            </w:r>
            <w:r>
              <w:rPr>
                <w:color w:val="auto"/>
                <w:sz w:val="21"/>
              </w:rPr>
              <w:t>1400</w:t>
            </w:r>
            <w:r>
              <w:rPr>
                <w:color w:val="auto"/>
                <w:spacing w:val="-12"/>
                <w:sz w:val="21"/>
              </w:rPr>
              <w:t xml:space="preserve"> 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24"/>
              </w:rPr>
            </w:pPr>
          </w:p>
          <w:p>
            <w:pPr>
              <w:pStyle w:val="8"/>
              <w:ind w:left="105"/>
              <w:rPr>
                <w:color w:val="auto"/>
                <w:sz w:val="21"/>
              </w:rPr>
            </w:pPr>
            <w:r>
              <w:rPr>
                <w:color w:val="auto"/>
                <w:sz w:val="21"/>
              </w:rPr>
              <w:t>处 1400 元以上 2000 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2"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718"/>
        <w:gridCol w:w="46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43"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20"/>
              </w:rPr>
            </w:pPr>
          </w:p>
          <w:p>
            <w:pPr>
              <w:pStyle w:val="8"/>
              <w:ind w:left="9"/>
              <w:jc w:val="center"/>
              <w:rPr>
                <w:b/>
                <w:color w:val="auto"/>
                <w:sz w:val="21"/>
              </w:rPr>
            </w:pPr>
            <w:r>
              <w:rPr>
                <w:b/>
                <w:color w:val="auto"/>
                <w:w w:val="99"/>
                <w:sz w:val="21"/>
              </w:rPr>
              <w:t>5</w:t>
            </w: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19"/>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51" w:line="255" w:lineRule="exact"/>
              <w:ind w:left="527"/>
              <w:rPr>
                <w:color w:val="auto"/>
                <w:sz w:val="21"/>
              </w:rPr>
            </w:pPr>
            <w:r>
              <w:rPr>
                <w:color w:val="auto"/>
                <w:sz w:val="21"/>
              </w:rPr>
              <w:t>未依照《化妆品监督管理条例》规定公布化妆品功效宣称依据的摘要；</w:t>
            </w:r>
          </w:p>
          <w:p>
            <w:pPr>
              <w:pStyle w:val="8"/>
              <w:spacing w:before="9" w:line="213" w:lineRule="auto"/>
              <w:ind w:left="527" w:right="3309"/>
              <w:rPr>
                <w:color w:val="auto"/>
                <w:spacing w:val="-3"/>
                <w:sz w:val="21"/>
              </w:rPr>
            </w:pPr>
            <w:r>
              <w:rPr>
                <w:color w:val="auto"/>
                <w:spacing w:val="-3"/>
                <w:sz w:val="21"/>
              </w:rPr>
              <w:t xml:space="preserve">未依照《化妆品监督管理条例》规定建立并执行进货查验记录制度、产品销售记录制度； </w:t>
            </w:r>
          </w:p>
          <w:p>
            <w:pPr>
              <w:pStyle w:val="8"/>
              <w:spacing w:before="9" w:line="213" w:lineRule="auto"/>
              <w:ind w:left="527" w:right="3309"/>
              <w:rPr>
                <w:color w:val="auto"/>
                <w:spacing w:val="-3"/>
                <w:sz w:val="21"/>
              </w:rPr>
            </w:pPr>
            <w:r>
              <w:rPr>
                <w:color w:val="auto"/>
                <w:spacing w:val="-3"/>
                <w:sz w:val="21"/>
              </w:rPr>
              <w:t xml:space="preserve">未依照《化妆品监督管理条例》规定对化妆品生产质量管理规范的执行情况进行自查； </w:t>
            </w:r>
          </w:p>
          <w:p>
            <w:pPr>
              <w:pStyle w:val="8"/>
              <w:spacing w:before="9" w:line="213" w:lineRule="auto"/>
              <w:ind w:left="527" w:right="3309"/>
              <w:rPr>
                <w:color w:val="auto"/>
                <w:sz w:val="21"/>
              </w:rPr>
            </w:pPr>
            <w:r>
              <w:rPr>
                <w:color w:val="auto"/>
                <w:spacing w:val="-3"/>
                <w:sz w:val="21"/>
              </w:rPr>
              <w:t>未依照《化妆品监督管理条例》规定贮存、运输化妆品；</w:t>
            </w:r>
          </w:p>
          <w:p>
            <w:pPr>
              <w:pStyle w:val="8"/>
              <w:spacing w:line="244" w:lineRule="auto"/>
              <w:ind w:left="107" w:right="99" w:firstLine="420"/>
              <w:rPr>
                <w:color w:val="auto"/>
                <w:sz w:val="21"/>
              </w:rPr>
            </w:pPr>
            <w:r>
              <w:rPr>
                <w:color w:val="auto"/>
                <w:sz w:val="21"/>
              </w:rPr>
              <w:t>未依照《化妆品监督管理条例》规定监测、报告化妆品不良反应，或者对化妆品不良反应监测机构、负责药品监督管理的部门开展的化妆品不良反应调查不予配合。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35"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spacing w:before="8"/>
              <w:rPr>
                <w:rFonts w:ascii="Times New Roman"/>
                <w:color w:val="auto"/>
                <w:sz w:val="17"/>
              </w:rPr>
            </w:pPr>
          </w:p>
          <w:p>
            <w:pPr>
              <w:pStyle w:val="8"/>
              <w:ind w:left="170"/>
              <w:rPr>
                <w:b/>
                <w:color w:val="auto"/>
                <w:sz w:val="21"/>
              </w:rPr>
            </w:pPr>
            <w:r>
              <w:rPr>
                <w:b/>
                <w:color w:val="auto"/>
                <w:sz w:val="21"/>
              </w:rPr>
              <w:t>处罚依据</w:t>
            </w:r>
          </w:p>
        </w:tc>
        <w:tc>
          <w:tcPr>
            <w:tcW w:w="12046" w:type="dxa"/>
            <w:gridSpan w:val="4"/>
            <w:vAlign w:val="top"/>
          </w:tcPr>
          <w:p>
            <w:pPr>
              <w:pStyle w:val="8"/>
              <w:spacing w:before="162"/>
              <w:ind w:left="527"/>
              <w:rPr>
                <w:color w:val="auto"/>
                <w:sz w:val="21"/>
              </w:rPr>
            </w:pPr>
            <w:r>
              <w:rPr>
                <w:color w:val="auto"/>
                <w:spacing w:val="-4"/>
                <w:sz w:val="21"/>
              </w:rPr>
              <w:t xml:space="preserve">根据《化妆品监督管理条例》第六十二条规定，由负责药品监督管理的部门责令改正，给予警告，并处 </w:t>
            </w:r>
            <w:r>
              <w:rPr>
                <w:color w:val="auto"/>
                <w:sz w:val="21"/>
              </w:rPr>
              <w:t>1</w:t>
            </w:r>
            <w:r>
              <w:rPr>
                <w:color w:val="auto"/>
                <w:spacing w:val="-9"/>
                <w:sz w:val="21"/>
              </w:rPr>
              <w:t xml:space="preserve"> 万元以上 </w:t>
            </w:r>
            <w:r>
              <w:rPr>
                <w:color w:val="auto"/>
                <w:sz w:val="21"/>
              </w:rPr>
              <w:t>3</w:t>
            </w:r>
            <w:r>
              <w:rPr>
                <w:color w:val="auto"/>
                <w:spacing w:val="-9"/>
                <w:sz w:val="21"/>
              </w:rPr>
              <w:t xml:space="preserve"> 万元以</w:t>
            </w:r>
          </w:p>
          <w:p>
            <w:pPr>
              <w:pStyle w:val="8"/>
              <w:spacing w:before="2"/>
              <w:ind w:left="107"/>
              <w:rPr>
                <w:color w:val="auto"/>
                <w:sz w:val="21"/>
              </w:rPr>
            </w:pPr>
            <w:r>
              <w:rPr>
                <w:color w:val="auto"/>
                <w:spacing w:val="-4"/>
                <w:sz w:val="21"/>
              </w:rPr>
              <w:t xml:space="preserve">下罚款。情节严重的，责令停产停业，并处 </w:t>
            </w:r>
            <w:r>
              <w:rPr>
                <w:color w:val="auto"/>
                <w:sz w:val="21"/>
              </w:rPr>
              <w:t>3</w:t>
            </w:r>
            <w:r>
              <w:rPr>
                <w:color w:val="auto"/>
                <w:spacing w:val="-9"/>
                <w:sz w:val="21"/>
              </w:rPr>
              <w:t xml:space="preserve"> 万元以上 </w:t>
            </w:r>
            <w:r>
              <w:rPr>
                <w:color w:val="auto"/>
                <w:sz w:val="21"/>
              </w:rPr>
              <w:t>5</w:t>
            </w:r>
            <w:r>
              <w:rPr>
                <w:color w:val="auto"/>
                <w:spacing w:val="-6"/>
                <w:sz w:val="21"/>
              </w:rPr>
              <w:t xml:space="preserve"> 万元以下罚款，对违法单位的法定代表人或者主要负责人、直接负责的</w:t>
            </w:r>
          </w:p>
          <w:p>
            <w:pPr>
              <w:pStyle w:val="8"/>
              <w:spacing w:before="2"/>
              <w:ind w:left="107"/>
              <w:rPr>
                <w:color w:val="auto"/>
                <w:sz w:val="21"/>
              </w:rPr>
            </w:pPr>
            <w:r>
              <w:rPr>
                <w:color w:val="auto"/>
                <w:sz w:val="21"/>
              </w:rPr>
              <w:t>主管人员和其他直接责任人员处 1 万元以上 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50"/>
              <w:ind w:left="170"/>
              <w:rPr>
                <w:b/>
                <w:color w:val="auto"/>
                <w:sz w:val="21"/>
              </w:rPr>
            </w:pPr>
            <w:r>
              <w:rPr>
                <w:b/>
                <w:color w:val="auto"/>
                <w:sz w:val="21"/>
              </w:rPr>
              <w:t>裁量等级</w:t>
            </w:r>
          </w:p>
        </w:tc>
        <w:tc>
          <w:tcPr>
            <w:tcW w:w="2715" w:type="dxa"/>
            <w:vAlign w:val="top"/>
          </w:tcPr>
          <w:p>
            <w:pPr>
              <w:pStyle w:val="8"/>
              <w:spacing w:before="150"/>
              <w:ind w:left="107"/>
              <w:rPr>
                <w:b/>
                <w:color w:val="auto"/>
                <w:sz w:val="21"/>
              </w:rPr>
            </w:pPr>
            <w:r>
              <w:rPr>
                <w:b/>
                <w:color w:val="auto"/>
                <w:sz w:val="21"/>
              </w:rPr>
              <w:t>减轻</w:t>
            </w:r>
          </w:p>
        </w:tc>
        <w:tc>
          <w:tcPr>
            <w:tcW w:w="2714" w:type="dxa"/>
            <w:vAlign w:val="top"/>
          </w:tcPr>
          <w:p>
            <w:pPr>
              <w:pStyle w:val="8"/>
              <w:spacing w:before="150"/>
              <w:ind w:left="107"/>
              <w:rPr>
                <w:b/>
                <w:color w:val="auto"/>
                <w:sz w:val="21"/>
              </w:rPr>
            </w:pPr>
            <w:r>
              <w:rPr>
                <w:b/>
                <w:color w:val="auto"/>
                <w:sz w:val="21"/>
              </w:rPr>
              <w:t>从轻</w:t>
            </w:r>
          </w:p>
        </w:tc>
        <w:tc>
          <w:tcPr>
            <w:tcW w:w="2717" w:type="dxa"/>
            <w:vAlign w:val="top"/>
          </w:tcPr>
          <w:p>
            <w:pPr>
              <w:pStyle w:val="8"/>
              <w:spacing w:before="150"/>
              <w:ind w:left="107"/>
              <w:rPr>
                <w:b/>
                <w:color w:val="auto"/>
                <w:sz w:val="21"/>
              </w:rPr>
            </w:pPr>
            <w:r>
              <w:rPr>
                <w:b/>
                <w:color w:val="auto"/>
                <w:sz w:val="21"/>
              </w:rPr>
              <w:t>一般</w:t>
            </w:r>
          </w:p>
        </w:tc>
        <w:tc>
          <w:tcPr>
            <w:tcW w:w="3900" w:type="dxa"/>
            <w:vAlign w:val="top"/>
          </w:tcPr>
          <w:p>
            <w:pPr>
              <w:pStyle w:val="8"/>
              <w:spacing w:before="150"/>
              <w:ind w:left="105"/>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5" w:type="dxa"/>
            <w:vAlign w:val="top"/>
          </w:tcPr>
          <w:p>
            <w:pPr>
              <w:pStyle w:val="8"/>
              <w:spacing w:before="99" w:line="242" w:lineRule="auto"/>
              <w:ind w:left="107" w:right="98"/>
              <w:rPr>
                <w:color w:val="auto"/>
                <w:sz w:val="21"/>
              </w:rPr>
            </w:pPr>
            <w:r>
              <w:rPr>
                <w:color w:val="auto"/>
                <w:sz w:val="21"/>
              </w:rPr>
              <w:t>符合裁量规定减轻行政处罚情形的。</w:t>
            </w:r>
          </w:p>
        </w:tc>
        <w:tc>
          <w:tcPr>
            <w:tcW w:w="2714" w:type="dxa"/>
            <w:vAlign w:val="top"/>
          </w:tcPr>
          <w:p>
            <w:pPr>
              <w:pStyle w:val="8"/>
              <w:spacing w:before="99" w:line="242" w:lineRule="auto"/>
              <w:ind w:left="107" w:right="95"/>
              <w:rPr>
                <w:color w:val="auto"/>
                <w:sz w:val="21"/>
              </w:rPr>
            </w:pPr>
            <w:r>
              <w:rPr>
                <w:color w:val="auto"/>
                <w:sz w:val="21"/>
              </w:rPr>
              <w:t>符合裁量规定从轻行政处罚情形的。</w:t>
            </w:r>
          </w:p>
        </w:tc>
        <w:tc>
          <w:tcPr>
            <w:tcW w:w="2717" w:type="dxa"/>
            <w:vAlign w:val="top"/>
          </w:tcPr>
          <w:p>
            <w:pPr>
              <w:pStyle w:val="8"/>
              <w:spacing w:before="99" w:line="242" w:lineRule="auto"/>
              <w:ind w:left="107" w:right="98"/>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5"/>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3" w:hRule="atLeast"/>
        </w:trPr>
        <w:tc>
          <w:tcPr>
            <w:tcW w:w="562" w:type="dxa"/>
            <w:vMerge w:val="continue"/>
            <w:tcBorders>
              <w:top w:val="nil"/>
            </w:tcBorders>
            <w:vAlign w:val="top"/>
          </w:tcPr>
          <w:p>
            <w:pPr>
              <w:rPr>
                <w:color w:val="auto"/>
                <w:sz w:val="2"/>
                <w:szCs w:val="2"/>
              </w:rPr>
            </w:pPr>
          </w:p>
        </w:tc>
        <w:tc>
          <w:tcPr>
            <w:tcW w:w="718"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8"/>
              <w:rPr>
                <w:rFonts w:ascii="Times New Roman"/>
                <w:color w:val="auto"/>
                <w:sz w:val="29"/>
              </w:rPr>
            </w:pPr>
          </w:p>
          <w:p>
            <w:pPr>
              <w:pStyle w:val="8"/>
              <w:spacing w:line="242" w:lineRule="auto"/>
              <w:ind w:left="146" w:right="137"/>
              <w:rPr>
                <w:b/>
                <w:color w:val="auto"/>
                <w:sz w:val="21"/>
              </w:rPr>
            </w:pPr>
            <w:r>
              <w:rPr>
                <w:b/>
                <w:color w:val="auto"/>
                <w:sz w:val="21"/>
              </w:rPr>
              <w:t>裁量基准</w:t>
            </w:r>
          </w:p>
        </w:tc>
        <w:tc>
          <w:tcPr>
            <w:tcW w:w="466" w:type="dxa"/>
            <w:vAlign w:val="top"/>
          </w:tcPr>
          <w:p>
            <w:pPr>
              <w:pStyle w:val="8"/>
              <w:spacing w:before="9"/>
              <w:rPr>
                <w:rFonts w:ascii="Times New Roman"/>
                <w:color w:val="auto"/>
                <w:sz w:val="16"/>
              </w:rPr>
            </w:pPr>
          </w:p>
          <w:p>
            <w:pPr>
              <w:pStyle w:val="8"/>
              <w:spacing w:line="242" w:lineRule="auto"/>
              <w:ind w:left="126" w:right="116"/>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spacing w:before="4"/>
              <w:rPr>
                <w:rFonts w:ascii="Times New Roman"/>
                <w:color w:val="auto"/>
                <w:sz w:val="20"/>
              </w:rPr>
            </w:pPr>
          </w:p>
          <w:p>
            <w:pPr>
              <w:pStyle w:val="8"/>
              <w:spacing w:line="244" w:lineRule="auto"/>
              <w:ind w:left="107" w:right="101"/>
              <w:rPr>
                <w:color w:val="auto"/>
                <w:sz w:val="21"/>
              </w:rPr>
            </w:pPr>
            <w:r>
              <w:rPr>
                <w:color w:val="auto"/>
                <w:spacing w:val="-28"/>
                <w:sz w:val="21"/>
              </w:rPr>
              <w:t xml:space="preserve">处 </w:t>
            </w:r>
            <w:r>
              <w:rPr>
                <w:color w:val="auto"/>
                <w:sz w:val="21"/>
              </w:rPr>
              <w:t>0.1</w:t>
            </w:r>
            <w:r>
              <w:rPr>
                <w:color w:val="auto"/>
                <w:spacing w:val="-21"/>
                <w:sz w:val="21"/>
              </w:rPr>
              <w:t xml:space="preserve"> 万元以上 </w:t>
            </w:r>
            <w:r>
              <w:rPr>
                <w:color w:val="auto"/>
                <w:sz w:val="21"/>
              </w:rPr>
              <w:t>1</w:t>
            </w:r>
            <w:r>
              <w:rPr>
                <w:color w:val="auto"/>
                <w:spacing w:val="-18"/>
                <w:sz w:val="21"/>
              </w:rPr>
              <w:t xml:space="preserve"> 万元以下</w:t>
            </w:r>
            <w:r>
              <w:rPr>
                <w:color w:val="auto"/>
                <w:sz w:val="21"/>
              </w:rPr>
              <w:t>罚款。</w:t>
            </w:r>
          </w:p>
        </w:tc>
        <w:tc>
          <w:tcPr>
            <w:tcW w:w="2714" w:type="dxa"/>
            <w:vAlign w:val="top"/>
          </w:tcPr>
          <w:p>
            <w:pPr>
              <w:pStyle w:val="8"/>
              <w:rPr>
                <w:rFonts w:ascii="Times New Roman"/>
                <w:color w:val="auto"/>
                <w:sz w:val="20"/>
              </w:rPr>
            </w:pPr>
          </w:p>
          <w:p>
            <w:pPr>
              <w:pStyle w:val="8"/>
              <w:spacing w:before="4"/>
              <w:rPr>
                <w:rFonts w:ascii="Times New Roman"/>
                <w:color w:val="auto"/>
                <w:sz w:val="20"/>
              </w:rPr>
            </w:pPr>
          </w:p>
          <w:p>
            <w:pPr>
              <w:pStyle w:val="8"/>
              <w:spacing w:line="244" w:lineRule="auto"/>
              <w:ind w:left="107" w:right="96"/>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1.6</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spacing w:before="4"/>
              <w:rPr>
                <w:rFonts w:ascii="Times New Roman"/>
                <w:color w:val="auto"/>
                <w:sz w:val="20"/>
              </w:rPr>
            </w:pPr>
          </w:p>
          <w:p>
            <w:pPr>
              <w:pStyle w:val="8"/>
              <w:spacing w:line="244" w:lineRule="auto"/>
              <w:ind w:left="107" w:right="96"/>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spacing w:before="141"/>
              <w:ind w:left="105"/>
              <w:rPr>
                <w:color w:val="auto"/>
                <w:sz w:val="21"/>
              </w:rPr>
            </w:pPr>
            <w:r>
              <w:rPr>
                <w:color w:val="auto"/>
                <w:sz w:val="21"/>
              </w:rPr>
              <w:t>处 2.4 万元以上 3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42" w:hRule="atLeast"/>
        </w:trPr>
        <w:tc>
          <w:tcPr>
            <w:tcW w:w="562" w:type="dxa"/>
            <w:vMerge w:val="continue"/>
            <w:tcBorders>
              <w:top w:val="nil"/>
            </w:tcBorders>
            <w:vAlign w:val="top"/>
          </w:tcPr>
          <w:p>
            <w:pPr>
              <w:rPr>
                <w:color w:val="auto"/>
                <w:sz w:val="2"/>
                <w:szCs w:val="2"/>
              </w:rPr>
            </w:pPr>
          </w:p>
        </w:tc>
        <w:tc>
          <w:tcPr>
            <w:tcW w:w="718" w:type="dxa"/>
            <w:vMerge w:val="continue"/>
            <w:tcBorders>
              <w:top w:val="nil"/>
            </w:tcBorders>
            <w:vAlign w:val="top"/>
          </w:tcPr>
          <w:p>
            <w:pPr>
              <w:rPr>
                <w:color w:val="auto"/>
                <w:sz w:val="2"/>
                <w:szCs w:val="2"/>
              </w:rPr>
            </w:pPr>
          </w:p>
        </w:tc>
        <w:tc>
          <w:tcPr>
            <w:tcW w:w="466" w:type="dxa"/>
            <w:vAlign w:val="top"/>
          </w:tcPr>
          <w:p>
            <w:pPr>
              <w:pStyle w:val="8"/>
              <w:spacing w:before="8"/>
              <w:rPr>
                <w:rFonts w:ascii="Times New Roman"/>
                <w:color w:val="auto"/>
                <w:sz w:val="29"/>
              </w:rPr>
            </w:pPr>
          </w:p>
          <w:p>
            <w:pPr>
              <w:pStyle w:val="8"/>
              <w:spacing w:line="242" w:lineRule="auto"/>
              <w:ind w:left="126" w:right="116"/>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spacing w:before="0" w:line="242" w:lineRule="auto"/>
              <w:ind w:left="107" w:right="93"/>
              <w:rPr>
                <w:rFonts w:ascii="Times New Roman"/>
                <w:color w:val="auto"/>
                <w:sz w:val="17"/>
              </w:rPr>
            </w:pPr>
          </w:p>
          <w:p>
            <w:r>
              <w:rPr>
                <w:color w:val="auto"/>
                <w:spacing w:val="-28"/>
                <w:sz w:val="21"/>
              </w:rPr>
              <w:t xml:space="preserve">处 </w:t>
            </w:r>
            <w:r>
              <w:rPr>
                <w:color w:val="auto"/>
                <w:sz w:val="21"/>
              </w:rPr>
              <w:t>3</w:t>
            </w:r>
            <w:r>
              <w:rPr>
                <w:color w:val="auto"/>
                <w:spacing w:val="-21"/>
                <w:sz w:val="21"/>
              </w:rPr>
              <w:t xml:space="preserve"> 万元以上 </w:t>
            </w:r>
            <w:r>
              <w:rPr>
                <w:color w:val="auto"/>
                <w:sz w:val="21"/>
              </w:rPr>
              <w:t>3.6</w:t>
            </w:r>
            <w:r>
              <w:rPr>
                <w:color w:val="auto"/>
                <w:spacing w:val="-16"/>
                <w:sz w:val="21"/>
              </w:rPr>
              <w:t xml:space="preserve"> 万元以下</w:t>
            </w:r>
            <w:r>
              <w:rPr>
                <w:color w:val="auto"/>
                <w:spacing w:val="-7"/>
                <w:sz w:val="21"/>
              </w:rPr>
              <w:t>罚款，对违法单位的法定代</w:t>
            </w:r>
            <w:r>
              <w:rPr>
                <w:color w:val="auto"/>
                <w:spacing w:val="-6"/>
                <w:sz w:val="21"/>
              </w:rPr>
              <w:t>表人或者主要负责人、直接</w:t>
            </w:r>
            <w:r>
              <w:rPr>
                <w:color w:val="auto"/>
                <w:spacing w:val="13"/>
                <w:sz w:val="21"/>
              </w:rPr>
              <w:t>负责的主管人员和其他直</w:t>
            </w:r>
            <w:r>
              <w:rPr>
                <w:color w:val="auto"/>
                <w:spacing w:val="6"/>
                <w:sz w:val="21"/>
              </w:rPr>
              <w:t xml:space="preserve">接责任人员处 </w:t>
            </w:r>
            <w:r>
              <w:rPr>
                <w:color w:val="auto"/>
                <w:sz w:val="21"/>
              </w:rPr>
              <w:t>1</w:t>
            </w:r>
            <w:r>
              <w:rPr>
                <w:color w:val="auto"/>
                <w:spacing w:val="5"/>
                <w:sz w:val="21"/>
              </w:rPr>
              <w:t xml:space="preserve"> 万元以上</w:t>
            </w:r>
          </w:p>
          <w:p>
            <w:pPr>
              <w:pStyle w:val="8"/>
              <w:spacing w:before="0" w:line="242" w:lineRule="auto"/>
              <w:ind w:left="107" w:right="93"/>
              <w:jc w:val="both"/>
              <w:rPr>
                <w:color w:val="auto"/>
                <w:sz w:val="21"/>
              </w:rPr>
            </w:pPr>
            <w:r>
              <w:rPr>
                <w:color w:val="auto"/>
                <w:sz w:val="21"/>
              </w:rPr>
              <w:t>1.6 万元以下罚款。</w:t>
            </w:r>
          </w:p>
        </w:tc>
        <w:tc>
          <w:tcPr>
            <w:tcW w:w="2717" w:type="dxa"/>
            <w:vAlign w:val="top"/>
          </w:tcPr>
          <w:p>
            <w:pPr>
              <w:pStyle w:val="8"/>
              <w:spacing w:before="0" w:line="242" w:lineRule="auto"/>
              <w:ind w:left="107" w:right="96"/>
              <w:rPr>
                <w:rFonts w:ascii="Times New Roman"/>
                <w:color w:val="auto"/>
                <w:sz w:val="17"/>
              </w:rPr>
            </w:pPr>
          </w:p>
          <w:p>
            <w:r>
              <w:rPr>
                <w:color w:val="auto"/>
                <w:spacing w:val="-28"/>
                <w:sz w:val="21"/>
              </w:rPr>
              <w:t xml:space="preserve">处 </w:t>
            </w:r>
            <w:r>
              <w:rPr>
                <w:color w:val="auto"/>
                <w:sz w:val="21"/>
              </w:rPr>
              <w:t>3.6</w:t>
            </w:r>
            <w:r>
              <w:rPr>
                <w:color w:val="auto"/>
                <w:spacing w:val="-20"/>
                <w:sz w:val="21"/>
              </w:rPr>
              <w:t xml:space="preserve"> 万元以上 </w:t>
            </w:r>
            <w:r>
              <w:rPr>
                <w:color w:val="auto"/>
                <w:sz w:val="21"/>
              </w:rPr>
              <w:t>4.4</w:t>
            </w:r>
            <w:r>
              <w:rPr>
                <w:color w:val="auto"/>
                <w:spacing w:val="-19"/>
                <w:sz w:val="21"/>
              </w:rPr>
              <w:t xml:space="preserve"> 万元以</w:t>
            </w:r>
            <w:r>
              <w:rPr>
                <w:color w:val="auto"/>
                <w:spacing w:val="-7"/>
                <w:sz w:val="21"/>
              </w:rPr>
              <w:t>下罚款，对违法单位的法定</w:t>
            </w:r>
            <w:r>
              <w:rPr>
                <w:color w:val="auto"/>
                <w:spacing w:val="-6"/>
                <w:sz w:val="21"/>
              </w:rPr>
              <w:t>代表人或者主要负责人、直</w:t>
            </w:r>
            <w:r>
              <w:rPr>
                <w:color w:val="auto"/>
                <w:spacing w:val="13"/>
                <w:sz w:val="21"/>
              </w:rPr>
              <w:t>接负责的主管人员和其他</w:t>
            </w:r>
            <w:r>
              <w:rPr>
                <w:color w:val="auto"/>
                <w:spacing w:val="-10"/>
                <w:sz w:val="21"/>
              </w:rPr>
              <w:t xml:space="preserve">直接责任人员处 </w:t>
            </w:r>
            <w:r>
              <w:rPr>
                <w:color w:val="auto"/>
                <w:sz w:val="21"/>
              </w:rPr>
              <w:t>1.6</w:t>
            </w:r>
            <w:r>
              <w:rPr>
                <w:color w:val="auto"/>
                <w:spacing w:val="-20"/>
                <w:sz w:val="21"/>
              </w:rPr>
              <w:t xml:space="preserve"> 万元以</w:t>
            </w:r>
          </w:p>
          <w:p>
            <w:pPr>
              <w:pStyle w:val="8"/>
              <w:spacing w:before="0" w:line="242" w:lineRule="auto"/>
              <w:ind w:left="107" w:right="96"/>
              <w:jc w:val="both"/>
              <w:rPr>
                <w:color w:val="auto"/>
                <w:sz w:val="21"/>
              </w:rPr>
            </w:pPr>
            <w:r>
              <w:rPr>
                <w:color w:val="auto"/>
                <w:sz w:val="21"/>
              </w:rPr>
              <w:t>上 2.4 万元以下罚款。</w:t>
            </w:r>
          </w:p>
        </w:tc>
        <w:tc>
          <w:tcPr>
            <w:tcW w:w="3900" w:type="dxa"/>
            <w:vAlign w:val="top"/>
          </w:tcPr>
          <w:p>
            <w:pPr>
              <w:pStyle w:val="8"/>
              <w:spacing w:line="242" w:lineRule="auto"/>
              <w:ind w:left="105" w:right="93"/>
              <w:rPr>
                <w:rFonts w:ascii="Times New Roman"/>
                <w:color w:val="auto"/>
                <w:sz w:val="20"/>
              </w:rPr>
            </w:pPr>
          </w:p>
          <w:p>
            <w:pPr>
              <w:pStyle w:val="8"/>
              <w:spacing w:before="0" w:line="242" w:lineRule="auto"/>
              <w:ind w:left="105" w:right="93"/>
              <w:rPr>
                <w:rFonts w:ascii="Times New Roman"/>
                <w:color w:val="auto"/>
                <w:sz w:val="21"/>
              </w:rPr>
            </w:pPr>
          </w:p>
          <w:p>
            <w:r>
              <w:rPr>
                <w:color w:val="auto"/>
                <w:spacing w:val="-25"/>
                <w:sz w:val="21"/>
              </w:rPr>
              <w:t xml:space="preserve">处 </w:t>
            </w:r>
            <w:r>
              <w:rPr>
                <w:color w:val="auto"/>
                <w:sz w:val="21"/>
              </w:rPr>
              <w:t>4.4</w:t>
            </w:r>
            <w:r>
              <w:rPr>
                <w:color w:val="auto"/>
                <w:spacing w:val="-18"/>
                <w:sz w:val="21"/>
              </w:rPr>
              <w:t xml:space="preserve"> 万元以上 </w:t>
            </w:r>
            <w:r>
              <w:rPr>
                <w:color w:val="auto"/>
                <w:sz w:val="21"/>
              </w:rPr>
              <w:t>5</w:t>
            </w:r>
            <w:r>
              <w:rPr>
                <w:color w:val="auto"/>
                <w:spacing w:val="-17"/>
                <w:sz w:val="21"/>
              </w:rPr>
              <w:t xml:space="preserve"> 万元以下罚款，对违法</w:t>
            </w:r>
            <w:r>
              <w:rPr>
                <w:color w:val="auto"/>
                <w:spacing w:val="-13"/>
                <w:sz w:val="21"/>
              </w:rPr>
              <w:t>单位的法定代表人或者主要负责人、直接</w:t>
            </w:r>
            <w:r>
              <w:rPr>
                <w:color w:val="auto"/>
                <w:spacing w:val="3"/>
                <w:sz w:val="21"/>
              </w:rPr>
              <w:t>负责的主管人员和其他直接责任人员处</w:t>
            </w:r>
          </w:p>
          <w:p>
            <w:pPr>
              <w:pStyle w:val="8"/>
              <w:spacing w:before="0" w:line="242" w:lineRule="auto"/>
              <w:ind w:left="105" w:right="93"/>
              <w:jc w:val="both"/>
              <w:rPr>
                <w:color w:val="auto"/>
                <w:sz w:val="21"/>
              </w:rPr>
            </w:pPr>
            <w:r>
              <w:rPr>
                <w:color w:val="auto"/>
                <w:sz w:val="21"/>
              </w:rPr>
              <w:t>2.4 万元以上 3 万元以下罚款。</w:t>
            </w:r>
          </w:p>
        </w:tc>
      </w:tr>
    </w:tbl>
    <w:p>
      <w:pPr>
        <w:spacing w:after="0"/>
        <w:jc w:val="both"/>
        <w:rPr>
          <w:color w:val="auto"/>
          <w:sz w:val="21"/>
        </w:rPr>
        <w:sectPr>
          <w:pgSz w:w="16840" w:h="11910" w:orient="landscape"/>
          <w:pgMar w:top="1100" w:right="1400" w:bottom="1760" w:left="1400" w:header="0" w:footer="1572" w:gutter="0"/>
          <w:pgNumType w:fmt="numberInDash"/>
          <w:cols w:space="720" w:num="1"/>
        </w:sectPr>
      </w:pPr>
    </w:p>
    <w:p>
      <w:pPr>
        <w:pStyle w:val="4"/>
        <w:spacing w:before="2"/>
        <w:rPr>
          <w:rFonts w:ascii="Times New Roman"/>
          <w:color w:val="auto"/>
          <w:sz w:val="26"/>
        </w:r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83"/>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18"/>
              </w:rPr>
            </w:pPr>
          </w:p>
          <w:p>
            <w:pPr>
              <w:pStyle w:val="8"/>
              <w:ind w:left="9"/>
              <w:jc w:val="center"/>
              <w:rPr>
                <w:b/>
                <w:color w:val="auto"/>
                <w:sz w:val="21"/>
              </w:rPr>
            </w:pPr>
            <w:r>
              <w:rPr>
                <w:b/>
                <w:color w:val="auto"/>
                <w:w w:val="99"/>
                <w:sz w:val="21"/>
              </w:rPr>
              <w:t>6</w:t>
            </w:r>
          </w:p>
        </w:tc>
        <w:tc>
          <w:tcPr>
            <w:tcW w:w="1183" w:type="dxa"/>
            <w:vAlign w:val="top"/>
          </w:tcPr>
          <w:p>
            <w:pPr>
              <w:pStyle w:val="8"/>
              <w:spacing w:before="3"/>
              <w:rPr>
                <w:rFonts w:ascii="Times New Roman"/>
                <w:color w:val="auto"/>
                <w:sz w:val="20"/>
              </w:rPr>
            </w:pPr>
          </w:p>
          <w:p>
            <w:pPr>
              <w:pStyle w:val="8"/>
              <w:spacing w:before="1"/>
              <w:ind w:left="150" w:right="138"/>
              <w:jc w:val="center"/>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28"/>
              <w:rPr>
                <w:color w:val="auto"/>
                <w:sz w:val="21"/>
              </w:rPr>
            </w:pPr>
            <w:r>
              <w:rPr>
                <w:color w:val="auto"/>
                <w:sz w:val="21"/>
              </w:rPr>
              <w:t>在申请化妆品行政许可时提供虚假资料或者采取其他欺骗手段的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59" w:hRule="atLeast"/>
        </w:trPr>
        <w:tc>
          <w:tcPr>
            <w:tcW w:w="562" w:type="dxa"/>
            <w:vMerge w:val="continue"/>
            <w:tcBorders>
              <w:top w:val="nil"/>
            </w:tcBorders>
            <w:vAlign w:val="top"/>
          </w:tcPr>
          <w:p>
            <w:pPr>
              <w:rPr>
                <w:color w:val="auto"/>
                <w:sz w:val="2"/>
                <w:szCs w:val="2"/>
              </w:rPr>
            </w:pPr>
          </w:p>
        </w:tc>
        <w:tc>
          <w:tcPr>
            <w:tcW w:w="1183" w:type="dxa"/>
            <w:vAlign w:val="top"/>
          </w:tcPr>
          <w:p>
            <w:pPr>
              <w:pStyle w:val="8"/>
              <w:rPr>
                <w:rFonts w:ascii="Times New Roman"/>
                <w:color w:val="auto"/>
                <w:sz w:val="20"/>
              </w:rPr>
            </w:pPr>
          </w:p>
          <w:p>
            <w:pPr>
              <w:pStyle w:val="8"/>
              <w:rPr>
                <w:rFonts w:ascii="Times New Roman"/>
                <w:color w:val="auto"/>
                <w:sz w:val="20"/>
              </w:rPr>
            </w:pPr>
          </w:p>
          <w:p>
            <w:pPr>
              <w:pStyle w:val="8"/>
              <w:spacing w:before="9"/>
              <w:rPr>
                <w:rFonts w:ascii="Times New Roman"/>
                <w:color w:val="auto"/>
                <w:sz w:val="24"/>
              </w:rPr>
            </w:pPr>
          </w:p>
          <w:p>
            <w:pPr>
              <w:pStyle w:val="8"/>
              <w:ind w:left="150" w:right="138"/>
              <w:jc w:val="center"/>
              <w:rPr>
                <w:b/>
                <w:color w:val="auto"/>
                <w:sz w:val="21"/>
              </w:rPr>
            </w:pPr>
            <w:r>
              <w:rPr>
                <w:b/>
                <w:color w:val="auto"/>
                <w:sz w:val="21"/>
              </w:rPr>
              <w:t>处罚依据</w:t>
            </w:r>
          </w:p>
        </w:tc>
        <w:tc>
          <w:tcPr>
            <w:tcW w:w="12046" w:type="dxa"/>
            <w:gridSpan w:val="4"/>
            <w:vAlign w:val="top"/>
          </w:tcPr>
          <w:p>
            <w:pPr>
              <w:pStyle w:val="8"/>
              <w:spacing w:before="0" w:line="242" w:lineRule="auto"/>
              <w:ind w:left="108" w:right="94" w:firstLine="420"/>
              <w:rPr>
                <w:rFonts w:ascii="Times New Roman"/>
                <w:color w:val="auto"/>
                <w:sz w:val="17"/>
              </w:rPr>
            </w:pPr>
          </w:p>
          <w:p>
            <w:r>
              <w:rPr>
                <w:color w:val="auto"/>
                <w:spacing w:val="-1"/>
                <w:sz w:val="21"/>
              </w:rPr>
              <w:t>根据《化妆品监督管理条例》第六十四条第一款规定，不予行政许可，已经取得行政许可的，由作出行政许可决定的部门撤</w:t>
            </w:r>
            <w:r>
              <w:rPr>
                <w:color w:val="auto"/>
                <w:spacing w:val="-4"/>
                <w:sz w:val="21"/>
              </w:rPr>
              <w:t>销行政许可，</w:t>
            </w:r>
            <w:r>
              <w:rPr>
                <w:color w:val="auto"/>
                <w:spacing w:val="-10"/>
                <w:sz w:val="21"/>
              </w:rPr>
              <w:t>5</w:t>
            </w:r>
            <w:r>
              <w:rPr>
                <w:color w:val="auto"/>
                <w:spacing w:val="-8"/>
                <w:sz w:val="21"/>
              </w:rPr>
              <w:t xml:space="preserve"> 年内不受理其提出的化妆品相关许可申请，没收违法所得和已经生产、进口的化妆品；已经生产、进口的化妆品货</w:t>
            </w:r>
            <w:r>
              <w:rPr>
                <w:color w:val="auto"/>
                <w:spacing w:val="-13"/>
                <w:sz w:val="21"/>
              </w:rPr>
              <w:t xml:space="preserve">值金额不足 </w:t>
            </w:r>
            <w:r>
              <w:rPr>
                <w:color w:val="auto"/>
                <w:sz w:val="21"/>
              </w:rPr>
              <w:t>1</w:t>
            </w:r>
            <w:r>
              <w:rPr>
                <w:color w:val="auto"/>
                <w:spacing w:val="-17"/>
                <w:sz w:val="21"/>
              </w:rPr>
              <w:t xml:space="preserve"> 万元的，并处 </w:t>
            </w:r>
            <w:r>
              <w:rPr>
                <w:color w:val="auto"/>
                <w:sz w:val="21"/>
              </w:rPr>
              <w:t>5</w:t>
            </w:r>
            <w:r>
              <w:rPr>
                <w:color w:val="auto"/>
                <w:spacing w:val="-18"/>
                <w:sz w:val="21"/>
              </w:rPr>
              <w:t xml:space="preserve"> 万元以上 </w:t>
            </w:r>
            <w:r>
              <w:rPr>
                <w:color w:val="auto"/>
                <w:sz w:val="21"/>
              </w:rPr>
              <w:t>15</w:t>
            </w:r>
            <w:r>
              <w:rPr>
                <w:color w:val="auto"/>
                <w:spacing w:val="-14"/>
                <w:sz w:val="21"/>
              </w:rPr>
              <w:t xml:space="preserve"> 万元以下罚款；货值金额 </w:t>
            </w:r>
            <w:r>
              <w:rPr>
                <w:color w:val="auto"/>
                <w:sz w:val="21"/>
              </w:rPr>
              <w:t>1</w:t>
            </w:r>
            <w:r>
              <w:rPr>
                <w:color w:val="auto"/>
                <w:spacing w:val="-12"/>
                <w:sz w:val="21"/>
              </w:rPr>
              <w:t xml:space="preserve"> 万元以上的，并处货值金额 </w:t>
            </w:r>
            <w:r>
              <w:rPr>
                <w:color w:val="auto"/>
                <w:sz w:val="21"/>
              </w:rPr>
              <w:t>15</w:t>
            </w:r>
            <w:r>
              <w:rPr>
                <w:color w:val="auto"/>
                <w:spacing w:val="-21"/>
                <w:sz w:val="21"/>
              </w:rPr>
              <w:t xml:space="preserve"> 倍以上 </w:t>
            </w:r>
            <w:r>
              <w:rPr>
                <w:color w:val="auto"/>
                <w:sz w:val="21"/>
              </w:rPr>
              <w:t>30</w:t>
            </w:r>
            <w:r>
              <w:rPr>
                <w:color w:val="auto"/>
                <w:spacing w:val="-9"/>
                <w:sz w:val="21"/>
              </w:rPr>
              <w:t xml:space="preserve"> 倍以下罚款；对违</w:t>
            </w:r>
          </w:p>
          <w:p>
            <w:pPr>
              <w:pStyle w:val="8"/>
              <w:spacing w:before="0" w:line="242" w:lineRule="auto"/>
              <w:ind w:left="108" w:right="94" w:firstLine="420"/>
              <w:rPr>
                <w:color w:val="auto"/>
                <w:sz w:val="21"/>
              </w:rPr>
            </w:pPr>
            <w:r>
              <w:rPr>
                <w:color w:val="auto"/>
                <w:sz w:val="21"/>
              </w:rPr>
              <w:t>法单位的法定代表人或者主要负责人、直接负责的主管人员和其他直接责任人员处以其上一年度从本单位取得收入的 3 倍以上 5 倍以下罚款，终身禁止其从事化妆品生产经营活动。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3" w:type="dxa"/>
            <w:vAlign w:val="top"/>
          </w:tcPr>
          <w:p>
            <w:pPr>
              <w:pStyle w:val="8"/>
              <w:spacing w:before="147"/>
              <w:ind w:left="150" w:right="138"/>
              <w:jc w:val="center"/>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3" w:type="dxa"/>
            <w:vAlign w:val="top"/>
          </w:tcPr>
          <w:p>
            <w:pPr>
              <w:pStyle w:val="8"/>
              <w:spacing w:before="3"/>
              <w:rPr>
                <w:rFonts w:ascii="Times New Roman"/>
                <w:color w:val="auto"/>
                <w:sz w:val="20"/>
              </w:rPr>
            </w:pPr>
          </w:p>
          <w:p>
            <w:pPr>
              <w:pStyle w:val="8"/>
              <w:spacing w:before="1"/>
              <w:ind w:left="150" w:right="138"/>
              <w:jc w:val="center"/>
              <w:rPr>
                <w:b/>
                <w:color w:val="auto"/>
                <w:sz w:val="21"/>
              </w:rPr>
            </w:pPr>
            <w:r>
              <w:rPr>
                <w:b/>
                <w:color w:val="auto"/>
                <w:sz w:val="21"/>
              </w:rPr>
              <w:t>裁量情节</w:t>
            </w:r>
          </w:p>
        </w:tc>
        <w:tc>
          <w:tcPr>
            <w:tcW w:w="2715" w:type="dxa"/>
            <w:vAlign w:val="top"/>
          </w:tcPr>
          <w:p>
            <w:pPr>
              <w:pStyle w:val="8"/>
              <w:spacing w:before="97" w:line="244" w:lineRule="auto"/>
              <w:ind w:left="108" w:right="97"/>
              <w:rPr>
                <w:color w:val="auto"/>
                <w:sz w:val="21"/>
              </w:rPr>
            </w:pPr>
            <w:r>
              <w:rPr>
                <w:color w:val="auto"/>
                <w:sz w:val="21"/>
              </w:rPr>
              <w:t>符合裁量规定减轻行政处罚情形的。</w:t>
            </w:r>
          </w:p>
        </w:tc>
        <w:tc>
          <w:tcPr>
            <w:tcW w:w="2714" w:type="dxa"/>
            <w:vAlign w:val="top"/>
          </w:tcPr>
          <w:p>
            <w:pPr>
              <w:pStyle w:val="8"/>
              <w:spacing w:before="97" w:line="244" w:lineRule="auto"/>
              <w:ind w:left="108" w:right="94"/>
              <w:rPr>
                <w:color w:val="auto"/>
                <w:sz w:val="21"/>
              </w:rPr>
            </w:pPr>
            <w:r>
              <w:rPr>
                <w:color w:val="auto"/>
                <w:sz w:val="21"/>
              </w:rPr>
              <w:t>符合裁量规定从轻行政处罚情形的。</w:t>
            </w:r>
          </w:p>
        </w:tc>
        <w:tc>
          <w:tcPr>
            <w:tcW w:w="2717" w:type="dxa"/>
            <w:vAlign w:val="top"/>
          </w:tcPr>
          <w:p>
            <w:pPr>
              <w:pStyle w:val="8"/>
              <w:spacing w:before="97" w:line="244" w:lineRule="auto"/>
              <w:ind w:left="108" w:right="97"/>
              <w:rPr>
                <w:color w:val="auto"/>
                <w:sz w:val="21"/>
              </w:rPr>
            </w:pPr>
            <w:r>
              <w:rPr>
                <w:color w:val="auto"/>
                <w:sz w:val="21"/>
              </w:rPr>
              <w:t>符合裁量规定一般行政处罚情形的。</w:t>
            </w:r>
          </w:p>
        </w:tc>
        <w:tc>
          <w:tcPr>
            <w:tcW w:w="3900" w:type="dxa"/>
            <w:vAlign w:val="top"/>
          </w:tcPr>
          <w:p>
            <w:pPr>
              <w:pStyle w:val="8"/>
              <w:spacing w:before="3"/>
              <w:rPr>
                <w:rFonts w:ascii="Times New Roman"/>
                <w:color w:val="auto"/>
                <w:sz w:val="20"/>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44" w:hRule="atLeast"/>
        </w:trPr>
        <w:tc>
          <w:tcPr>
            <w:tcW w:w="562" w:type="dxa"/>
            <w:vMerge w:val="continue"/>
            <w:tcBorders>
              <w:top w:val="nil"/>
            </w:tcBorders>
            <w:vAlign w:val="top"/>
          </w:tcPr>
          <w:p>
            <w:pPr>
              <w:rPr>
                <w:color w:val="auto"/>
                <w:sz w:val="2"/>
                <w:szCs w:val="2"/>
              </w:rPr>
            </w:pPr>
          </w:p>
        </w:tc>
        <w:tc>
          <w:tcPr>
            <w:tcW w:w="1183"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26"/>
              <w:ind w:left="150" w:right="138"/>
              <w:jc w:val="center"/>
              <w:rPr>
                <w:b/>
                <w:color w:val="auto"/>
                <w:sz w:val="21"/>
              </w:rPr>
            </w:pPr>
            <w:r>
              <w:rPr>
                <w:b/>
                <w:color w:val="auto"/>
                <w:sz w:val="21"/>
              </w:rPr>
              <w:t>裁量基准</w:t>
            </w:r>
          </w:p>
        </w:tc>
        <w:tc>
          <w:tcPr>
            <w:tcW w:w="2715" w:type="dxa"/>
            <w:vAlign w:val="top"/>
          </w:tcPr>
          <w:p>
            <w:pPr>
              <w:pStyle w:val="8"/>
              <w:rPr>
                <w:rFonts w:ascii="Times New Roman"/>
                <w:color w:val="auto"/>
                <w:sz w:val="20"/>
              </w:rPr>
            </w:pPr>
          </w:p>
        </w:tc>
        <w:tc>
          <w:tcPr>
            <w:tcW w:w="2714" w:type="dxa"/>
            <w:vAlign w:val="top"/>
          </w:tcPr>
          <w:p>
            <w:pPr>
              <w:pStyle w:val="8"/>
              <w:spacing w:before="145"/>
              <w:ind w:left="108"/>
              <w:rPr>
                <w:rFonts w:ascii="Times New Roman"/>
                <w:color w:val="auto"/>
                <w:sz w:val="20"/>
              </w:rPr>
            </w:pPr>
          </w:p>
          <w:p>
            <w:r>
              <w:rPr>
                <w:color w:val="auto"/>
                <w:spacing w:val="-9"/>
                <w:sz w:val="21"/>
              </w:rPr>
              <w:t xml:space="preserve">货值金额不足 </w:t>
            </w:r>
            <w:r>
              <w:rPr>
                <w:color w:val="auto"/>
                <w:sz w:val="21"/>
              </w:rPr>
              <w:t>1</w:t>
            </w:r>
            <w:r>
              <w:rPr>
                <w:color w:val="auto"/>
                <w:spacing w:val="-15"/>
                <w:sz w:val="21"/>
              </w:rPr>
              <w:t xml:space="preserve"> 万元的，并</w:t>
            </w:r>
          </w:p>
          <w:p>
            <w:r>
              <w:rPr>
                <w:color w:val="auto"/>
                <w:spacing w:val="-27"/>
                <w:sz w:val="21"/>
              </w:rPr>
              <w:t xml:space="preserve">处 </w:t>
            </w:r>
            <w:r>
              <w:rPr>
                <w:color w:val="auto"/>
                <w:sz w:val="21"/>
              </w:rPr>
              <w:t>5</w:t>
            </w:r>
            <w:r>
              <w:rPr>
                <w:color w:val="auto"/>
                <w:spacing w:val="-21"/>
                <w:sz w:val="21"/>
              </w:rPr>
              <w:t xml:space="preserve"> 万元以上 </w:t>
            </w:r>
            <w:r>
              <w:rPr>
                <w:color w:val="auto"/>
                <w:sz w:val="21"/>
              </w:rPr>
              <w:t>8</w:t>
            </w:r>
            <w:r>
              <w:rPr>
                <w:color w:val="auto"/>
                <w:spacing w:val="-11"/>
                <w:sz w:val="21"/>
              </w:rPr>
              <w:t xml:space="preserve"> 万元以下罚</w:t>
            </w:r>
          </w:p>
          <w:p>
            <w:r>
              <w:rPr>
                <w:color w:val="auto"/>
                <w:spacing w:val="-26"/>
                <w:sz w:val="21"/>
              </w:rPr>
              <w:t xml:space="preserve">款；货值金额 </w:t>
            </w:r>
            <w:r>
              <w:rPr>
                <w:color w:val="auto"/>
                <w:sz w:val="21"/>
              </w:rPr>
              <w:t>1</w:t>
            </w:r>
            <w:r>
              <w:rPr>
                <w:color w:val="auto"/>
                <w:spacing w:val="-14"/>
                <w:sz w:val="21"/>
              </w:rPr>
              <w:t xml:space="preserve"> 万元以上的，</w:t>
            </w:r>
          </w:p>
          <w:p>
            <w:r>
              <w:rPr>
                <w:color w:val="auto"/>
                <w:spacing w:val="16"/>
                <w:sz w:val="21"/>
              </w:rPr>
              <w:t xml:space="preserve">并处货值金额 </w:t>
            </w:r>
            <w:r>
              <w:rPr>
                <w:color w:val="auto"/>
                <w:sz w:val="21"/>
              </w:rPr>
              <w:t>15</w:t>
            </w:r>
            <w:r>
              <w:rPr>
                <w:color w:val="auto"/>
                <w:spacing w:val="20"/>
                <w:sz w:val="21"/>
              </w:rPr>
              <w:t xml:space="preserve"> 倍以上</w:t>
            </w:r>
          </w:p>
          <w:p>
            <w:pPr>
              <w:pStyle w:val="8"/>
              <w:spacing w:before="145" w:line="240" w:lineRule="auto"/>
              <w:ind w:left="108" w:right="0"/>
              <w:jc w:val="both"/>
              <w:rPr>
                <w:color w:val="auto"/>
                <w:sz w:val="21"/>
              </w:rPr>
            </w:pPr>
            <w:r>
              <w:rPr>
                <w:color w:val="auto"/>
                <w:sz w:val="21"/>
              </w:rPr>
              <w:t>19.5</w:t>
            </w:r>
            <w:r>
              <w:rPr>
                <w:color w:val="auto"/>
                <w:spacing w:val="-15"/>
                <w:sz w:val="21"/>
              </w:rPr>
              <w:t xml:space="preserve"> 倍以下罚款；对违法单</w:t>
            </w:r>
            <w:r>
              <w:rPr>
                <w:color w:val="auto"/>
                <w:spacing w:val="13"/>
                <w:sz w:val="21"/>
              </w:rPr>
              <w:t>位的法定代表人或者主要</w:t>
            </w:r>
            <w:r>
              <w:rPr>
                <w:color w:val="auto"/>
                <w:spacing w:val="-7"/>
                <w:sz w:val="21"/>
              </w:rPr>
              <w:t>负责人、直接负责的主管人</w:t>
            </w:r>
            <w:r>
              <w:rPr>
                <w:color w:val="auto"/>
                <w:spacing w:val="13"/>
                <w:sz w:val="21"/>
              </w:rPr>
              <w:t>员和其他直接责任人员处以其上一年度从本单位取</w:t>
            </w:r>
            <w:r>
              <w:rPr>
                <w:color w:val="auto"/>
                <w:spacing w:val="-13"/>
                <w:sz w:val="21"/>
              </w:rPr>
              <w:t xml:space="preserve">得收入的 </w:t>
            </w:r>
            <w:r>
              <w:rPr>
                <w:color w:val="auto"/>
                <w:sz w:val="21"/>
              </w:rPr>
              <w:t>3</w:t>
            </w:r>
            <w:r>
              <w:rPr>
                <w:color w:val="auto"/>
                <w:spacing w:val="-24"/>
                <w:sz w:val="21"/>
              </w:rPr>
              <w:t xml:space="preserve"> 倍以上 </w:t>
            </w:r>
            <w:r>
              <w:rPr>
                <w:color w:val="auto"/>
                <w:sz w:val="21"/>
              </w:rPr>
              <w:t>3.6</w:t>
            </w:r>
            <w:r>
              <w:rPr>
                <w:color w:val="auto"/>
                <w:spacing w:val="-21"/>
                <w:sz w:val="21"/>
              </w:rPr>
              <w:t xml:space="preserve"> 倍以</w:t>
            </w:r>
            <w:r>
              <w:rPr>
                <w:color w:val="auto"/>
                <w:spacing w:val="-1"/>
                <w:sz w:val="21"/>
              </w:rPr>
              <w:t>下罚款。</w:t>
            </w:r>
          </w:p>
        </w:tc>
        <w:tc>
          <w:tcPr>
            <w:tcW w:w="2717" w:type="dxa"/>
            <w:vAlign w:val="top"/>
          </w:tcPr>
          <w:p>
            <w:pPr>
              <w:pStyle w:val="8"/>
              <w:spacing w:before="5" w:line="242" w:lineRule="auto"/>
              <w:ind w:left="108" w:right="95"/>
              <w:rPr>
                <w:rFonts w:ascii="Times New Roman"/>
                <w:color w:val="auto"/>
                <w:sz w:val="20"/>
              </w:rPr>
            </w:pPr>
          </w:p>
          <w:p>
            <w:pPr>
              <w:pStyle w:val="8"/>
              <w:spacing w:before="5" w:line="242" w:lineRule="auto"/>
              <w:ind w:left="108" w:right="95"/>
              <w:jc w:val="both"/>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line="242" w:lineRule="auto"/>
              <w:ind w:left="108" w:right="95"/>
              <w:jc w:val="both"/>
              <w:rPr>
                <w:color w:val="auto"/>
                <w:sz w:val="21"/>
              </w:rPr>
            </w:pPr>
            <w:r>
              <w:rPr>
                <w:color w:val="auto"/>
                <w:spacing w:val="-15"/>
                <w:sz w:val="21"/>
              </w:rPr>
              <w:t xml:space="preserve">处 </w:t>
            </w:r>
            <w:r>
              <w:rPr>
                <w:color w:val="auto"/>
                <w:sz w:val="21"/>
              </w:rPr>
              <w:t>8</w:t>
            </w:r>
            <w:r>
              <w:rPr>
                <w:color w:val="auto"/>
                <w:spacing w:val="-12"/>
                <w:sz w:val="21"/>
              </w:rPr>
              <w:t xml:space="preserve"> 万元以上 </w:t>
            </w:r>
            <w:r>
              <w:rPr>
                <w:color w:val="auto"/>
                <w:sz w:val="21"/>
              </w:rPr>
              <w:t>12</w:t>
            </w:r>
            <w:r>
              <w:rPr>
                <w:color w:val="auto"/>
                <w:spacing w:val="-8"/>
                <w:sz w:val="21"/>
              </w:rPr>
              <w:t xml:space="preserve"> 万元以下</w:t>
            </w:r>
          </w:p>
          <w:p>
            <w:pPr>
              <w:pStyle w:val="8"/>
              <w:spacing w:before="5" w:line="242" w:lineRule="auto"/>
              <w:ind w:left="108" w:right="95"/>
              <w:jc w:val="both"/>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pPr>
              <w:pStyle w:val="8"/>
              <w:spacing w:before="5" w:line="242" w:lineRule="auto"/>
              <w:ind w:left="108" w:right="95"/>
              <w:jc w:val="both"/>
              <w:rPr>
                <w:color w:val="auto"/>
                <w:sz w:val="21"/>
              </w:rPr>
            </w:pPr>
            <w:r>
              <w:rPr>
                <w:color w:val="auto"/>
                <w:spacing w:val="-4"/>
                <w:sz w:val="21"/>
              </w:rPr>
              <w:t xml:space="preserve">的，并处货值金额 </w:t>
            </w:r>
            <w:r>
              <w:rPr>
                <w:color w:val="auto"/>
                <w:sz w:val="21"/>
              </w:rPr>
              <w:t>19.5</w:t>
            </w:r>
            <w:r>
              <w:rPr>
                <w:color w:val="auto"/>
                <w:spacing w:val="-4"/>
                <w:sz w:val="21"/>
              </w:rPr>
              <w:t xml:space="preserve"> 倍</w:t>
            </w:r>
          </w:p>
          <w:p>
            <w:r>
              <w:rPr>
                <w:color w:val="auto"/>
                <w:spacing w:val="-2"/>
                <w:sz w:val="21"/>
              </w:rPr>
              <w:t xml:space="preserve">以上 </w:t>
            </w:r>
            <w:r>
              <w:rPr>
                <w:color w:val="auto"/>
                <w:sz w:val="21"/>
              </w:rPr>
              <w:t>25.5</w:t>
            </w:r>
            <w:r>
              <w:rPr>
                <w:color w:val="auto"/>
                <w:spacing w:val="-5"/>
                <w:sz w:val="21"/>
              </w:rPr>
              <w:t xml:space="preserve"> 倍以下罚款；对</w:t>
            </w:r>
            <w:r>
              <w:rPr>
                <w:color w:val="auto"/>
                <w:spacing w:val="13"/>
                <w:sz w:val="21"/>
              </w:rPr>
              <w:t>违法单位的法定代表人或</w:t>
            </w:r>
            <w:r>
              <w:rPr>
                <w:color w:val="auto"/>
                <w:spacing w:val="-7"/>
                <w:sz w:val="21"/>
              </w:rPr>
              <w:t>者主要负责人、直接负责的</w:t>
            </w:r>
            <w:r>
              <w:rPr>
                <w:color w:val="auto"/>
                <w:spacing w:val="13"/>
                <w:sz w:val="21"/>
              </w:rPr>
              <w:t>主管人员和其他直接责任人员处以其上一年度从本</w:t>
            </w:r>
            <w:r>
              <w:rPr>
                <w:color w:val="auto"/>
                <w:spacing w:val="-10"/>
                <w:sz w:val="21"/>
              </w:rPr>
              <w:t xml:space="preserve">单位取得收入的 </w:t>
            </w:r>
            <w:r>
              <w:rPr>
                <w:color w:val="auto"/>
                <w:sz w:val="21"/>
              </w:rPr>
              <w:t>3.6</w:t>
            </w:r>
            <w:r>
              <w:rPr>
                <w:color w:val="auto"/>
                <w:spacing w:val="-19"/>
                <w:sz w:val="21"/>
              </w:rPr>
              <w:t xml:space="preserve"> 倍以上</w:t>
            </w:r>
          </w:p>
          <w:p>
            <w:pPr>
              <w:pStyle w:val="8"/>
              <w:spacing w:before="5" w:line="242" w:lineRule="auto"/>
              <w:ind w:left="108" w:right="95"/>
              <w:jc w:val="both"/>
              <w:rPr>
                <w:color w:val="auto"/>
                <w:sz w:val="21"/>
              </w:rPr>
            </w:pPr>
            <w:r>
              <w:rPr>
                <w:color w:val="auto"/>
                <w:sz w:val="21"/>
              </w:rPr>
              <w:t>4.4 倍以下罚款。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ind w:left="106"/>
              <w:rPr>
                <w:color w:val="auto"/>
                <w:sz w:val="21"/>
              </w:rPr>
            </w:pPr>
            <w:r>
              <w:rPr>
                <w:color w:val="auto"/>
                <w:spacing w:val="-9"/>
                <w:sz w:val="21"/>
              </w:rPr>
              <w:t xml:space="preserve">货值金额不足 </w:t>
            </w:r>
            <w:r>
              <w:rPr>
                <w:color w:val="auto"/>
                <w:sz w:val="21"/>
              </w:rPr>
              <w:t>1</w:t>
            </w:r>
            <w:r>
              <w:rPr>
                <w:color w:val="auto"/>
                <w:spacing w:val="-14"/>
                <w:sz w:val="21"/>
              </w:rPr>
              <w:t xml:space="preserve"> 万元的，并处 </w:t>
            </w:r>
            <w:r>
              <w:rPr>
                <w:color w:val="auto"/>
                <w:sz w:val="21"/>
              </w:rPr>
              <w:t>12</w:t>
            </w:r>
            <w:r>
              <w:rPr>
                <w:color w:val="auto"/>
                <w:spacing w:val="-13"/>
                <w:sz w:val="21"/>
              </w:rPr>
              <w:t xml:space="preserve"> 万元以</w:t>
            </w:r>
          </w:p>
          <w:p>
            <w:pPr>
              <w:pStyle w:val="8"/>
              <w:spacing w:before="3"/>
              <w:ind w:left="106"/>
              <w:rPr>
                <w:color w:val="auto"/>
                <w:sz w:val="21"/>
              </w:rPr>
            </w:pPr>
            <w:r>
              <w:rPr>
                <w:color w:val="auto"/>
                <w:spacing w:val="-23"/>
                <w:sz w:val="21"/>
              </w:rPr>
              <w:t xml:space="preserve">上 </w:t>
            </w:r>
            <w:r>
              <w:rPr>
                <w:color w:val="auto"/>
                <w:sz w:val="21"/>
              </w:rPr>
              <w:t>15</w:t>
            </w:r>
            <w:r>
              <w:rPr>
                <w:color w:val="auto"/>
                <w:spacing w:val="-11"/>
                <w:sz w:val="21"/>
              </w:rPr>
              <w:t xml:space="preserve"> 万元以下罚款；货值金额 </w:t>
            </w:r>
            <w:r>
              <w:rPr>
                <w:color w:val="auto"/>
                <w:sz w:val="21"/>
              </w:rPr>
              <w:t>1</w:t>
            </w:r>
            <w:r>
              <w:rPr>
                <w:color w:val="auto"/>
                <w:spacing w:val="-12"/>
                <w:sz w:val="21"/>
              </w:rPr>
              <w:t xml:space="preserve"> 万元以</w:t>
            </w:r>
          </w:p>
          <w:p>
            <w:pPr>
              <w:pStyle w:val="8"/>
              <w:spacing w:before="4" w:line="242" w:lineRule="auto"/>
              <w:ind w:left="106" w:right="94"/>
              <w:jc w:val="both"/>
              <w:rPr>
                <w:color w:val="auto"/>
                <w:sz w:val="21"/>
              </w:rPr>
            </w:pPr>
            <w:r>
              <w:rPr>
                <w:color w:val="auto"/>
                <w:spacing w:val="-19"/>
                <w:sz w:val="21"/>
              </w:rPr>
              <w:t xml:space="preserve">上的，并处货值金额 </w:t>
            </w:r>
            <w:r>
              <w:rPr>
                <w:color w:val="auto"/>
                <w:sz w:val="21"/>
              </w:rPr>
              <w:t>25.5</w:t>
            </w:r>
            <w:r>
              <w:rPr>
                <w:color w:val="auto"/>
                <w:spacing w:val="-22"/>
                <w:sz w:val="21"/>
              </w:rPr>
              <w:t xml:space="preserve"> 倍以上 </w:t>
            </w:r>
            <w:r>
              <w:rPr>
                <w:color w:val="auto"/>
                <w:sz w:val="21"/>
              </w:rPr>
              <w:t>30</w:t>
            </w:r>
            <w:r>
              <w:rPr>
                <w:color w:val="auto"/>
                <w:spacing w:val="-22"/>
                <w:sz w:val="21"/>
              </w:rPr>
              <w:t xml:space="preserve"> 倍以</w:t>
            </w:r>
            <w:r>
              <w:rPr>
                <w:color w:val="auto"/>
                <w:spacing w:val="-12"/>
                <w:sz w:val="21"/>
              </w:rPr>
              <w:t>下罚款；对违法单位的法定代表人或者主要负责人、直接负责的主管人员和其他直</w:t>
            </w:r>
            <w:r>
              <w:rPr>
                <w:color w:val="auto"/>
                <w:spacing w:val="3"/>
                <w:sz w:val="21"/>
              </w:rPr>
              <w:t>接责任人员处以其上一年度从本单位取</w:t>
            </w:r>
            <w:r>
              <w:rPr>
                <w:color w:val="auto"/>
                <w:spacing w:val="-11"/>
                <w:sz w:val="21"/>
              </w:rPr>
              <w:t xml:space="preserve">得收入的 </w:t>
            </w:r>
            <w:r>
              <w:rPr>
                <w:color w:val="auto"/>
                <w:sz w:val="21"/>
              </w:rPr>
              <w:t>4.4</w:t>
            </w:r>
            <w:r>
              <w:rPr>
                <w:color w:val="auto"/>
                <w:spacing w:val="-22"/>
                <w:sz w:val="21"/>
              </w:rPr>
              <w:t xml:space="preserve"> 倍以上 </w:t>
            </w:r>
            <w:r>
              <w:rPr>
                <w:color w:val="auto"/>
                <w:sz w:val="21"/>
              </w:rPr>
              <w:t>5</w:t>
            </w:r>
            <w:r>
              <w:rPr>
                <w:color w:val="auto"/>
                <w:spacing w:val="-10"/>
                <w:sz w:val="21"/>
              </w:rPr>
              <w:t xml:space="preserve"> 倍以下罚款。</w:t>
            </w:r>
          </w:p>
        </w:tc>
      </w:tr>
    </w:tbl>
    <w:p>
      <w:pPr>
        <w:spacing w:after="0" w:line="242" w:lineRule="auto"/>
        <w:jc w:val="both"/>
        <w:rPr>
          <w:color w:val="auto"/>
          <w:sz w:val="21"/>
        </w:rPr>
        <w:sectPr>
          <w:pgSz w:w="16840" w:h="11910" w:orient="landscape"/>
          <w:pgMar w:top="1100" w:right="1400" w:bottom="1760" w:left="1400" w:header="0" w:footer="1572" w:gutter="0"/>
          <w:pgNumType w:fmt="numberInDash"/>
          <w:cols w:space="720" w:num="1"/>
        </w:sectPr>
      </w:pPr>
    </w:p>
    <w:p>
      <w:pPr>
        <w:pStyle w:val="4"/>
        <w:spacing w:before="2"/>
        <w:rPr>
          <w:rFonts w:ascii="Times New Roman"/>
          <w:color w:val="auto"/>
          <w:sz w:val="26"/>
        </w:r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83"/>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0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78"/>
              <w:ind w:left="9"/>
              <w:jc w:val="center"/>
              <w:rPr>
                <w:b/>
                <w:color w:val="auto"/>
                <w:sz w:val="21"/>
              </w:rPr>
            </w:pPr>
            <w:r>
              <w:rPr>
                <w:b/>
                <w:color w:val="auto"/>
                <w:w w:val="99"/>
                <w:sz w:val="21"/>
              </w:rPr>
              <w:t>7</w:t>
            </w:r>
          </w:p>
        </w:tc>
        <w:tc>
          <w:tcPr>
            <w:tcW w:w="1183" w:type="dxa"/>
            <w:vAlign w:val="top"/>
          </w:tcPr>
          <w:p>
            <w:pPr>
              <w:pStyle w:val="8"/>
              <w:spacing w:before="9"/>
              <w:rPr>
                <w:rFonts w:ascii="Times New Roman"/>
                <w:color w:val="auto"/>
                <w:sz w:val="27"/>
              </w:rPr>
            </w:pPr>
          </w:p>
          <w:p>
            <w:pPr>
              <w:pStyle w:val="8"/>
              <w:ind w:left="150" w:right="138"/>
              <w:jc w:val="center"/>
              <w:rPr>
                <w:b/>
                <w:color w:val="auto"/>
                <w:sz w:val="21"/>
              </w:rPr>
            </w:pPr>
            <w:r>
              <w:rPr>
                <w:b/>
                <w:color w:val="auto"/>
                <w:sz w:val="21"/>
              </w:rPr>
              <w:t>违法行为</w:t>
            </w:r>
          </w:p>
        </w:tc>
        <w:tc>
          <w:tcPr>
            <w:tcW w:w="12046" w:type="dxa"/>
            <w:gridSpan w:val="4"/>
            <w:vAlign w:val="top"/>
          </w:tcPr>
          <w:p>
            <w:pPr>
              <w:pStyle w:val="8"/>
              <w:spacing w:before="9"/>
              <w:rPr>
                <w:rFonts w:ascii="Times New Roman"/>
                <w:color w:val="auto"/>
                <w:sz w:val="27"/>
              </w:rPr>
            </w:pPr>
          </w:p>
          <w:p>
            <w:pPr>
              <w:pStyle w:val="8"/>
              <w:ind w:left="528"/>
              <w:rPr>
                <w:color w:val="auto"/>
                <w:sz w:val="21"/>
              </w:rPr>
            </w:pPr>
            <w:r>
              <w:rPr>
                <w:color w:val="auto"/>
                <w:sz w:val="21"/>
              </w:rPr>
              <w:t>伪造、变造、出租、出借或者转让化妆品许可证件的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85" w:hRule="atLeast"/>
        </w:trPr>
        <w:tc>
          <w:tcPr>
            <w:tcW w:w="562" w:type="dxa"/>
            <w:vMerge w:val="continue"/>
            <w:tcBorders>
              <w:top w:val="nil"/>
            </w:tcBorders>
            <w:vAlign w:val="top"/>
          </w:tcPr>
          <w:p>
            <w:pPr>
              <w:rPr>
                <w:color w:val="auto"/>
                <w:sz w:val="2"/>
                <w:szCs w:val="2"/>
              </w:rPr>
            </w:pPr>
          </w:p>
        </w:tc>
        <w:tc>
          <w:tcPr>
            <w:tcW w:w="1183"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68"/>
              <w:ind w:left="150" w:right="138"/>
              <w:jc w:val="center"/>
              <w:rPr>
                <w:b/>
                <w:color w:val="auto"/>
                <w:sz w:val="21"/>
              </w:rPr>
            </w:pPr>
            <w:r>
              <w:rPr>
                <w:b/>
                <w:color w:val="auto"/>
                <w:sz w:val="21"/>
              </w:rPr>
              <w:t>处罚依据</w:t>
            </w:r>
          </w:p>
        </w:tc>
        <w:tc>
          <w:tcPr>
            <w:tcW w:w="12046" w:type="dxa"/>
            <w:gridSpan w:val="4"/>
            <w:vAlign w:val="top"/>
          </w:tcPr>
          <w:p>
            <w:pPr>
              <w:pStyle w:val="8"/>
              <w:rPr>
                <w:rFonts w:ascii="Times New Roman"/>
                <w:color w:val="auto"/>
                <w:sz w:val="20"/>
              </w:rPr>
            </w:pPr>
          </w:p>
          <w:p>
            <w:pPr>
              <w:pStyle w:val="8"/>
              <w:rPr>
                <w:rFonts w:ascii="Times New Roman"/>
                <w:color w:val="auto"/>
                <w:sz w:val="20"/>
              </w:rPr>
            </w:pPr>
          </w:p>
          <w:p>
            <w:pPr>
              <w:pStyle w:val="8"/>
              <w:spacing w:before="126" w:line="242" w:lineRule="auto"/>
              <w:ind w:left="108" w:right="97" w:firstLine="420"/>
              <w:jc w:val="both"/>
              <w:rPr>
                <w:color w:val="auto"/>
                <w:sz w:val="21"/>
              </w:rPr>
            </w:pPr>
            <w:r>
              <w:rPr>
                <w:color w:val="auto"/>
                <w:spacing w:val="-1"/>
                <w:sz w:val="21"/>
              </w:rPr>
              <w:t>根据《化妆品监督管理条例》第六十四条第二款规定，由负责药品监督管理的部门或者原发证部门予以收缴或者吊销，没收</w:t>
            </w:r>
            <w:r>
              <w:rPr>
                <w:color w:val="auto"/>
                <w:spacing w:val="-8"/>
                <w:sz w:val="21"/>
              </w:rPr>
              <w:t xml:space="preserve">违法所得；违法所得不足 </w:t>
            </w:r>
            <w:r>
              <w:rPr>
                <w:color w:val="auto"/>
                <w:sz w:val="21"/>
              </w:rPr>
              <w:t>1</w:t>
            </w:r>
            <w:r>
              <w:rPr>
                <w:color w:val="auto"/>
                <w:spacing w:val="-15"/>
                <w:sz w:val="21"/>
              </w:rPr>
              <w:t xml:space="preserve"> 万元的，并处 </w:t>
            </w:r>
            <w:r>
              <w:rPr>
                <w:color w:val="auto"/>
                <w:sz w:val="21"/>
              </w:rPr>
              <w:t>5</w:t>
            </w:r>
            <w:r>
              <w:rPr>
                <w:color w:val="auto"/>
                <w:spacing w:val="-18"/>
                <w:sz w:val="21"/>
              </w:rPr>
              <w:t xml:space="preserve"> 万元以上 </w:t>
            </w:r>
            <w:r>
              <w:rPr>
                <w:color w:val="auto"/>
                <w:sz w:val="21"/>
              </w:rPr>
              <w:t>10</w:t>
            </w:r>
            <w:r>
              <w:rPr>
                <w:color w:val="auto"/>
                <w:spacing w:val="-13"/>
                <w:sz w:val="21"/>
              </w:rPr>
              <w:t xml:space="preserve"> 万元以下罚款；违法所得 </w:t>
            </w:r>
            <w:r>
              <w:rPr>
                <w:color w:val="auto"/>
                <w:sz w:val="21"/>
              </w:rPr>
              <w:t>1</w:t>
            </w:r>
            <w:r>
              <w:rPr>
                <w:color w:val="auto"/>
                <w:spacing w:val="-12"/>
                <w:sz w:val="21"/>
              </w:rPr>
              <w:t xml:space="preserve"> 万元以上的，并处违法所得 </w:t>
            </w:r>
            <w:r>
              <w:rPr>
                <w:color w:val="auto"/>
                <w:sz w:val="21"/>
              </w:rPr>
              <w:t>10</w:t>
            </w:r>
            <w:r>
              <w:rPr>
                <w:color w:val="auto"/>
                <w:spacing w:val="-22"/>
                <w:sz w:val="21"/>
              </w:rPr>
              <w:t xml:space="preserve"> 倍以上 </w:t>
            </w:r>
            <w:r>
              <w:rPr>
                <w:color w:val="auto"/>
                <w:sz w:val="21"/>
              </w:rPr>
              <w:t>20</w:t>
            </w:r>
            <w:r>
              <w:rPr>
                <w:color w:val="auto"/>
                <w:spacing w:val="-19"/>
                <w:sz w:val="21"/>
              </w:rPr>
              <w:t xml:space="preserve"> 倍以</w:t>
            </w:r>
            <w:r>
              <w:rPr>
                <w:color w:val="auto"/>
                <w:spacing w:val="-1"/>
                <w:sz w:val="21"/>
              </w:rPr>
              <w:t>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3" w:type="dxa"/>
            <w:vAlign w:val="top"/>
          </w:tcPr>
          <w:p>
            <w:pPr>
              <w:pStyle w:val="8"/>
              <w:spacing w:before="149"/>
              <w:ind w:left="150" w:right="138"/>
              <w:jc w:val="center"/>
              <w:rPr>
                <w:b/>
                <w:color w:val="auto"/>
                <w:sz w:val="21"/>
              </w:rPr>
            </w:pPr>
            <w:r>
              <w:rPr>
                <w:b/>
                <w:color w:val="auto"/>
                <w:sz w:val="21"/>
              </w:rPr>
              <w:t>裁量等级</w:t>
            </w:r>
          </w:p>
        </w:tc>
        <w:tc>
          <w:tcPr>
            <w:tcW w:w="2715" w:type="dxa"/>
            <w:vAlign w:val="top"/>
          </w:tcPr>
          <w:p>
            <w:pPr>
              <w:pStyle w:val="8"/>
              <w:spacing w:before="149"/>
              <w:ind w:left="108"/>
              <w:rPr>
                <w:b/>
                <w:color w:val="auto"/>
                <w:sz w:val="21"/>
              </w:rPr>
            </w:pPr>
            <w:r>
              <w:rPr>
                <w:b/>
                <w:color w:val="auto"/>
                <w:sz w:val="21"/>
              </w:rPr>
              <w:t>减轻</w:t>
            </w:r>
          </w:p>
        </w:tc>
        <w:tc>
          <w:tcPr>
            <w:tcW w:w="2714" w:type="dxa"/>
            <w:vAlign w:val="top"/>
          </w:tcPr>
          <w:p>
            <w:pPr>
              <w:pStyle w:val="8"/>
              <w:spacing w:before="149"/>
              <w:ind w:left="108"/>
              <w:rPr>
                <w:b/>
                <w:color w:val="auto"/>
                <w:sz w:val="21"/>
              </w:rPr>
            </w:pPr>
            <w:r>
              <w:rPr>
                <w:b/>
                <w:color w:val="auto"/>
                <w:sz w:val="21"/>
              </w:rPr>
              <w:t>从轻</w:t>
            </w:r>
          </w:p>
        </w:tc>
        <w:tc>
          <w:tcPr>
            <w:tcW w:w="2717" w:type="dxa"/>
            <w:vAlign w:val="top"/>
          </w:tcPr>
          <w:p>
            <w:pPr>
              <w:pStyle w:val="8"/>
              <w:spacing w:before="149"/>
              <w:ind w:left="108"/>
              <w:rPr>
                <w:b/>
                <w:color w:val="auto"/>
                <w:sz w:val="21"/>
              </w:rPr>
            </w:pPr>
            <w:r>
              <w:rPr>
                <w:b/>
                <w:color w:val="auto"/>
                <w:sz w:val="21"/>
              </w:rPr>
              <w:t>一般</w:t>
            </w:r>
          </w:p>
        </w:tc>
        <w:tc>
          <w:tcPr>
            <w:tcW w:w="3900" w:type="dxa"/>
            <w:vAlign w:val="top"/>
          </w:tcPr>
          <w:p>
            <w:pPr>
              <w:pStyle w:val="8"/>
              <w:spacing w:before="149"/>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0" w:hRule="atLeast"/>
        </w:trPr>
        <w:tc>
          <w:tcPr>
            <w:tcW w:w="562" w:type="dxa"/>
            <w:vMerge w:val="continue"/>
            <w:tcBorders>
              <w:top w:val="nil"/>
            </w:tcBorders>
            <w:vAlign w:val="top"/>
          </w:tcPr>
          <w:p>
            <w:pPr>
              <w:rPr>
                <w:color w:val="auto"/>
                <w:sz w:val="2"/>
                <w:szCs w:val="2"/>
              </w:rPr>
            </w:pPr>
          </w:p>
        </w:tc>
        <w:tc>
          <w:tcPr>
            <w:tcW w:w="1183" w:type="dxa"/>
            <w:vAlign w:val="top"/>
          </w:tcPr>
          <w:p>
            <w:pPr>
              <w:pStyle w:val="8"/>
              <w:rPr>
                <w:rFonts w:ascii="Times New Roman"/>
                <w:color w:val="auto"/>
                <w:sz w:val="20"/>
              </w:rPr>
            </w:pPr>
          </w:p>
          <w:p>
            <w:pPr>
              <w:pStyle w:val="8"/>
              <w:spacing w:before="10"/>
              <w:rPr>
                <w:rFonts w:ascii="Times New Roman"/>
                <w:color w:val="auto"/>
                <w:sz w:val="19"/>
              </w:rPr>
            </w:pPr>
          </w:p>
          <w:p>
            <w:pPr>
              <w:pStyle w:val="8"/>
              <w:spacing w:before="1"/>
              <w:ind w:left="150" w:right="138"/>
              <w:jc w:val="center"/>
              <w:rPr>
                <w:b/>
                <w:color w:val="auto"/>
                <w:sz w:val="21"/>
              </w:rPr>
            </w:pPr>
            <w:r>
              <w:rPr>
                <w:b/>
                <w:color w:val="auto"/>
                <w:sz w:val="21"/>
              </w:rPr>
              <w:t>裁量情节</w:t>
            </w:r>
          </w:p>
        </w:tc>
        <w:tc>
          <w:tcPr>
            <w:tcW w:w="2715" w:type="dxa"/>
            <w:vAlign w:val="top"/>
          </w:tcPr>
          <w:p>
            <w:pPr>
              <w:pStyle w:val="8"/>
              <w:rPr>
                <w:rFonts w:ascii="Times New Roman"/>
                <w:color w:val="auto"/>
                <w:sz w:val="28"/>
              </w:rPr>
            </w:pPr>
          </w:p>
          <w:p>
            <w:pPr>
              <w:pStyle w:val="8"/>
              <w:spacing w:line="244" w:lineRule="auto"/>
              <w:ind w:left="108" w:right="97"/>
              <w:rPr>
                <w:color w:val="auto"/>
                <w:sz w:val="21"/>
              </w:rPr>
            </w:pPr>
            <w:commentRangeStart w:id="9"/>
            <w:r>
              <w:rPr>
                <w:color w:val="auto"/>
                <w:sz w:val="21"/>
              </w:rPr>
              <w:t>符合裁量规定减轻行政处罚情形的。</w:t>
            </w:r>
            <w:commentRangeEnd w:id="9"/>
            <w:r>
              <w:rPr>
                <w:color w:val="auto"/>
              </w:rPr>
              <w:commentReference w:id="9"/>
            </w:r>
          </w:p>
        </w:tc>
        <w:tc>
          <w:tcPr>
            <w:tcW w:w="2714" w:type="dxa"/>
            <w:vAlign w:val="top"/>
          </w:tcPr>
          <w:p>
            <w:pPr>
              <w:pStyle w:val="8"/>
              <w:rPr>
                <w:rFonts w:ascii="Times New Roman"/>
                <w:color w:val="auto"/>
                <w:sz w:val="28"/>
              </w:rPr>
            </w:pPr>
          </w:p>
          <w:p>
            <w:pPr>
              <w:pStyle w:val="8"/>
              <w:spacing w:line="244" w:lineRule="auto"/>
              <w:ind w:left="108" w:right="94"/>
              <w:rPr>
                <w:color w:val="auto"/>
                <w:sz w:val="21"/>
              </w:rPr>
            </w:pPr>
            <w:r>
              <w:rPr>
                <w:color w:val="auto"/>
                <w:sz w:val="21"/>
              </w:rPr>
              <w:t>符合裁量规定从轻行政处罚情形的。</w:t>
            </w:r>
          </w:p>
        </w:tc>
        <w:tc>
          <w:tcPr>
            <w:tcW w:w="2717" w:type="dxa"/>
            <w:vAlign w:val="top"/>
          </w:tcPr>
          <w:p>
            <w:pPr>
              <w:pStyle w:val="8"/>
              <w:rPr>
                <w:rFonts w:ascii="Times New Roman"/>
                <w:color w:val="auto"/>
                <w:sz w:val="28"/>
              </w:rPr>
            </w:pPr>
          </w:p>
          <w:p>
            <w:pPr>
              <w:pStyle w:val="8"/>
              <w:spacing w:line="244" w:lineRule="auto"/>
              <w:ind w:left="108" w:right="97"/>
              <w:rPr>
                <w:color w:val="auto"/>
                <w:sz w:val="21"/>
              </w:rPr>
            </w:pPr>
            <w:r>
              <w:rPr>
                <w:color w:val="auto"/>
                <w:sz w:val="21"/>
              </w:rPr>
              <w:t>符合裁量规定一般行政处罚情形的。</w:t>
            </w:r>
          </w:p>
        </w:tc>
        <w:tc>
          <w:tcPr>
            <w:tcW w:w="3900" w:type="dxa"/>
            <w:vAlign w:val="top"/>
          </w:tcPr>
          <w:p>
            <w:pPr>
              <w:pStyle w:val="8"/>
              <w:rPr>
                <w:rFonts w:ascii="Times New Roman"/>
                <w:color w:val="auto"/>
                <w:sz w:val="20"/>
              </w:rPr>
            </w:pPr>
          </w:p>
          <w:p>
            <w:pPr>
              <w:pStyle w:val="8"/>
              <w:spacing w:before="10"/>
              <w:rPr>
                <w:rFonts w:ascii="Times New Roman"/>
                <w:color w:val="auto"/>
                <w:sz w:val="19"/>
              </w:rPr>
            </w:pPr>
          </w:p>
          <w:p>
            <w:pPr>
              <w:pStyle w:val="8"/>
              <w:spacing w:before="1"/>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37" w:hRule="atLeast"/>
        </w:trPr>
        <w:tc>
          <w:tcPr>
            <w:tcW w:w="562" w:type="dxa"/>
            <w:vMerge w:val="continue"/>
            <w:tcBorders>
              <w:top w:val="nil"/>
            </w:tcBorders>
            <w:vAlign w:val="top"/>
          </w:tcPr>
          <w:p>
            <w:pPr>
              <w:rPr>
                <w:color w:val="auto"/>
                <w:sz w:val="2"/>
                <w:szCs w:val="2"/>
              </w:rPr>
            </w:pPr>
          </w:p>
        </w:tc>
        <w:tc>
          <w:tcPr>
            <w:tcW w:w="1183"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32"/>
              <w:ind w:left="150" w:right="138"/>
              <w:jc w:val="center"/>
              <w:rPr>
                <w:b/>
                <w:color w:val="auto"/>
                <w:sz w:val="21"/>
              </w:rPr>
            </w:pPr>
            <w:r>
              <w:rPr>
                <w:b/>
                <w:color w:val="auto"/>
                <w:sz w:val="21"/>
              </w:rPr>
              <w:t>裁量基准</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4"/>
              </w:rPr>
            </w:pPr>
          </w:p>
          <w:p>
            <w:pPr>
              <w:pStyle w:val="8"/>
              <w:spacing w:before="1"/>
              <w:ind w:left="108"/>
              <w:rPr>
                <w:color w:val="auto"/>
                <w:sz w:val="21"/>
              </w:rPr>
            </w:pPr>
            <w:r>
              <w:rPr>
                <w:color w:val="auto"/>
                <w:spacing w:val="-9"/>
                <w:sz w:val="21"/>
              </w:rPr>
              <w:t xml:space="preserve">违法所得不足 </w:t>
            </w:r>
            <w:r>
              <w:rPr>
                <w:color w:val="auto"/>
                <w:sz w:val="21"/>
              </w:rPr>
              <w:t>1</w:t>
            </w:r>
            <w:r>
              <w:rPr>
                <w:color w:val="auto"/>
                <w:spacing w:val="-15"/>
                <w:sz w:val="21"/>
              </w:rPr>
              <w:t xml:space="preserve"> 万元的，并</w:t>
            </w:r>
          </w:p>
          <w:p>
            <w:pPr>
              <w:pStyle w:val="8"/>
              <w:spacing w:before="2"/>
              <w:ind w:left="108"/>
              <w:rPr>
                <w:color w:val="auto"/>
                <w:sz w:val="21"/>
              </w:rPr>
            </w:pPr>
            <w:r>
              <w:rPr>
                <w:color w:val="auto"/>
                <w:spacing w:val="-28"/>
                <w:sz w:val="21"/>
              </w:rPr>
              <w:t xml:space="preserve">处 </w:t>
            </w:r>
            <w:r>
              <w:rPr>
                <w:color w:val="auto"/>
                <w:sz w:val="21"/>
              </w:rPr>
              <w:t>0.5</w:t>
            </w:r>
            <w:r>
              <w:rPr>
                <w:color w:val="auto"/>
                <w:spacing w:val="-21"/>
                <w:sz w:val="21"/>
              </w:rPr>
              <w:t xml:space="preserve"> 万元以上 </w:t>
            </w:r>
            <w:r>
              <w:rPr>
                <w:color w:val="auto"/>
                <w:sz w:val="21"/>
              </w:rPr>
              <w:t>5</w:t>
            </w:r>
            <w:r>
              <w:rPr>
                <w:color w:val="auto"/>
                <w:spacing w:val="-14"/>
                <w:sz w:val="21"/>
              </w:rPr>
              <w:t xml:space="preserve"> 万元以下</w:t>
            </w:r>
          </w:p>
          <w:p>
            <w:pPr>
              <w:pStyle w:val="8"/>
              <w:spacing w:before="4"/>
              <w:ind w:left="108"/>
              <w:rPr>
                <w:color w:val="auto"/>
                <w:sz w:val="21"/>
              </w:rPr>
            </w:pPr>
            <w:r>
              <w:rPr>
                <w:color w:val="auto"/>
                <w:spacing w:val="-11"/>
                <w:sz w:val="21"/>
              </w:rPr>
              <w:t xml:space="preserve">罚款；违法所得 </w:t>
            </w:r>
            <w:r>
              <w:rPr>
                <w:color w:val="auto"/>
                <w:sz w:val="21"/>
              </w:rPr>
              <w:t>1</w:t>
            </w:r>
            <w:r>
              <w:rPr>
                <w:color w:val="auto"/>
                <w:spacing w:val="-12"/>
                <w:sz w:val="21"/>
              </w:rPr>
              <w:t xml:space="preserve"> 万元以上</w:t>
            </w:r>
          </w:p>
          <w:p>
            <w:pPr>
              <w:pStyle w:val="8"/>
              <w:spacing w:before="2"/>
              <w:ind w:left="108"/>
              <w:rPr>
                <w:color w:val="auto"/>
                <w:sz w:val="21"/>
              </w:rPr>
            </w:pPr>
            <w:r>
              <w:rPr>
                <w:color w:val="auto"/>
                <w:spacing w:val="-11"/>
                <w:sz w:val="21"/>
              </w:rPr>
              <w:t xml:space="preserve">的，并处违法所得 </w:t>
            </w:r>
            <w:r>
              <w:rPr>
                <w:color w:val="auto"/>
                <w:sz w:val="21"/>
              </w:rPr>
              <w:t>1</w:t>
            </w:r>
            <w:r>
              <w:rPr>
                <w:color w:val="auto"/>
                <w:spacing w:val="-15"/>
                <w:sz w:val="21"/>
              </w:rPr>
              <w:t xml:space="preserve"> 倍以上</w:t>
            </w:r>
          </w:p>
          <w:p>
            <w:pPr>
              <w:pStyle w:val="8"/>
              <w:spacing w:before="5"/>
              <w:ind w:left="108"/>
              <w:rPr>
                <w:color w:val="auto"/>
                <w:sz w:val="21"/>
              </w:rPr>
            </w:pPr>
            <w:r>
              <w:rPr>
                <w:color w:val="auto"/>
                <w:sz w:val="21"/>
              </w:rPr>
              <w:t>10 倍以下罚款。</w:t>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4"/>
              </w:rPr>
            </w:pPr>
          </w:p>
          <w:p>
            <w:pPr>
              <w:pStyle w:val="8"/>
              <w:spacing w:before="1"/>
              <w:ind w:left="108"/>
              <w:rPr>
                <w:color w:val="auto"/>
                <w:sz w:val="21"/>
              </w:rPr>
            </w:pPr>
            <w:r>
              <w:rPr>
                <w:color w:val="auto"/>
                <w:spacing w:val="-9"/>
                <w:sz w:val="21"/>
              </w:rPr>
              <w:t xml:space="preserve">违法所得不足 </w:t>
            </w:r>
            <w:r>
              <w:rPr>
                <w:color w:val="auto"/>
                <w:sz w:val="21"/>
              </w:rPr>
              <w:t>1</w:t>
            </w:r>
            <w:r>
              <w:rPr>
                <w:color w:val="auto"/>
                <w:spacing w:val="-15"/>
                <w:sz w:val="21"/>
              </w:rPr>
              <w:t xml:space="preserve"> 万元的，并</w:t>
            </w:r>
          </w:p>
          <w:p>
            <w:pPr>
              <w:pStyle w:val="8"/>
              <w:spacing w:before="2"/>
              <w:ind w:left="108"/>
              <w:rPr>
                <w:color w:val="auto"/>
                <w:sz w:val="21"/>
              </w:rPr>
            </w:pPr>
            <w:r>
              <w:rPr>
                <w:color w:val="auto"/>
                <w:spacing w:val="-28"/>
                <w:sz w:val="21"/>
              </w:rPr>
              <w:t xml:space="preserve">处 </w:t>
            </w:r>
            <w:r>
              <w:rPr>
                <w:color w:val="auto"/>
                <w:sz w:val="21"/>
              </w:rPr>
              <w:t>5</w:t>
            </w:r>
            <w:r>
              <w:rPr>
                <w:color w:val="auto"/>
                <w:spacing w:val="-21"/>
                <w:sz w:val="21"/>
              </w:rPr>
              <w:t xml:space="preserve"> 万元以上 </w:t>
            </w:r>
            <w:r>
              <w:rPr>
                <w:color w:val="auto"/>
                <w:sz w:val="21"/>
              </w:rPr>
              <w:t>6.5</w:t>
            </w:r>
            <w:r>
              <w:rPr>
                <w:color w:val="auto"/>
                <w:spacing w:val="-13"/>
                <w:sz w:val="21"/>
              </w:rPr>
              <w:t xml:space="preserve"> 万元以下</w:t>
            </w:r>
          </w:p>
          <w:p>
            <w:pPr>
              <w:pStyle w:val="8"/>
              <w:spacing w:before="4"/>
              <w:ind w:left="108"/>
              <w:rPr>
                <w:color w:val="auto"/>
                <w:sz w:val="21"/>
              </w:rPr>
            </w:pPr>
            <w:r>
              <w:rPr>
                <w:color w:val="auto"/>
                <w:spacing w:val="-12"/>
                <w:sz w:val="21"/>
              </w:rPr>
              <w:t xml:space="preserve">罚款；违法所得 </w:t>
            </w:r>
            <w:r>
              <w:rPr>
                <w:color w:val="auto"/>
                <w:sz w:val="21"/>
              </w:rPr>
              <w:t>1</w:t>
            </w:r>
            <w:r>
              <w:rPr>
                <w:color w:val="auto"/>
                <w:spacing w:val="-12"/>
                <w:sz w:val="21"/>
              </w:rPr>
              <w:t xml:space="preserve"> 万元以上</w:t>
            </w:r>
          </w:p>
          <w:p>
            <w:pPr>
              <w:pStyle w:val="8"/>
              <w:spacing w:before="2"/>
              <w:ind w:left="108"/>
              <w:rPr>
                <w:color w:val="auto"/>
                <w:sz w:val="21"/>
              </w:rPr>
            </w:pPr>
            <w:r>
              <w:rPr>
                <w:color w:val="auto"/>
                <w:spacing w:val="-4"/>
                <w:sz w:val="21"/>
              </w:rPr>
              <w:t xml:space="preserve">的，并处违法所得 </w:t>
            </w:r>
            <w:r>
              <w:rPr>
                <w:color w:val="auto"/>
                <w:sz w:val="21"/>
              </w:rPr>
              <w:t>10</w:t>
            </w:r>
            <w:r>
              <w:rPr>
                <w:color w:val="auto"/>
                <w:spacing w:val="-4"/>
                <w:sz w:val="21"/>
              </w:rPr>
              <w:t xml:space="preserve"> 倍以</w:t>
            </w:r>
          </w:p>
          <w:p>
            <w:pPr>
              <w:pStyle w:val="8"/>
              <w:spacing w:before="5"/>
              <w:ind w:left="108"/>
              <w:rPr>
                <w:color w:val="auto"/>
                <w:sz w:val="21"/>
              </w:rPr>
            </w:pPr>
            <w:r>
              <w:rPr>
                <w:color w:val="auto"/>
                <w:sz w:val="21"/>
              </w:rPr>
              <w:t>上 13 倍以下罚款。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4"/>
              </w:rPr>
            </w:pPr>
          </w:p>
          <w:p>
            <w:pPr>
              <w:pStyle w:val="8"/>
              <w:spacing w:before="1"/>
              <w:ind w:left="108"/>
              <w:rPr>
                <w:color w:val="auto"/>
                <w:sz w:val="21"/>
              </w:rPr>
            </w:pPr>
            <w:r>
              <w:rPr>
                <w:color w:val="auto"/>
                <w:spacing w:val="-9"/>
                <w:sz w:val="21"/>
              </w:rPr>
              <w:t xml:space="preserve">违法所得不足 </w:t>
            </w:r>
            <w:r>
              <w:rPr>
                <w:color w:val="auto"/>
                <w:sz w:val="21"/>
              </w:rPr>
              <w:t>1</w:t>
            </w:r>
            <w:r>
              <w:rPr>
                <w:color w:val="auto"/>
                <w:spacing w:val="-15"/>
                <w:sz w:val="21"/>
              </w:rPr>
              <w:t xml:space="preserve"> 万元的，并</w:t>
            </w:r>
          </w:p>
          <w:p>
            <w:pPr>
              <w:pStyle w:val="8"/>
              <w:spacing w:before="2"/>
              <w:ind w:left="108"/>
              <w:rPr>
                <w:color w:val="auto"/>
                <w:sz w:val="21"/>
              </w:rPr>
            </w:pPr>
            <w:r>
              <w:rPr>
                <w:color w:val="auto"/>
                <w:spacing w:val="-28"/>
                <w:sz w:val="21"/>
              </w:rPr>
              <w:t xml:space="preserve">处 </w:t>
            </w:r>
            <w:r>
              <w:rPr>
                <w:color w:val="auto"/>
                <w:sz w:val="21"/>
              </w:rPr>
              <w:t>6.5</w:t>
            </w:r>
            <w:r>
              <w:rPr>
                <w:color w:val="auto"/>
                <w:spacing w:val="-20"/>
                <w:sz w:val="21"/>
              </w:rPr>
              <w:t xml:space="preserve"> 万元以上 </w:t>
            </w:r>
            <w:r>
              <w:rPr>
                <w:color w:val="auto"/>
                <w:sz w:val="21"/>
              </w:rPr>
              <w:t>8.5</w:t>
            </w:r>
            <w:r>
              <w:rPr>
                <w:color w:val="auto"/>
                <w:spacing w:val="-16"/>
                <w:sz w:val="21"/>
              </w:rPr>
              <w:t xml:space="preserve"> 万元以</w:t>
            </w:r>
          </w:p>
          <w:p>
            <w:pPr>
              <w:pStyle w:val="8"/>
              <w:spacing w:before="4"/>
              <w:ind w:left="108"/>
              <w:rPr>
                <w:color w:val="auto"/>
                <w:sz w:val="21"/>
              </w:rPr>
            </w:pPr>
            <w:r>
              <w:rPr>
                <w:color w:val="auto"/>
                <w:spacing w:val="-11"/>
                <w:sz w:val="21"/>
              </w:rPr>
              <w:t xml:space="preserve">下罚款；违法所得 </w:t>
            </w:r>
            <w:r>
              <w:rPr>
                <w:color w:val="auto"/>
                <w:sz w:val="21"/>
              </w:rPr>
              <w:t>1</w:t>
            </w:r>
            <w:r>
              <w:rPr>
                <w:color w:val="auto"/>
                <w:spacing w:val="-14"/>
                <w:sz w:val="21"/>
              </w:rPr>
              <w:t xml:space="preserve"> 万元以</w:t>
            </w:r>
          </w:p>
          <w:p>
            <w:pPr>
              <w:pStyle w:val="8"/>
              <w:spacing w:before="2"/>
              <w:ind w:left="108"/>
              <w:rPr>
                <w:color w:val="auto"/>
                <w:sz w:val="21"/>
              </w:rPr>
            </w:pPr>
            <w:r>
              <w:rPr>
                <w:color w:val="auto"/>
                <w:spacing w:val="-4"/>
                <w:sz w:val="21"/>
              </w:rPr>
              <w:t xml:space="preserve">上的，并处违法所得 </w:t>
            </w:r>
            <w:r>
              <w:rPr>
                <w:color w:val="auto"/>
                <w:sz w:val="21"/>
              </w:rPr>
              <w:t>13</w:t>
            </w:r>
            <w:r>
              <w:rPr>
                <w:color w:val="auto"/>
                <w:spacing w:val="-4"/>
                <w:sz w:val="21"/>
              </w:rPr>
              <w:t xml:space="preserve"> 倍</w:t>
            </w:r>
          </w:p>
          <w:p>
            <w:pPr>
              <w:pStyle w:val="8"/>
              <w:spacing w:before="5"/>
              <w:ind w:left="108"/>
              <w:rPr>
                <w:color w:val="auto"/>
                <w:sz w:val="21"/>
              </w:rPr>
            </w:pPr>
            <w:r>
              <w:rPr>
                <w:color w:val="auto"/>
                <w:sz w:val="21"/>
              </w:rPr>
              <w:t>以上 17 倍以下罚款。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16"/>
              </w:rPr>
            </w:pPr>
          </w:p>
          <w:p>
            <w:pPr>
              <w:pStyle w:val="8"/>
              <w:ind w:left="106"/>
              <w:rPr>
                <w:color w:val="auto"/>
                <w:sz w:val="21"/>
              </w:rPr>
            </w:pPr>
            <w:r>
              <w:rPr>
                <w:color w:val="auto"/>
                <w:spacing w:val="-9"/>
                <w:sz w:val="21"/>
              </w:rPr>
              <w:t xml:space="preserve">违法所得不足 </w:t>
            </w:r>
            <w:r>
              <w:rPr>
                <w:color w:val="auto"/>
                <w:sz w:val="21"/>
              </w:rPr>
              <w:t>1</w:t>
            </w:r>
            <w:r>
              <w:rPr>
                <w:color w:val="auto"/>
                <w:spacing w:val="-27"/>
                <w:sz w:val="21"/>
              </w:rPr>
              <w:t xml:space="preserve"> 万元的，并处 </w:t>
            </w:r>
            <w:r>
              <w:rPr>
                <w:color w:val="auto"/>
                <w:sz w:val="21"/>
              </w:rPr>
              <w:t>8.5</w:t>
            </w:r>
            <w:r>
              <w:rPr>
                <w:color w:val="auto"/>
                <w:spacing w:val="-14"/>
                <w:sz w:val="21"/>
              </w:rPr>
              <w:t xml:space="preserve"> 万元以</w:t>
            </w:r>
          </w:p>
          <w:p>
            <w:pPr>
              <w:pStyle w:val="8"/>
              <w:spacing w:before="3"/>
              <w:ind w:left="106"/>
              <w:rPr>
                <w:color w:val="auto"/>
                <w:sz w:val="21"/>
              </w:rPr>
            </w:pPr>
            <w:r>
              <w:rPr>
                <w:color w:val="auto"/>
                <w:spacing w:val="-23"/>
                <w:sz w:val="21"/>
              </w:rPr>
              <w:t xml:space="preserve">上 </w:t>
            </w:r>
            <w:r>
              <w:rPr>
                <w:color w:val="auto"/>
                <w:sz w:val="21"/>
              </w:rPr>
              <w:t>10</w:t>
            </w:r>
            <w:r>
              <w:rPr>
                <w:color w:val="auto"/>
                <w:spacing w:val="-11"/>
                <w:sz w:val="21"/>
              </w:rPr>
              <w:t xml:space="preserve"> 万元以下罚款；违法所得 </w:t>
            </w:r>
            <w:r>
              <w:rPr>
                <w:color w:val="auto"/>
                <w:sz w:val="21"/>
              </w:rPr>
              <w:t>1</w:t>
            </w:r>
            <w:r>
              <w:rPr>
                <w:color w:val="auto"/>
                <w:spacing w:val="-12"/>
                <w:sz w:val="21"/>
              </w:rPr>
              <w:t xml:space="preserve"> 万元以</w:t>
            </w:r>
          </w:p>
          <w:p>
            <w:pPr>
              <w:pStyle w:val="8"/>
              <w:spacing w:before="4" w:line="242" w:lineRule="auto"/>
              <w:ind w:left="106" w:right="94"/>
              <w:rPr>
                <w:color w:val="auto"/>
                <w:sz w:val="21"/>
              </w:rPr>
            </w:pPr>
            <w:r>
              <w:rPr>
                <w:color w:val="auto"/>
                <w:spacing w:val="-19"/>
                <w:sz w:val="21"/>
              </w:rPr>
              <w:t xml:space="preserve">上的，并处违法所得 </w:t>
            </w:r>
            <w:r>
              <w:rPr>
                <w:color w:val="auto"/>
                <w:sz w:val="21"/>
              </w:rPr>
              <w:t>17</w:t>
            </w:r>
            <w:r>
              <w:rPr>
                <w:color w:val="auto"/>
                <w:spacing w:val="-21"/>
                <w:sz w:val="21"/>
              </w:rPr>
              <w:t xml:space="preserve"> 倍以上 </w:t>
            </w:r>
            <w:r>
              <w:rPr>
                <w:color w:val="auto"/>
                <w:sz w:val="21"/>
              </w:rPr>
              <w:t>20</w:t>
            </w:r>
            <w:r>
              <w:rPr>
                <w:color w:val="auto"/>
                <w:spacing w:val="-17"/>
                <w:sz w:val="21"/>
              </w:rPr>
              <w:t xml:space="preserve"> 倍以下</w:t>
            </w:r>
            <w:r>
              <w:rPr>
                <w:color w:val="auto"/>
                <w:sz w:val="21"/>
              </w:rPr>
              <w:t>罚款。</w:t>
            </w:r>
          </w:p>
        </w:tc>
      </w:tr>
    </w:tbl>
    <w:p>
      <w:pPr>
        <w:spacing w:after="0" w:line="242" w:lineRule="auto"/>
        <w:rPr>
          <w:color w:val="auto"/>
          <w:sz w:val="21"/>
        </w:rPr>
        <w:sectPr>
          <w:pgSz w:w="16840" w:h="11910" w:orient="landscape"/>
          <w:pgMar w:top="1100" w:right="1400" w:bottom="1760" w:left="1400" w:header="0" w:footer="1572" w:gutter="0"/>
          <w:pgNumType w:fmt="numberInDash"/>
          <w:cols w:space="720" w:num="1"/>
        </w:sectPr>
      </w:pPr>
    </w:p>
    <w:tbl>
      <w:tblPr>
        <w:tblStyle w:val="7"/>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5"/>
              </w:rPr>
            </w:pPr>
          </w:p>
          <w:p>
            <w:pPr>
              <w:pStyle w:val="8"/>
              <w:ind w:left="9"/>
              <w:jc w:val="center"/>
              <w:rPr>
                <w:color w:val="auto"/>
                <w:sz w:val="21"/>
              </w:rPr>
            </w:pPr>
            <w:r>
              <w:rPr>
                <w:color w:val="auto"/>
                <w:w w:val="100"/>
                <w:sz w:val="21"/>
              </w:rPr>
              <w:t>8</w:t>
            </w: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50"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备案时提供虚假资料的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2"/>
              </w:rPr>
            </w:pPr>
          </w:p>
          <w:p>
            <w:pPr>
              <w:pStyle w:val="8"/>
              <w:ind w:left="170"/>
              <w:rPr>
                <w:b/>
                <w:color w:val="auto"/>
                <w:sz w:val="21"/>
              </w:rPr>
            </w:pPr>
            <w:r>
              <w:rPr>
                <w:b/>
                <w:color w:val="auto"/>
                <w:sz w:val="21"/>
              </w:rPr>
              <w:t>处罚依据</w:t>
            </w:r>
          </w:p>
        </w:tc>
        <w:tc>
          <w:tcPr>
            <w:tcW w:w="12050" w:type="dxa"/>
            <w:gridSpan w:val="4"/>
            <w:vAlign w:val="top"/>
          </w:tcPr>
          <w:p>
            <w:r>
              <w:rPr>
                <w:color w:val="auto"/>
                <w:spacing w:val="-9"/>
                <w:sz w:val="21"/>
              </w:rPr>
              <w:t>根据《化妆品监督管理条例》第六十五条规定，由备案部门取消备案，3</w:t>
            </w:r>
            <w:r>
              <w:rPr>
                <w:color w:val="auto"/>
                <w:spacing w:val="-5"/>
                <w:sz w:val="21"/>
              </w:rPr>
              <w:t xml:space="preserve"> 年内不予办理其提出的该项备案，没收违法所得和已</w:t>
            </w:r>
            <w:r>
              <w:rPr>
                <w:color w:val="auto"/>
                <w:spacing w:val="-6"/>
                <w:sz w:val="21"/>
              </w:rPr>
              <w:t xml:space="preserve">经生产、进口的化妆品；已经生产、进口的化妆品货值金额不足 </w:t>
            </w:r>
            <w:r>
              <w:rPr>
                <w:color w:val="auto"/>
                <w:sz w:val="21"/>
              </w:rPr>
              <w:t>1</w:t>
            </w:r>
            <w:r>
              <w:rPr>
                <w:color w:val="auto"/>
                <w:spacing w:val="-12"/>
                <w:sz w:val="21"/>
              </w:rPr>
              <w:t xml:space="preserve"> 万元的，并处 </w:t>
            </w:r>
            <w:r>
              <w:rPr>
                <w:color w:val="auto"/>
                <w:sz w:val="21"/>
              </w:rPr>
              <w:t>1</w:t>
            </w:r>
            <w:r>
              <w:rPr>
                <w:color w:val="auto"/>
                <w:spacing w:val="-14"/>
                <w:sz w:val="21"/>
              </w:rPr>
              <w:t xml:space="preserve"> 万元以上 </w:t>
            </w:r>
            <w:r>
              <w:rPr>
                <w:color w:val="auto"/>
                <w:sz w:val="21"/>
              </w:rPr>
              <w:t>3</w:t>
            </w:r>
            <w:r>
              <w:rPr>
                <w:color w:val="auto"/>
                <w:spacing w:val="-11"/>
                <w:sz w:val="21"/>
              </w:rPr>
              <w:t xml:space="preserve"> 万元以下罚款；货值金额 </w:t>
            </w:r>
            <w:r>
              <w:rPr>
                <w:color w:val="auto"/>
                <w:sz w:val="21"/>
              </w:rPr>
              <w:t>1</w:t>
            </w:r>
            <w:r>
              <w:rPr>
                <w:color w:val="auto"/>
                <w:spacing w:val="-13"/>
                <w:sz w:val="21"/>
              </w:rPr>
              <w:t xml:space="preserve"> 万元以</w:t>
            </w:r>
          </w:p>
          <w:p>
            <w:r>
              <w:rPr>
                <w:color w:val="auto"/>
                <w:spacing w:val="-8"/>
                <w:sz w:val="21"/>
              </w:rPr>
              <w:t xml:space="preserve">上的，并处货值金额 </w:t>
            </w:r>
            <w:r>
              <w:rPr>
                <w:color w:val="auto"/>
                <w:sz w:val="21"/>
              </w:rPr>
              <w:t>3</w:t>
            </w:r>
            <w:r>
              <w:rPr>
                <w:color w:val="auto"/>
                <w:spacing w:val="-16"/>
                <w:sz w:val="21"/>
              </w:rPr>
              <w:t xml:space="preserve"> 倍以上 </w:t>
            </w:r>
            <w:r>
              <w:rPr>
                <w:color w:val="auto"/>
                <w:sz w:val="21"/>
              </w:rPr>
              <w:t>10</w:t>
            </w:r>
            <w:r>
              <w:rPr>
                <w:color w:val="auto"/>
                <w:spacing w:val="-11"/>
                <w:sz w:val="21"/>
              </w:rPr>
              <w:t xml:space="preserve"> 倍以下罚款。情节严重的，责令停产停业直至由原发证部门吊销化妆品生产许可证，对违法单位</w:t>
            </w:r>
          </w:p>
          <w:p>
            <w:pPr>
              <w:pStyle w:val="8"/>
              <w:spacing w:before="171" w:line="244" w:lineRule="auto"/>
              <w:ind w:left="107" w:right="97" w:firstLine="420"/>
              <w:rPr>
                <w:color w:val="auto"/>
                <w:sz w:val="21"/>
              </w:rPr>
            </w:pPr>
            <w:r>
              <w:rPr>
                <w:color w:val="auto"/>
                <w:spacing w:val="-4"/>
                <w:sz w:val="21"/>
              </w:rPr>
              <w:t xml:space="preserve">的法定代表人或者主要负责人、直接负责的主管人员和其他直接责任人员处以其上一年度从本单位取得收入的 </w:t>
            </w:r>
            <w:r>
              <w:rPr>
                <w:color w:val="auto"/>
                <w:sz w:val="21"/>
              </w:rPr>
              <w:t>1</w:t>
            </w:r>
            <w:r>
              <w:rPr>
                <w:color w:val="auto"/>
                <w:spacing w:val="-10"/>
                <w:sz w:val="21"/>
              </w:rPr>
              <w:t xml:space="preserve"> 倍以上 </w:t>
            </w:r>
            <w:r>
              <w:rPr>
                <w:color w:val="auto"/>
                <w:sz w:val="21"/>
              </w:rPr>
              <w:t>2</w:t>
            </w:r>
            <w:r>
              <w:rPr>
                <w:color w:val="auto"/>
                <w:spacing w:val="-9"/>
                <w:sz w:val="21"/>
              </w:rPr>
              <w:t xml:space="preserve"> 倍以下</w:t>
            </w:r>
            <w:r>
              <w:rPr>
                <w:color w:val="auto"/>
                <w:sz w:val="21"/>
              </w:rPr>
              <w:t>罚款，5</w:t>
            </w:r>
            <w:r>
              <w:rPr>
                <w:color w:val="auto"/>
                <w:spacing w:val="-9"/>
                <w:sz w:val="21"/>
              </w:rPr>
              <w:t xml:space="preserve"> 年内禁止其从事化妆品生产经营活动。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50"/>
              <w:ind w:left="170"/>
              <w:rPr>
                <w:b/>
                <w:color w:val="auto"/>
                <w:sz w:val="21"/>
              </w:rPr>
            </w:pPr>
            <w:r>
              <w:rPr>
                <w:b/>
                <w:color w:val="auto"/>
                <w:sz w:val="21"/>
              </w:rPr>
              <w:t>裁量等级</w:t>
            </w:r>
          </w:p>
        </w:tc>
        <w:tc>
          <w:tcPr>
            <w:tcW w:w="2716" w:type="dxa"/>
            <w:vAlign w:val="top"/>
          </w:tcPr>
          <w:p>
            <w:pPr>
              <w:pStyle w:val="8"/>
              <w:spacing w:before="150"/>
              <w:ind w:left="107"/>
              <w:rPr>
                <w:b/>
                <w:color w:val="auto"/>
                <w:sz w:val="21"/>
              </w:rPr>
            </w:pPr>
            <w:r>
              <w:rPr>
                <w:b/>
                <w:color w:val="auto"/>
                <w:sz w:val="21"/>
              </w:rPr>
              <w:t>减轻</w:t>
            </w:r>
          </w:p>
        </w:tc>
        <w:tc>
          <w:tcPr>
            <w:tcW w:w="2715" w:type="dxa"/>
            <w:vAlign w:val="top"/>
          </w:tcPr>
          <w:p>
            <w:pPr>
              <w:pStyle w:val="8"/>
              <w:spacing w:before="150"/>
              <w:ind w:left="106"/>
              <w:rPr>
                <w:b/>
                <w:color w:val="auto"/>
                <w:sz w:val="21"/>
              </w:rPr>
            </w:pPr>
            <w:r>
              <w:rPr>
                <w:b/>
                <w:color w:val="auto"/>
                <w:sz w:val="21"/>
              </w:rPr>
              <w:t>从轻</w:t>
            </w:r>
          </w:p>
        </w:tc>
        <w:tc>
          <w:tcPr>
            <w:tcW w:w="2718" w:type="dxa"/>
            <w:vAlign w:val="top"/>
          </w:tcPr>
          <w:p>
            <w:pPr>
              <w:pStyle w:val="8"/>
              <w:spacing w:before="150"/>
              <w:ind w:left="105"/>
              <w:rPr>
                <w:b/>
                <w:color w:val="auto"/>
                <w:sz w:val="21"/>
              </w:rPr>
            </w:pPr>
            <w:r>
              <w:rPr>
                <w:b/>
                <w:color w:val="auto"/>
                <w:sz w:val="21"/>
              </w:rPr>
              <w:t>一般</w:t>
            </w:r>
          </w:p>
        </w:tc>
        <w:tc>
          <w:tcPr>
            <w:tcW w:w="3901" w:type="dxa"/>
            <w:vAlign w:val="top"/>
          </w:tcPr>
          <w:p>
            <w:pPr>
              <w:pStyle w:val="8"/>
              <w:spacing w:before="150"/>
              <w:ind w:left="102"/>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6" w:type="dxa"/>
            <w:vAlign w:val="top"/>
          </w:tcPr>
          <w:p>
            <w:pPr>
              <w:pStyle w:val="8"/>
              <w:spacing w:before="97" w:line="242" w:lineRule="auto"/>
              <w:ind w:left="107" w:right="99"/>
              <w:rPr>
                <w:color w:val="auto"/>
                <w:sz w:val="21"/>
              </w:rPr>
            </w:pPr>
            <w:r>
              <w:rPr>
                <w:color w:val="auto"/>
                <w:sz w:val="21"/>
              </w:rPr>
              <w:t>符合裁量规定减轻行政处罚情形的。</w:t>
            </w:r>
          </w:p>
        </w:tc>
        <w:tc>
          <w:tcPr>
            <w:tcW w:w="2715" w:type="dxa"/>
            <w:vAlign w:val="top"/>
          </w:tcPr>
          <w:p>
            <w:pPr>
              <w:pStyle w:val="8"/>
              <w:spacing w:before="97" w:line="242" w:lineRule="auto"/>
              <w:ind w:left="106" w:right="97"/>
              <w:rPr>
                <w:color w:val="auto"/>
                <w:sz w:val="21"/>
              </w:rPr>
            </w:pPr>
            <w:r>
              <w:rPr>
                <w:color w:val="auto"/>
                <w:sz w:val="21"/>
              </w:rPr>
              <w:t>符合裁量规定从轻行政处罚情形的。</w:t>
            </w:r>
          </w:p>
        </w:tc>
        <w:tc>
          <w:tcPr>
            <w:tcW w:w="2718" w:type="dxa"/>
            <w:vAlign w:val="top"/>
          </w:tcPr>
          <w:p>
            <w:pPr>
              <w:pStyle w:val="8"/>
              <w:spacing w:before="97" w:line="242" w:lineRule="auto"/>
              <w:ind w:left="105" w:right="101"/>
              <w:rPr>
                <w:color w:val="auto"/>
                <w:sz w:val="21"/>
              </w:rPr>
            </w:pPr>
            <w:r>
              <w:rPr>
                <w:color w:val="auto"/>
                <w:sz w:val="21"/>
              </w:rPr>
              <w:t>符合裁量规定一般行政处罚情形的。</w:t>
            </w:r>
          </w:p>
        </w:tc>
        <w:tc>
          <w:tcPr>
            <w:tcW w:w="3901" w:type="dxa"/>
            <w:vAlign w:val="top"/>
          </w:tcPr>
          <w:p>
            <w:pPr>
              <w:pStyle w:val="8"/>
              <w:spacing w:before="3"/>
              <w:rPr>
                <w:rFonts w:ascii="Times New Roman"/>
                <w:color w:val="auto"/>
                <w:sz w:val="20"/>
              </w:rPr>
            </w:pPr>
          </w:p>
          <w:p>
            <w:pPr>
              <w:pStyle w:val="8"/>
              <w:spacing w:before="1"/>
              <w:ind w:left="102"/>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593"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1"/>
              <w:rPr>
                <w:rFonts w:ascii="Times New Roman"/>
                <w:color w:val="auto"/>
                <w:sz w:val="15"/>
              </w:rPr>
            </w:pPr>
          </w:p>
          <w:p>
            <w:pPr>
              <w:pStyle w:val="8"/>
              <w:spacing w:line="242" w:lineRule="auto"/>
              <w:ind w:left="189" w:right="180"/>
              <w:jc w:val="both"/>
              <w:rPr>
                <w:b/>
                <w:color w:val="auto"/>
                <w:sz w:val="21"/>
              </w:rPr>
            </w:pPr>
            <w:r>
              <w:rPr>
                <w:b/>
                <w:color w:val="auto"/>
                <w:sz w:val="21"/>
              </w:rPr>
              <w:t>裁量基准</w:t>
            </w:r>
          </w:p>
        </w:tc>
        <w:tc>
          <w:tcPr>
            <w:tcW w:w="591" w:type="dxa"/>
            <w:vAlign w:val="top"/>
          </w:tcPr>
          <w:p>
            <w:pPr>
              <w:pStyle w:val="8"/>
              <w:rPr>
                <w:rFonts w:ascii="Times New Roman"/>
                <w:color w:val="auto"/>
                <w:sz w:val="20"/>
              </w:rPr>
            </w:pPr>
          </w:p>
          <w:p>
            <w:pPr>
              <w:pStyle w:val="8"/>
              <w:spacing w:before="162" w:line="242" w:lineRule="auto"/>
              <w:ind w:left="186" w:right="182"/>
              <w:jc w:val="both"/>
              <w:rPr>
                <w:b/>
                <w:color w:val="auto"/>
                <w:sz w:val="21"/>
              </w:rPr>
            </w:pPr>
            <w:r>
              <w:rPr>
                <w:b/>
                <w:color w:val="auto"/>
                <w:sz w:val="21"/>
              </w:rPr>
              <w:t>一般情形</w:t>
            </w:r>
          </w:p>
        </w:tc>
        <w:tc>
          <w:tcPr>
            <w:tcW w:w="2716" w:type="dxa"/>
            <w:vAlign w:val="top"/>
          </w:tcPr>
          <w:p>
            <w:pPr>
              <w:pStyle w:val="8"/>
              <w:rPr>
                <w:rFonts w:ascii="Times New Roman"/>
                <w:color w:val="auto"/>
                <w:sz w:val="20"/>
              </w:rPr>
            </w:pPr>
          </w:p>
        </w:tc>
        <w:tc>
          <w:tcPr>
            <w:tcW w:w="2715" w:type="dxa"/>
            <w:vAlign w:val="top"/>
          </w:tcPr>
          <w:p>
            <w:pPr>
              <w:pStyle w:val="8"/>
              <w:spacing w:before="2"/>
              <w:rPr>
                <w:rFonts w:ascii="Times New Roman"/>
                <w:color w:val="auto"/>
                <w:sz w:val="22"/>
              </w:rPr>
            </w:pPr>
          </w:p>
          <w:p>
            <w:pPr>
              <w:pStyle w:val="8"/>
              <w:ind w:left="106"/>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6"/>
              <w:rPr>
                <w:color w:val="auto"/>
                <w:sz w:val="21"/>
              </w:rPr>
            </w:pPr>
            <w:r>
              <w:rPr>
                <w:color w:val="auto"/>
                <w:spacing w:val="-28"/>
                <w:sz w:val="21"/>
              </w:rPr>
              <w:t xml:space="preserve">处 </w:t>
            </w:r>
            <w:r>
              <w:rPr>
                <w:color w:val="auto"/>
                <w:sz w:val="21"/>
              </w:rPr>
              <w:t>1</w:t>
            </w:r>
            <w:r>
              <w:rPr>
                <w:color w:val="auto"/>
                <w:spacing w:val="-21"/>
                <w:sz w:val="21"/>
              </w:rPr>
              <w:t xml:space="preserve"> 万元以上 </w:t>
            </w:r>
            <w:r>
              <w:rPr>
                <w:color w:val="auto"/>
                <w:sz w:val="21"/>
              </w:rPr>
              <w:t>1.6</w:t>
            </w:r>
            <w:r>
              <w:rPr>
                <w:color w:val="auto"/>
                <w:spacing w:val="-13"/>
                <w:sz w:val="21"/>
              </w:rPr>
              <w:t xml:space="preserve"> 万元以下</w:t>
            </w:r>
          </w:p>
          <w:p>
            <w:pPr>
              <w:pStyle w:val="8"/>
              <w:spacing w:before="2"/>
              <w:ind w:left="106"/>
              <w:rPr>
                <w:color w:val="auto"/>
                <w:sz w:val="21"/>
              </w:rPr>
            </w:pPr>
            <w:r>
              <w:rPr>
                <w:color w:val="auto"/>
                <w:spacing w:val="-12"/>
                <w:sz w:val="21"/>
              </w:rPr>
              <w:t xml:space="preserve">罚款；货值金额 </w:t>
            </w:r>
            <w:r>
              <w:rPr>
                <w:color w:val="auto"/>
                <w:sz w:val="21"/>
              </w:rPr>
              <w:t>1</w:t>
            </w:r>
            <w:r>
              <w:rPr>
                <w:color w:val="auto"/>
                <w:spacing w:val="-12"/>
                <w:sz w:val="21"/>
              </w:rPr>
              <w:t xml:space="preserve"> 万元以上</w:t>
            </w:r>
          </w:p>
          <w:p>
            <w:pPr>
              <w:pStyle w:val="8"/>
              <w:spacing w:before="5"/>
              <w:ind w:left="106"/>
              <w:rPr>
                <w:color w:val="auto"/>
                <w:sz w:val="21"/>
              </w:rPr>
            </w:pPr>
            <w:r>
              <w:rPr>
                <w:color w:val="auto"/>
                <w:spacing w:val="-11"/>
                <w:sz w:val="21"/>
              </w:rPr>
              <w:t xml:space="preserve">的，并处货值金额 </w:t>
            </w:r>
            <w:r>
              <w:rPr>
                <w:color w:val="auto"/>
                <w:sz w:val="21"/>
              </w:rPr>
              <w:t>3</w:t>
            </w:r>
            <w:r>
              <w:rPr>
                <w:color w:val="auto"/>
                <w:spacing w:val="-14"/>
                <w:sz w:val="21"/>
              </w:rPr>
              <w:t xml:space="preserve"> 倍以上</w:t>
            </w:r>
          </w:p>
          <w:p>
            <w:pPr>
              <w:pStyle w:val="8"/>
              <w:spacing w:before="2"/>
              <w:ind w:left="106"/>
              <w:rPr>
                <w:color w:val="auto"/>
                <w:sz w:val="21"/>
              </w:rPr>
            </w:pPr>
            <w:r>
              <w:rPr>
                <w:color w:val="auto"/>
                <w:sz w:val="21"/>
              </w:rPr>
              <w:t>5.1 倍以下罚款。</w:t>
            </w:r>
          </w:p>
        </w:tc>
        <w:tc>
          <w:tcPr>
            <w:tcW w:w="2718" w:type="dxa"/>
            <w:vAlign w:val="top"/>
          </w:tcPr>
          <w:p>
            <w:pPr>
              <w:pStyle w:val="8"/>
              <w:spacing w:before="2"/>
              <w:rPr>
                <w:rFonts w:ascii="Times New Roman"/>
                <w:color w:val="auto"/>
                <w:sz w:val="22"/>
              </w:rPr>
            </w:pPr>
          </w:p>
          <w:p>
            <w:pPr>
              <w:pStyle w:val="8"/>
              <w:ind w:left="105"/>
              <w:rPr>
                <w:color w:val="auto"/>
                <w:sz w:val="21"/>
              </w:rPr>
            </w:pPr>
            <w:r>
              <w:rPr>
                <w:color w:val="auto"/>
                <w:spacing w:val="-9"/>
                <w:sz w:val="21"/>
              </w:rPr>
              <w:t xml:space="preserve">货值金额不足 </w:t>
            </w:r>
            <w:r>
              <w:rPr>
                <w:color w:val="auto"/>
                <w:sz w:val="21"/>
              </w:rPr>
              <w:t>1</w:t>
            </w:r>
            <w:r>
              <w:rPr>
                <w:color w:val="auto"/>
                <w:spacing w:val="-15"/>
                <w:sz w:val="21"/>
              </w:rPr>
              <w:t xml:space="preserve"> 万元的，并</w:t>
            </w:r>
          </w:p>
          <w:p>
            <w:pPr>
              <w:pStyle w:val="8"/>
              <w:spacing w:before="5"/>
              <w:ind w:left="105"/>
              <w:rPr>
                <w:color w:val="auto"/>
                <w:sz w:val="21"/>
              </w:rPr>
            </w:pPr>
            <w:r>
              <w:rPr>
                <w:color w:val="auto"/>
                <w:spacing w:val="-28"/>
                <w:sz w:val="21"/>
              </w:rPr>
              <w:t xml:space="preserve">处 </w:t>
            </w:r>
            <w:r>
              <w:rPr>
                <w:color w:val="auto"/>
                <w:sz w:val="21"/>
              </w:rPr>
              <w:t>1.6</w:t>
            </w:r>
            <w:r>
              <w:rPr>
                <w:color w:val="auto"/>
                <w:spacing w:val="-20"/>
                <w:sz w:val="21"/>
              </w:rPr>
              <w:t xml:space="preserve"> 万元以上 </w:t>
            </w:r>
            <w:r>
              <w:rPr>
                <w:color w:val="auto"/>
                <w:sz w:val="21"/>
              </w:rPr>
              <w:t>2.4</w:t>
            </w:r>
            <w:r>
              <w:rPr>
                <w:color w:val="auto"/>
                <w:spacing w:val="-16"/>
                <w:sz w:val="21"/>
              </w:rPr>
              <w:t xml:space="preserve"> 万元以</w:t>
            </w:r>
          </w:p>
          <w:p>
            <w:pPr>
              <w:pStyle w:val="8"/>
              <w:spacing w:before="2"/>
              <w:ind w:left="105"/>
              <w:rPr>
                <w:color w:val="auto"/>
                <w:sz w:val="21"/>
              </w:rPr>
            </w:pPr>
            <w:r>
              <w:rPr>
                <w:color w:val="auto"/>
                <w:spacing w:val="-11"/>
                <w:sz w:val="21"/>
              </w:rPr>
              <w:t xml:space="preserve">下罚款；货值金额 </w:t>
            </w:r>
            <w:r>
              <w:rPr>
                <w:color w:val="auto"/>
                <w:sz w:val="21"/>
              </w:rPr>
              <w:t>1</w:t>
            </w:r>
            <w:r>
              <w:rPr>
                <w:color w:val="auto"/>
                <w:spacing w:val="-14"/>
                <w:sz w:val="21"/>
              </w:rPr>
              <w:t xml:space="preserve"> 万元以</w:t>
            </w:r>
          </w:p>
          <w:p>
            <w:pPr>
              <w:pStyle w:val="8"/>
              <w:spacing w:before="5"/>
              <w:ind w:left="105"/>
              <w:rPr>
                <w:color w:val="auto"/>
                <w:sz w:val="21"/>
              </w:rPr>
            </w:pPr>
            <w:r>
              <w:rPr>
                <w:color w:val="auto"/>
                <w:spacing w:val="-11"/>
                <w:sz w:val="21"/>
              </w:rPr>
              <w:t xml:space="preserve">上的，并处货值金额 </w:t>
            </w:r>
            <w:r>
              <w:rPr>
                <w:color w:val="auto"/>
                <w:sz w:val="21"/>
              </w:rPr>
              <w:t>5.1</w:t>
            </w:r>
            <w:r>
              <w:rPr>
                <w:color w:val="auto"/>
                <w:spacing w:val="-24"/>
                <w:sz w:val="21"/>
              </w:rPr>
              <w:t xml:space="preserve"> 倍</w:t>
            </w:r>
          </w:p>
          <w:p>
            <w:pPr>
              <w:pStyle w:val="8"/>
              <w:spacing w:before="2"/>
              <w:ind w:left="105"/>
              <w:rPr>
                <w:color w:val="auto"/>
                <w:sz w:val="21"/>
              </w:rPr>
            </w:pPr>
            <w:r>
              <w:rPr>
                <w:color w:val="auto"/>
                <w:sz w:val="21"/>
              </w:rPr>
              <w:t>以上 7.9 倍以下罚款。</w:t>
            </w:r>
          </w:p>
        </w:tc>
        <w:tc>
          <w:tcPr>
            <w:tcW w:w="3901" w:type="dxa"/>
            <w:vAlign w:val="top"/>
          </w:tcPr>
          <w:p>
            <w:pPr>
              <w:pStyle w:val="8"/>
              <w:rPr>
                <w:rFonts w:ascii="Times New Roman"/>
                <w:color w:val="auto"/>
                <w:sz w:val="20"/>
              </w:rPr>
            </w:pPr>
          </w:p>
          <w:p>
            <w:pPr>
              <w:pStyle w:val="8"/>
              <w:spacing w:before="162"/>
              <w:ind w:left="102"/>
              <w:rPr>
                <w:color w:val="auto"/>
                <w:sz w:val="21"/>
              </w:rPr>
            </w:pPr>
            <w:r>
              <w:rPr>
                <w:color w:val="auto"/>
                <w:spacing w:val="-9"/>
                <w:sz w:val="21"/>
              </w:rPr>
              <w:t xml:space="preserve">已货值金额不足 </w:t>
            </w:r>
            <w:r>
              <w:rPr>
                <w:color w:val="auto"/>
                <w:sz w:val="21"/>
              </w:rPr>
              <w:t>1</w:t>
            </w:r>
            <w:r>
              <w:rPr>
                <w:color w:val="auto"/>
                <w:spacing w:val="-27"/>
                <w:sz w:val="21"/>
              </w:rPr>
              <w:t xml:space="preserve"> 万元的，并处 </w:t>
            </w:r>
            <w:r>
              <w:rPr>
                <w:color w:val="auto"/>
                <w:sz w:val="21"/>
              </w:rPr>
              <w:t>2.4</w:t>
            </w:r>
            <w:r>
              <w:rPr>
                <w:color w:val="auto"/>
                <w:spacing w:val="-19"/>
                <w:sz w:val="21"/>
              </w:rPr>
              <w:t xml:space="preserve"> 万元</w:t>
            </w:r>
          </w:p>
          <w:p>
            <w:pPr>
              <w:pStyle w:val="8"/>
              <w:spacing w:before="2"/>
              <w:ind w:left="102"/>
              <w:rPr>
                <w:color w:val="auto"/>
                <w:sz w:val="21"/>
              </w:rPr>
            </w:pPr>
            <w:r>
              <w:rPr>
                <w:color w:val="auto"/>
                <w:spacing w:val="-16"/>
                <w:sz w:val="21"/>
              </w:rPr>
              <w:t xml:space="preserve">以上 </w:t>
            </w:r>
            <w:r>
              <w:rPr>
                <w:color w:val="auto"/>
                <w:sz w:val="21"/>
              </w:rPr>
              <w:t>3</w:t>
            </w:r>
            <w:r>
              <w:rPr>
                <w:color w:val="auto"/>
                <w:spacing w:val="-19"/>
                <w:sz w:val="21"/>
              </w:rPr>
              <w:t xml:space="preserve"> 万元以下罚款；货值金额 </w:t>
            </w:r>
            <w:r>
              <w:rPr>
                <w:color w:val="auto"/>
                <w:sz w:val="21"/>
              </w:rPr>
              <w:t>1</w:t>
            </w:r>
            <w:r>
              <w:rPr>
                <w:color w:val="auto"/>
                <w:spacing w:val="-14"/>
                <w:sz w:val="21"/>
              </w:rPr>
              <w:t xml:space="preserve"> 万元以</w:t>
            </w:r>
          </w:p>
          <w:p>
            <w:pPr>
              <w:pStyle w:val="8"/>
              <w:spacing w:before="5" w:line="242" w:lineRule="auto"/>
              <w:ind w:left="102" w:right="99"/>
              <w:rPr>
                <w:color w:val="auto"/>
                <w:sz w:val="21"/>
              </w:rPr>
            </w:pPr>
            <w:r>
              <w:rPr>
                <w:color w:val="auto"/>
                <w:spacing w:val="-8"/>
                <w:sz w:val="21"/>
              </w:rPr>
              <w:t xml:space="preserve">上的，并处货值金额 </w:t>
            </w:r>
            <w:r>
              <w:rPr>
                <w:color w:val="auto"/>
                <w:sz w:val="21"/>
              </w:rPr>
              <w:t>7.9</w:t>
            </w:r>
            <w:r>
              <w:rPr>
                <w:color w:val="auto"/>
                <w:spacing w:val="-21"/>
                <w:sz w:val="21"/>
              </w:rPr>
              <w:t xml:space="preserve"> 倍以上 </w:t>
            </w:r>
            <w:r>
              <w:rPr>
                <w:color w:val="auto"/>
                <w:sz w:val="21"/>
              </w:rPr>
              <w:t>10</w:t>
            </w:r>
            <w:r>
              <w:rPr>
                <w:color w:val="auto"/>
                <w:spacing w:val="-21"/>
                <w:sz w:val="21"/>
              </w:rPr>
              <w:t xml:space="preserve"> 倍以</w:t>
            </w:r>
            <w:r>
              <w:rPr>
                <w:color w:val="auto"/>
                <w:spacing w:val="-1"/>
                <w:sz w:val="21"/>
              </w:rPr>
              <w:t>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2" w:hRule="atLeast"/>
        </w:trPr>
        <w:tc>
          <w:tcPr>
            <w:tcW w:w="562" w:type="dxa"/>
            <w:vMerge w:val="continue"/>
            <w:tcBorders>
              <w:top w:val="nil"/>
            </w:tcBorders>
            <w:vAlign w:val="top"/>
          </w:tcPr>
          <w:p>
            <w:pPr>
              <w:rPr>
                <w:color w:val="auto"/>
                <w:sz w:val="2"/>
                <w:szCs w:val="2"/>
              </w:rPr>
            </w:pPr>
          </w:p>
        </w:tc>
        <w:tc>
          <w:tcPr>
            <w:tcW w:w="593" w:type="dxa"/>
            <w:vMerge w:val="continue"/>
            <w:tcBorders>
              <w:top w:val="nil"/>
            </w:tcBorders>
            <w:vAlign w:val="top"/>
          </w:tcPr>
          <w:p>
            <w:pPr>
              <w:rPr>
                <w:color w:val="auto"/>
                <w:sz w:val="2"/>
                <w:szCs w:val="2"/>
              </w:rPr>
            </w:pPr>
          </w:p>
        </w:tc>
        <w:tc>
          <w:tcPr>
            <w:tcW w:w="591" w:type="dxa"/>
            <w:vAlign w:val="top"/>
          </w:tcPr>
          <w:p>
            <w:pPr>
              <w:pStyle w:val="8"/>
              <w:spacing w:before="2"/>
              <w:rPr>
                <w:rFonts w:ascii="Times New Roman"/>
                <w:color w:val="auto"/>
                <w:sz w:val="22"/>
              </w:rPr>
            </w:pPr>
          </w:p>
          <w:p>
            <w:pPr>
              <w:pStyle w:val="8"/>
              <w:spacing w:line="242" w:lineRule="auto"/>
              <w:ind w:left="186" w:right="182"/>
              <w:jc w:val="both"/>
              <w:rPr>
                <w:b/>
                <w:color w:val="auto"/>
                <w:sz w:val="21"/>
              </w:rPr>
            </w:pPr>
            <w:r>
              <w:rPr>
                <w:b/>
                <w:color w:val="auto"/>
                <w:sz w:val="21"/>
              </w:rPr>
              <w:t>情节严重的</w:t>
            </w:r>
          </w:p>
        </w:tc>
        <w:tc>
          <w:tcPr>
            <w:tcW w:w="2716" w:type="dxa"/>
            <w:vAlign w:val="top"/>
          </w:tcPr>
          <w:p>
            <w:pPr>
              <w:pStyle w:val="8"/>
              <w:rPr>
                <w:rFonts w:ascii="Times New Roman"/>
                <w:color w:val="auto"/>
                <w:sz w:val="20"/>
              </w:rPr>
            </w:pPr>
          </w:p>
        </w:tc>
        <w:tc>
          <w:tcPr>
            <w:tcW w:w="2715" w:type="dxa"/>
            <w:vAlign w:val="top"/>
          </w:tcPr>
          <w:p>
            <w:pPr>
              <w:pStyle w:val="8"/>
              <w:spacing w:before="118" w:line="242" w:lineRule="auto"/>
              <w:ind w:left="106" w:right="95"/>
              <w:jc w:val="both"/>
              <w:rPr>
                <w:color w:val="auto"/>
                <w:sz w:val="21"/>
              </w:rPr>
            </w:pPr>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1</w:t>
            </w:r>
            <w:r>
              <w:rPr>
                <w:color w:val="auto"/>
                <w:spacing w:val="-24"/>
                <w:sz w:val="21"/>
              </w:rPr>
              <w:t xml:space="preserve"> 倍以上 </w:t>
            </w:r>
            <w:r>
              <w:rPr>
                <w:color w:val="auto"/>
                <w:sz w:val="21"/>
              </w:rPr>
              <w:t>1.3</w:t>
            </w:r>
            <w:r>
              <w:rPr>
                <w:color w:val="auto"/>
                <w:spacing w:val="-19"/>
                <w:sz w:val="21"/>
              </w:rPr>
              <w:t xml:space="preserve"> 倍以下</w:t>
            </w:r>
            <w:r>
              <w:rPr>
                <w:color w:val="auto"/>
                <w:sz w:val="21"/>
              </w:rPr>
              <w:t>罚款。</w:t>
            </w:r>
          </w:p>
        </w:tc>
        <w:tc>
          <w:tcPr>
            <w:tcW w:w="2718" w:type="dxa"/>
            <w:vAlign w:val="top"/>
          </w:tcPr>
          <w:p>
            <w:pPr>
              <w:pStyle w:val="8"/>
              <w:spacing w:before="118" w:line="242" w:lineRule="auto"/>
              <w:ind w:left="105" w:right="99"/>
              <w:jc w:val="both"/>
              <w:rPr>
                <w:color w:val="auto"/>
                <w:sz w:val="21"/>
              </w:rPr>
            </w:pPr>
            <w:r>
              <w:rPr>
                <w:color w:val="auto"/>
                <w:spacing w:val="13"/>
                <w:sz w:val="21"/>
              </w:rPr>
              <w:t>对法定代表人或者主要负</w:t>
            </w:r>
            <w:r>
              <w:rPr>
                <w:color w:val="auto"/>
                <w:spacing w:val="-7"/>
                <w:sz w:val="21"/>
              </w:rPr>
              <w:t>责人、直接负责的主管人员</w:t>
            </w:r>
            <w:r>
              <w:rPr>
                <w:color w:val="auto"/>
                <w:spacing w:val="13"/>
                <w:sz w:val="21"/>
              </w:rPr>
              <w:t>和其他直接责任人员处以其上一年度从本单位取得</w:t>
            </w:r>
            <w:r>
              <w:rPr>
                <w:color w:val="auto"/>
                <w:spacing w:val="-16"/>
                <w:sz w:val="21"/>
              </w:rPr>
              <w:t xml:space="preserve">收入的 </w:t>
            </w:r>
            <w:r>
              <w:rPr>
                <w:color w:val="auto"/>
                <w:sz w:val="21"/>
              </w:rPr>
              <w:t>1.3</w:t>
            </w:r>
            <w:r>
              <w:rPr>
                <w:color w:val="auto"/>
                <w:spacing w:val="-24"/>
                <w:sz w:val="21"/>
              </w:rPr>
              <w:t xml:space="preserve"> 倍以上 </w:t>
            </w:r>
            <w:r>
              <w:rPr>
                <w:color w:val="auto"/>
                <w:sz w:val="21"/>
              </w:rPr>
              <w:t>1.7</w:t>
            </w:r>
            <w:r>
              <w:rPr>
                <w:color w:val="auto"/>
                <w:spacing w:val="-21"/>
                <w:sz w:val="21"/>
              </w:rPr>
              <w:t xml:space="preserve"> 倍以</w:t>
            </w:r>
            <w:r>
              <w:rPr>
                <w:color w:val="auto"/>
                <w:sz w:val="21"/>
              </w:rPr>
              <w:t>下罚款。</w:t>
            </w:r>
          </w:p>
        </w:tc>
        <w:tc>
          <w:tcPr>
            <w:tcW w:w="3901" w:type="dxa"/>
            <w:vAlign w:val="top"/>
          </w:tcPr>
          <w:p>
            <w:pPr>
              <w:pStyle w:val="8"/>
              <w:rPr>
                <w:rFonts w:ascii="Times New Roman"/>
                <w:color w:val="auto"/>
                <w:sz w:val="20"/>
              </w:rPr>
            </w:pPr>
          </w:p>
          <w:p>
            <w:pPr>
              <w:pStyle w:val="8"/>
              <w:spacing w:before="162" w:line="242" w:lineRule="auto"/>
              <w:ind w:left="102" w:right="97"/>
              <w:jc w:val="both"/>
              <w:rPr>
                <w:color w:val="auto"/>
                <w:sz w:val="21"/>
              </w:rPr>
            </w:pPr>
            <w:r>
              <w:rPr>
                <w:color w:val="auto"/>
                <w:spacing w:val="-11"/>
                <w:sz w:val="21"/>
              </w:rPr>
              <w:t>对法定代表人或者主要负责人、直接负责</w:t>
            </w:r>
            <w:r>
              <w:rPr>
                <w:color w:val="auto"/>
                <w:spacing w:val="3"/>
                <w:sz w:val="21"/>
              </w:rPr>
              <w:t>的主管人员和其他直接责任人员处以其</w:t>
            </w:r>
            <w:r>
              <w:rPr>
                <w:color w:val="auto"/>
                <w:spacing w:val="-2"/>
                <w:sz w:val="21"/>
              </w:rPr>
              <w:t xml:space="preserve">上一年度从本单位取得收入的 </w:t>
            </w:r>
            <w:r>
              <w:rPr>
                <w:color w:val="auto"/>
                <w:sz w:val="21"/>
              </w:rPr>
              <w:t>1.7</w:t>
            </w:r>
            <w:r>
              <w:rPr>
                <w:color w:val="auto"/>
                <w:spacing w:val="-2"/>
                <w:sz w:val="21"/>
              </w:rPr>
              <w:t xml:space="preserve"> 倍以</w:t>
            </w:r>
          </w:p>
          <w:p>
            <w:pPr>
              <w:pStyle w:val="8"/>
              <w:spacing w:before="1"/>
              <w:ind w:left="102"/>
              <w:jc w:val="both"/>
              <w:rPr>
                <w:color w:val="auto"/>
                <w:sz w:val="21"/>
              </w:rPr>
            </w:pPr>
            <w:r>
              <w:rPr>
                <w:color w:val="auto"/>
                <w:sz w:val="21"/>
              </w:rPr>
              <w:t>上 2 倍以下罚款。</w:t>
            </w:r>
          </w:p>
        </w:tc>
      </w:tr>
    </w:tbl>
    <w:p>
      <w:pPr>
        <w:spacing w:after="0"/>
        <w:jc w:val="both"/>
        <w:rPr>
          <w:color w:val="auto"/>
          <w:sz w:val="21"/>
        </w:rPr>
        <w:sectPr>
          <w:pgSz w:w="16840" w:h="11910" w:orient="landscape"/>
          <w:pgMar w:top="1100" w:right="1400" w:bottom="1760" w:left="1400" w:header="0" w:footer="1572" w:gutter="0"/>
          <w:pgNumType w:fmt="numberInDash"/>
          <w:cols w:space="720" w:num="1"/>
        </w:sectPr>
      </w:pPr>
    </w:p>
    <w:tbl>
      <w:tblPr>
        <w:tblStyle w:val="7"/>
        <w:tblW w:w="13791"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7"/>
        <w:gridCol w:w="516"/>
        <w:gridCol w:w="2715"/>
        <w:gridCol w:w="2714"/>
        <w:gridCol w:w="2717"/>
        <w:gridCol w:w="3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8"/>
              </w:rPr>
            </w:pPr>
          </w:p>
          <w:p>
            <w:pPr>
              <w:pStyle w:val="8"/>
              <w:spacing w:before="1"/>
              <w:ind w:left="9"/>
              <w:jc w:val="center"/>
              <w:rPr>
                <w:b/>
                <w:color w:val="auto"/>
                <w:sz w:val="21"/>
              </w:rPr>
            </w:pPr>
            <w:r>
              <w:rPr>
                <w:b/>
                <w:color w:val="auto"/>
                <w:w w:val="99"/>
                <w:sz w:val="21"/>
              </w:rPr>
              <w:t>9</w:t>
            </w:r>
          </w:p>
        </w:tc>
        <w:tc>
          <w:tcPr>
            <w:tcW w:w="1183"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46" w:type="dxa"/>
            <w:gridSpan w:val="4"/>
            <w:vAlign w:val="top"/>
          </w:tcPr>
          <w:p>
            <w:pPr>
              <w:pStyle w:val="8"/>
              <w:spacing w:before="3"/>
              <w:rPr>
                <w:rFonts w:ascii="Times New Roman"/>
                <w:color w:val="auto"/>
                <w:sz w:val="20"/>
              </w:rPr>
            </w:pPr>
          </w:p>
          <w:p>
            <w:pPr>
              <w:pStyle w:val="8"/>
              <w:spacing w:before="1"/>
              <w:ind w:left="580"/>
              <w:rPr>
                <w:color w:val="auto"/>
                <w:sz w:val="21"/>
              </w:rPr>
            </w:pPr>
            <w:r>
              <w:rPr>
                <w:color w:val="auto"/>
                <w:sz w:val="21"/>
              </w:rPr>
              <w:t>化妆品集中交易市场开办者、展销会举办者未依照《化妆品监督管理条例》规定履行审查、检查、制止、报告等管理义务的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92"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spacing w:before="1"/>
              <w:rPr>
                <w:rFonts w:ascii="Times New Roman"/>
                <w:color w:val="auto"/>
                <w:sz w:val="20"/>
              </w:rPr>
            </w:pPr>
          </w:p>
          <w:p>
            <w:pPr>
              <w:pStyle w:val="8"/>
              <w:spacing w:before="1"/>
              <w:ind w:left="170"/>
              <w:rPr>
                <w:b/>
                <w:color w:val="auto"/>
                <w:sz w:val="21"/>
              </w:rPr>
            </w:pPr>
            <w:r>
              <w:rPr>
                <w:b/>
                <w:color w:val="auto"/>
                <w:sz w:val="21"/>
              </w:rPr>
              <w:t>处罚依据</w:t>
            </w:r>
          </w:p>
        </w:tc>
        <w:tc>
          <w:tcPr>
            <w:tcW w:w="12046" w:type="dxa"/>
            <w:gridSpan w:val="4"/>
            <w:vAlign w:val="top"/>
          </w:tcPr>
          <w:p>
            <w:pPr>
              <w:pStyle w:val="8"/>
              <w:spacing w:before="3"/>
              <w:rPr>
                <w:rFonts w:ascii="Times New Roman"/>
                <w:color w:val="auto"/>
                <w:sz w:val="28"/>
              </w:rPr>
            </w:pPr>
          </w:p>
          <w:p>
            <w:pPr>
              <w:pStyle w:val="8"/>
              <w:ind w:left="528"/>
              <w:rPr>
                <w:color w:val="auto"/>
                <w:sz w:val="21"/>
              </w:rPr>
            </w:pPr>
            <w:r>
              <w:rPr>
                <w:color w:val="auto"/>
                <w:spacing w:val="-8"/>
                <w:sz w:val="21"/>
              </w:rPr>
              <w:t xml:space="preserve">根据《化妆品监督管理条例》第六十六条规定，由负责药品监督管理的部门处 </w:t>
            </w:r>
            <w:r>
              <w:rPr>
                <w:color w:val="auto"/>
                <w:sz w:val="21"/>
              </w:rPr>
              <w:t>2</w:t>
            </w:r>
            <w:r>
              <w:rPr>
                <w:color w:val="auto"/>
                <w:spacing w:val="-17"/>
                <w:sz w:val="21"/>
              </w:rPr>
              <w:t xml:space="preserve"> 万元以上 </w:t>
            </w:r>
            <w:r>
              <w:rPr>
                <w:color w:val="auto"/>
                <w:sz w:val="21"/>
              </w:rPr>
              <w:t>10</w:t>
            </w:r>
            <w:r>
              <w:rPr>
                <w:color w:val="auto"/>
                <w:spacing w:val="-9"/>
                <w:sz w:val="21"/>
              </w:rPr>
              <w:t xml:space="preserve"> 万元以下罚款。情节严重的，责</w:t>
            </w:r>
          </w:p>
          <w:p>
            <w:pPr>
              <w:pStyle w:val="8"/>
              <w:spacing w:before="4"/>
              <w:ind w:left="108"/>
              <w:rPr>
                <w:color w:val="auto"/>
                <w:sz w:val="21"/>
              </w:rPr>
            </w:pPr>
            <w:r>
              <w:rPr>
                <w:color w:val="auto"/>
                <w:sz w:val="21"/>
              </w:rPr>
              <w:t>令停业，并处 10 万元以上 50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spacing w:before="147"/>
              <w:ind w:left="170"/>
              <w:rPr>
                <w:b/>
                <w:color w:val="auto"/>
                <w:sz w:val="21"/>
              </w:rPr>
            </w:pPr>
            <w:r>
              <w:rPr>
                <w:b/>
                <w:color w:val="auto"/>
                <w:sz w:val="21"/>
              </w:rPr>
              <w:t>裁量等级</w:t>
            </w:r>
          </w:p>
        </w:tc>
        <w:tc>
          <w:tcPr>
            <w:tcW w:w="2715" w:type="dxa"/>
            <w:vAlign w:val="top"/>
          </w:tcPr>
          <w:p>
            <w:pPr>
              <w:pStyle w:val="8"/>
              <w:spacing w:before="147"/>
              <w:ind w:left="108"/>
              <w:rPr>
                <w:b/>
                <w:color w:val="auto"/>
                <w:sz w:val="21"/>
              </w:rPr>
            </w:pPr>
            <w:r>
              <w:rPr>
                <w:b/>
                <w:color w:val="auto"/>
                <w:sz w:val="21"/>
              </w:rPr>
              <w:t>减轻</w:t>
            </w:r>
          </w:p>
        </w:tc>
        <w:tc>
          <w:tcPr>
            <w:tcW w:w="2714" w:type="dxa"/>
            <w:vAlign w:val="top"/>
          </w:tcPr>
          <w:p>
            <w:pPr>
              <w:pStyle w:val="8"/>
              <w:spacing w:before="147"/>
              <w:ind w:left="108"/>
              <w:rPr>
                <w:b/>
                <w:color w:val="auto"/>
                <w:sz w:val="21"/>
              </w:rPr>
            </w:pPr>
            <w:r>
              <w:rPr>
                <w:b/>
                <w:color w:val="auto"/>
                <w:sz w:val="21"/>
              </w:rPr>
              <w:t>从轻</w:t>
            </w:r>
          </w:p>
        </w:tc>
        <w:tc>
          <w:tcPr>
            <w:tcW w:w="2717" w:type="dxa"/>
            <w:vAlign w:val="top"/>
          </w:tcPr>
          <w:p>
            <w:pPr>
              <w:pStyle w:val="8"/>
              <w:spacing w:before="147"/>
              <w:ind w:left="108"/>
              <w:rPr>
                <w:b/>
                <w:color w:val="auto"/>
                <w:sz w:val="21"/>
              </w:rPr>
            </w:pPr>
            <w:r>
              <w:rPr>
                <w:b/>
                <w:color w:val="auto"/>
                <w:sz w:val="21"/>
              </w:rPr>
              <w:t>一般</w:t>
            </w:r>
          </w:p>
        </w:tc>
        <w:tc>
          <w:tcPr>
            <w:tcW w:w="3900" w:type="dxa"/>
            <w:vAlign w:val="top"/>
          </w:tcPr>
          <w:p>
            <w:pPr>
              <w:pStyle w:val="8"/>
              <w:spacing w:before="147"/>
              <w:ind w:left="106"/>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4" w:hRule="atLeast"/>
        </w:trPr>
        <w:tc>
          <w:tcPr>
            <w:tcW w:w="562" w:type="dxa"/>
            <w:vMerge w:val="continue"/>
            <w:tcBorders>
              <w:top w:val="nil"/>
            </w:tcBorders>
            <w:vAlign w:val="top"/>
          </w:tcPr>
          <w:p>
            <w:pPr>
              <w:rPr>
                <w:color w:val="auto"/>
                <w:sz w:val="2"/>
                <w:szCs w:val="2"/>
              </w:rPr>
            </w:pPr>
          </w:p>
        </w:tc>
        <w:tc>
          <w:tcPr>
            <w:tcW w:w="1183" w:type="dxa"/>
            <w:gridSpan w:val="2"/>
            <w:vAlign w:val="top"/>
          </w:tcPr>
          <w:p>
            <w:pPr>
              <w:pStyle w:val="8"/>
              <w:rPr>
                <w:rFonts w:ascii="Times New Roman"/>
                <w:color w:val="auto"/>
                <w:sz w:val="20"/>
              </w:rPr>
            </w:pPr>
          </w:p>
          <w:p>
            <w:pPr>
              <w:pStyle w:val="8"/>
              <w:spacing w:before="119"/>
              <w:ind w:left="170"/>
              <w:rPr>
                <w:b/>
                <w:color w:val="auto"/>
                <w:sz w:val="21"/>
              </w:rPr>
            </w:pPr>
            <w:r>
              <w:rPr>
                <w:b/>
                <w:color w:val="auto"/>
                <w:sz w:val="21"/>
              </w:rPr>
              <w:t>裁量情节</w:t>
            </w:r>
          </w:p>
        </w:tc>
        <w:tc>
          <w:tcPr>
            <w:tcW w:w="2715" w:type="dxa"/>
            <w:vAlign w:val="top"/>
          </w:tcPr>
          <w:p>
            <w:pPr>
              <w:pStyle w:val="8"/>
              <w:spacing w:before="5"/>
              <w:rPr>
                <w:rFonts w:ascii="Times New Roman"/>
                <w:color w:val="auto"/>
                <w:sz w:val="18"/>
              </w:rPr>
            </w:pPr>
          </w:p>
          <w:p>
            <w:pPr>
              <w:pStyle w:val="8"/>
              <w:spacing w:line="242" w:lineRule="auto"/>
              <w:ind w:left="108" w:right="97"/>
              <w:rPr>
                <w:color w:val="auto"/>
                <w:sz w:val="21"/>
              </w:rPr>
            </w:pPr>
            <w:r>
              <w:rPr>
                <w:color w:val="auto"/>
                <w:sz w:val="21"/>
              </w:rPr>
              <w:t>符合裁量规定减轻行政处罚情形的。</w:t>
            </w:r>
          </w:p>
        </w:tc>
        <w:tc>
          <w:tcPr>
            <w:tcW w:w="2714" w:type="dxa"/>
            <w:vAlign w:val="top"/>
          </w:tcPr>
          <w:p>
            <w:pPr>
              <w:pStyle w:val="8"/>
              <w:spacing w:before="5"/>
              <w:rPr>
                <w:rFonts w:ascii="Times New Roman"/>
                <w:color w:val="auto"/>
                <w:sz w:val="18"/>
              </w:rPr>
            </w:pPr>
          </w:p>
          <w:p>
            <w:pPr>
              <w:pStyle w:val="8"/>
              <w:spacing w:line="242" w:lineRule="auto"/>
              <w:ind w:left="108" w:right="94"/>
              <w:rPr>
                <w:color w:val="auto"/>
                <w:sz w:val="21"/>
              </w:rPr>
            </w:pPr>
            <w:r>
              <w:rPr>
                <w:color w:val="auto"/>
                <w:sz w:val="21"/>
              </w:rPr>
              <w:t>符合裁量规定从轻行政处罚情形的。</w:t>
            </w:r>
          </w:p>
        </w:tc>
        <w:tc>
          <w:tcPr>
            <w:tcW w:w="2717" w:type="dxa"/>
            <w:vAlign w:val="top"/>
          </w:tcPr>
          <w:p>
            <w:pPr>
              <w:pStyle w:val="8"/>
              <w:spacing w:before="5"/>
              <w:rPr>
                <w:rFonts w:ascii="Times New Roman"/>
                <w:color w:val="auto"/>
                <w:sz w:val="18"/>
              </w:rPr>
            </w:pPr>
          </w:p>
          <w:p>
            <w:pPr>
              <w:pStyle w:val="8"/>
              <w:spacing w:line="242" w:lineRule="auto"/>
              <w:ind w:left="108" w:right="97"/>
              <w:rPr>
                <w:color w:val="auto"/>
                <w:sz w:val="21"/>
              </w:rPr>
            </w:pPr>
            <w:r>
              <w:rPr>
                <w:color w:val="auto"/>
                <w:sz w:val="21"/>
              </w:rPr>
              <w:t>符合裁量规定一般行政处罚情形的。</w:t>
            </w:r>
          </w:p>
        </w:tc>
        <w:tc>
          <w:tcPr>
            <w:tcW w:w="3900" w:type="dxa"/>
            <w:vAlign w:val="top"/>
          </w:tcPr>
          <w:p>
            <w:pPr>
              <w:pStyle w:val="8"/>
              <w:rPr>
                <w:rFonts w:ascii="Times New Roman"/>
                <w:color w:val="auto"/>
                <w:sz w:val="20"/>
              </w:rPr>
            </w:pPr>
          </w:p>
          <w:p>
            <w:pPr>
              <w:pStyle w:val="8"/>
              <w:spacing w:before="119"/>
              <w:ind w:left="106"/>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42" w:hRule="atLeast"/>
        </w:trPr>
        <w:tc>
          <w:tcPr>
            <w:tcW w:w="562" w:type="dxa"/>
            <w:vMerge w:val="continue"/>
            <w:tcBorders>
              <w:top w:val="nil"/>
            </w:tcBorders>
            <w:vAlign w:val="top"/>
          </w:tcPr>
          <w:p>
            <w:pPr>
              <w:rPr>
                <w:color w:val="auto"/>
                <w:sz w:val="2"/>
                <w:szCs w:val="2"/>
              </w:rPr>
            </w:pPr>
          </w:p>
        </w:tc>
        <w:tc>
          <w:tcPr>
            <w:tcW w:w="667"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65" w:line="244" w:lineRule="auto"/>
              <w:ind w:left="122" w:right="110"/>
              <w:rPr>
                <w:b/>
                <w:color w:val="auto"/>
                <w:sz w:val="21"/>
              </w:rPr>
            </w:pPr>
            <w:r>
              <w:rPr>
                <w:b/>
                <w:color w:val="auto"/>
                <w:sz w:val="21"/>
              </w:rPr>
              <w:t>裁量基准</w:t>
            </w:r>
          </w:p>
        </w:tc>
        <w:tc>
          <w:tcPr>
            <w:tcW w:w="516" w:type="dxa"/>
            <w:vAlign w:val="top"/>
          </w:tcPr>
          <w:p>
            <w:pPr>
              <w:pStyle w:val="8"/>
              <w:rPr>
                <w:rFonts w:ascii="Times New Roman"/>
                <w:color w:val="auto"/>
                <w:sz w:val="20"/>
              </w:rPr>
            </w:pPr>
          </w:p>
          <w:p>
            <w:pPr>
              <w:pStyle w:val="8"/>
              <w:spacing w:before="7"/>
              <w:rPr>
                <w:rFonts w:ascii="Times New Roman"/>
                <w:color w:val="auto"/>
                <w:sz w:val="21"/>
              </w:rPr>
            </w:pPr>
          </w:p>
          <w:p>
            <w:pPr>
              <w:pStyle w:val="8"/>
              <w:spacing w:line="242" w:lineRule="auto"/>
              <w:ind w:left="151" w:right="141"/>
              <w:jc w:val="both"/>
              <w:rPr>
                <w:b/>
                <w:color w:val="auto"/>
                <w:sz w:val="21"/>
              </w:rPr>
            </w:pPr>
            <w:r>
              <w:rPr>
                <w:b/>
                <w:color w:val="auto"/>
                <w:sz w:val="21"/>
              </w:rPr>
              <w:t>一般情形</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5"/>
              </w:rPr>
            </w:pPr>
          </w:p>
          <w:p>
            <w:pPr>
              <w:pStyle w:val="8"/>
              <w:spacing w:line="242" w:lineRule="auto"/>
              <w:ind w:left="108" w:right="96"/>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5"/>
              </w:rPr>
            </w:pPr>
          </w:p>
          <w:p>
            <w:pPr>
              <w:pStyle w:val="8"/>
              <w:spacing w:line="242" w:lineRule="auto"/>
              <w:ind w:left="108" w:right="93"/>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5"/>
              </w:rPr>
            </w:pPr>
          </w:p>
          <w:p>
            <w:pPr>
              <w:pStyle w:val="8"/>
              <w:spacing w:line="242" w:lineRule="auto"/>
              <w:ind w:left="108" w:right="95"/>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17"/>
              </w:rPr>
            </w:pPr>
          </w:p>
          <w:p>
            <w:pPr>
              <w:pStyle w:val="8"/>
              <w:ind w:left="106"/>
              <w:rPr>
                <w:color w:val="auto"/>
                <w:sz w:val="21"/>
              </w:rPr>
            </w:pPr>
            <w:r>
              <w:rPr>
                <w:color w:val="auto"/>
                <w:sz w:val="21"/>
              </w:rPr>
              <w:t>处 7.6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40" w:hRule="atLeast"/>
        </w:trPr>
        <w:tc>
          <w:tcPr>
            <w:tcW w:w="562" w:type="dxa"/>
            <w:vMerge w:val="continue"/>
            <w:tcBorders>
              <w:top w:val="nil"/>
            </w:tcBorders>
            <w:vAlign w:val="top"/>
          </w:tcPr>
          <w:p>
            <w:pPr>
              <w:rPr>
                <w:color w:val="auto"/>
                <w:sz w:val="2"/>
                <w:szCs w:val="2"/>
              </w:rPr>
            </w:pPr>
          </w:p>
        </w:tc>
        <w:tc>
          <w:tcPr>
            <w:tcW w:w="667" w:type="dxa"/>
            <w:vMerge w:val="continue"/>
            <w:tcBorders>
              <w:top w:val="nil"/>
            </w:tcBorders>
            <w:vAlign w:val="top"/>
          </w:tcPr>
          <w:p>
            <w:pPr>
              <w:rPr>
                <w:color w:val="auto"/>
                <w:sz w:val="2"/>
                <w:szCs w:val="2"/>
              </w:rPr>
            </w:pPr>
          </w:p>
        </w:tc>
        <w:tc>
          <w:tcPr>
            <w:tcW w:w="516" w:type="dxa"/>
            <w:vAlign w:val="top"/>
          </w:tcPr>
          <w:p>
            <w:pPr>
              <w:pStyle w:val="8"/>
              <w:spacing w:before="5"/>
              <w:rPr>
                <w:rFonts w:ascii="Times New Roman"/>
                <w:color w:val="auto"/>
                <w:sz w:val="29"/>
              </w:rPr>
            </w:pPr>
          </w:p>
          <w:p>
            <w:pPr>
              <w:pStyle w:val="8"/>
              <w:spacing w:before="1" w:line="242" w:lineRule="auto"/>
              <w:ind w:left="151" w:right="141"/>
              <w:jc w:val="both"/>
              <w:rPr>
                <w:b/>
                <w:color w:val="auto"/>
                <w:sz w:val="21"/>
              </w:rPr>
            </w:pPr>
            <w:r>
              <w:rPr>
                <w:b/>
                <w:color w:val="auto"/>
                <w:sz w:val="21"/>
              </w:rPr>
              <w:t>情节严重的</w:t>
            </w:r>
          </w:p>
        </w:tc>
        <w:tc>
          <w:tcPr>
            <w:tcW w:w="2715" w:type="dxa"/>
            <w:vAlign w:val="top"/>
          </w:tcPr>
          <w:p>
            <w:pPr>
              <w:pStyle w:val="8"/>
              <w:rPr>
                <w:rFonts w:ascii="Times New Roman"/>
                <w:color w:val="auto"/>
                <w:sz w:val="20"/>
              </w:rPr>
            </w:pPr>
          </w:p>
        </w:tc>
        <w:tc>
          <w:tcPr>
            <w:tcW w:w="2714" w:type="dxa"/>
            <w:vAlign w:val="top"/>
          </w:tcPr>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5"/>
              </w:rPr>
            </w:pPr>
          </w:p>
          <w:p>
            <w:pPr>
              <w:pStyle w:val="8"/>
              <w:spacing w:line="242" w:lineRule="auto"/>
              <w:ind w:left="108" w:right="93"/>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7" w:type="dxa"/>
            <w:vAlign w:val="top"/>
          </w:tcPr>
          <w:p>
            <w:pPr>
              <w:pStyle w:val="8"/>
              <w:rPr>
                <w:rFonts w:ascii="Times New Roman"/>
                <w:color w:val="auto"/>
                <w:sz w:val="20"/>
              </w:rPr>
            </w:pPr>
          </w:p>
          <w:p>
            <w:pPr>
              <w:pStyle w:val="8"/>
              <w:rPr>
                <w:rFonts w:ascii="Times New Roman"/>
                <w:color w:val="auto"/>
                <w:sz w:val="20"/>
              </w:rPr>
            </w:pPr>
          </w:p>
          <w:p>
            <w:pPr>
              <w:pStyle w:val="8"/>
              <w:spacing w:before="2"/>
              <w:rPr>
                <w:rFonts w:ascii="Times New Roman"/>
                <w:color w:val="auto"/>
                <w:sz w:val="25"/>
              </w:rPr>
            </w:pPr>
          </w:p>
          <w:p>
            <w:pPr>
              <w:pStyle w:val="8"/>
              <w:spacing w:line="242" w:lineRule="auto"/>
              <w:ind w:left="108" w:right="95"/>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0"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6"/>
              </w:rPr>
            </w:pPr>
          </w:p>
          <w:p>
            <w:pPr>
              <w:pStyle w:val="8"/>
              <w:ind w:left="106"/>
              <w:rPr>
                <w:color w:val="auto"/>
                <w:sz w:val="21"/>
              </w:rPr>
            </w:pPr>
            <w:r>
              <w:rPr>
                <w:color w:val="auto"/>
                <w:sz w:val="21"/>
              </w:rPr>
              <w:t>处 38 万元以上 50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8"/>
              </w:rPr>
            </w:pPr>
          </w:p>
          <w:p>
            <w:pPr>
              <w:pStyle w:val="8"/>
              <w:spacing w:before="1"/>
              <w:ind w:left="175"/>
              <w:rPr>
                <w:color w:val="auto"/>
                <w:sz w:val="21"/>
              </w:rPr>
            </w:pPr>
            <w:r>
              <w:rPr>
                <w:color w:val="auto"/>
                <w:sz w:val="21"/>
              </w:rPr>
              <w:t>10</w:t>
            </w:r>
          </w:p>
        </w:tc>
        <w:tc>
          <w:tcPr>
            <w:tcW w:w="1184" w:type="dxa"/>
            <w:gridSpan w:val="2"/>
            <w:vAlign w:val="top"/>
          </w:tcPr>
          <w:p>
            <w:pPr>
              <w:pStyle w:val="8"/>
              <w:spacing w:before="149"/>
              <w:ind w:left="170"/>
              <w:rPr>
                <w:b/>
                <w:color w:val="auto"/>
                <w:sz w:val="21"/>
              </w:rPr>
            </w:pPr>
            <w:r>
              <w:rPr>
                <w:b/>
                <w:color w:val="auto"/>
                <w:sz w:val="21"/>
              </w:rPr>
              <w:t>违法行为</w:t>
            </w:r>
          </w:p>
        </w:tc>
        <w:tc>
          <w:tcPr>
            <w:tcW w:w="12050" w:type="dxa"/>
            <w:gridSpan w:val="4"/>
            <w:vAlign w:val="top"/>
          </w:tcPr>
          <w:p>
            <w:pPr>
              <w:pStyle w:val="8"/>
              <w:spacing w:before="149"/>
              <w:ind w:left="579"/>
              <w:rPr>
                <w:color w:val="auto"/>
                <w:sz w:val="21"/>
              </w:rPr>
            </w:pPr>
            <w:r>
              <w:rPr>
                <w:color w:val="auto"/>
                <w:sz w:val="21"/>
              </w:rPr>
              <w:t>电子商务平台经营者未依照本条例规定履行实名登记、制止、报告、停止提供电子商务平台服务等管理义务的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0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6"/>
              <w:rPr>
                <w:rFonts w:ascii="Times New Roman"/>
                <w:color w:val="auto"/>
                <w:sz w:val="21"/>
              </w:rPr>
            </w:pPr>
          </w:p>
          <w:p>
            <w:pPr>
              <w:pStyle w:val="8"/>
              <w:ind w:left="170"/>
              <w:rPr>
                <w:b/>
                <w:color w:val="auto"/>
                <w:sz w:val="21"/>
              </w:rPr>
            </w:pPr>
            <w:r>
              <w:rPr>
                <w:b/>
                <w:color w:val="auto"/>
                <w:sz w:val="21"/>
              </w:rPr>
              <w:t>处罚依据</w:t>
            </w:r>
          </w:p>
        </w:tc>
        <w:tc>
          <w:tcPr>
            <w:tcW w:w="12050" w:type="dxa"/>
            <w:gridSpan w:val="4"/>
            <w:vAlign w:val="top"/>
          </w:tcPr>
          <w:p>
            <w:pPr>
              <w:pStyle w:val="8"/>
              <w:spacing w:before="78" w:line="244" w:lineRule="auto"/>
              <w:ind w:left="107" w:right="104" w:firstLine="420"/>
              <w:rPr>
                <w:color w:val="auto"/>
                <w:sz w:val="21"/>
              </w:rPr>
            </w:pPr>
            <w:r>
              <w:rPr>
                <w:color w:val="auto"/>
                <w:sz w:val="21"/>
              </w:rPr>
              <w:t>根据《化妆品监督管理条例》第六十七条规定，由省、自治区、直辖市人民政府药品监督管理部门依照《中华人民共和国电子商务法》的规定给予处罚。</w:t>
            </w:r>
          </w:p>
          <w:p>
            <w:pPr>
              <w:pStyle w:val="8"/>
              <w:tabs>
                <w:tab w:val="left" w:pos="4540"/>
              </w:tabs>
              <w:spacing w:line="244" w:lineRule="auto"/>
              <w:ind w:left="107" w:right="103" w:firstLine="420"/>
              <w:rPr>
                <w:color w:val="auto"/>
                <w:sz w:val="21"/>
              </w:rPr>
            </w:pPr>
            <w:r>
              <w:rPr>
                <w:color w:val="auto"/>
                <w:sz w:val="21"/>
              </w:rPr>
              <w:t>《中华人民共和国电子商务法》第八十条</w:t>
            </w:r>
            <w:r>
              <w:rPr>
                <w:color w:val="auto"/>
                <w:sz w:val="21"/>
              </w:rPr>
              <w:tab/>
            </w:r>
            <w:r>
              <w:rPr>
                <w:color w:val="auto"/>
                <w:sz w:val="21"/>
              </w:rPr>
              <w:t>电子商务平台经营者有下列行为之一的，由有关主管部门责令限期改正；逾期</w:t>
            </w:r>
            <w:r>
              <w:rPr>
                <w:color w:val="auto"/>
                <w:spacing w:val="-17"/>
                <w:sz w:val="21"/>
              </w:rPr>
              <w:t>不</w:t>
            </w:r>
            <w:r>
              <w:rPr>
                <w:color w:val="auto"/>
                <w:sz w:val="21"/>
              </w:rPr>
              <w:t>改正</w:t>
            </w:r>
            <w:r>
              <w:rPr>
                <w:color w:val="auto"/>
                <w:spacing w:val="-3"/>
                <w:sz w:val="21"/>
              </w:rPr>
              <w:t>的</w:t>
            </w:r>
            <w:r>
              <w:rPr>
                <w:color w:val="auto"/>
                <w:sz w:val="21"/>
              </w:rPr>
              <w:t>，</w:t>
            </w:r>
            <w:r>
              <w:rPr>
                <w:color w:val="auto"/>
                <w:spacing w:val="-3"/>
                <w:sz w:val="21"/>
              </w:rPr>
              <w:t>处</w:t>
            </w:r>
            <w:r>
              <w:rPr>
                <w:color w:val="auto"/>
                <w:sz w:val="21"/>
              </w:rPr>
              <w:t>二</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十</w:t>
            </w:r>
            <w:r>
              <w:rPr>
                <w:color w:val="auto"/>
                <w:sz w:val="21"/>
              </w:rPr>
              <w:t>万元</w:t>
            </w:r>
            <w:r>
              <w:rPr>
                <w:color w:val="auto"/>
                <w:spacing w:val="-3"/>
                <w:sz w:val="21"/>
              </w:rPr>
              <w:t>以</w:t>
            </w:r>
            <w:r>
              <w:rPr>
                <w:color w:val="auto"/>
                <w:sz w:val="21"/>
              </w:rPr>
              <w:t>下</w:t>
            </w:r>
            <w:r>
              <w:rPr>
                <w:color w:val="auto"/>
                <w:spacing w:val="-3"/>
                <w:sz w:val="21"/>
              </w:rPr>
              <w:t>的</w:t>
            </w:r>
            <w:r>
              <w:rPr>
                <w:color w:val="auto"/>
                <w:sz w:val="21"/>
              </w:rPr>
              <w:t>罚</w:t>
            </w:r>
            <w:r>
              <w:rPr>
                <w:color w:val="auto"/>
                <w:spacing w:val="-3"/>
                <w:sz w:val="21"/>
              </w:rPr>
              <w:t>款</w:t>
            </w:r>
            <w:r>
              <w:rPr>
                <w:color w:val="auto"/>
                <w:sz w:val="21"/>
              </w:rPr>
              <w:t>；</w:t>
            </w:r>
            <w:r>
              <w:rPr>
                <w:color w:val="auto"/>
                <w:spacing w:val="-3"/>
                <w:sz w:val="21"/>
              </w:rPr>
              <w:t>情</w:t>
            </w:r>
            <w:r>
              <w:rPr>
                <w:color w:val="auto"/>
                <w:sz w:val="21"/>
              </w:rPr>
              <w:t>节</w:t>
            </w:r>
            <w:r>
              <w:rPr>
                <w:color w:val="auto"/>
                <w:spacing w:val="-3"/>
                <w:sz w:val="21"/>
              </w:rPr>
              <w:t>严</w:t>
            </w:r>
            <w:r>
              <w:rPr>
                <w:color w:val="auto"/>
                <w:sz w:val="21"/>
              </w:rPr>
              <w:t>重的</w:t>
            </w:r>
            <w:r>
              <w:rPr>
                <w:color w:val="auto"/>
                <w:spacing w:val="-3"/>
                <w:sz w:val="21"/>
              </w:rPr>
              <w:t>，</w:t>
            </w:r>
            <w:r>
              <w:rPr>
                <w:color w:val="auto"/>
                <w:sz w:val="21"/>
              </w:rPr>
              <w:t>责</w:t>
            </w:r>
            <w:r>
              <w:rPr>
                <w:color w:val="auto"/>
                <w:spacing w:val="-3"/>
                <w:sz w:val="21"/>
              </w:rPr>
              <w:t>令</w:t>
            </w:r>
            <w:r>
              <w:rPr>
                <w:color w:val="auto"/>
                <w:sz w:val="21"/>
              </w:rPr>
              <w:t>停</w:t>
            </w:r>
            <w:r>
              <w:rPr>
                <w:color w:val="auto"/>
                <w:spacing w:val="-3"/>
                <w:sz w:val="21"/>
              </w:rPr>
              <w:t>业</w:t>
            </w:r>
            <w:r>
              <w:rPr>
                <w:color w:val="auto"/>
                <w:sz w:val="21"/>
              </w:rPr>
              <w:t>整</w:t>
            </w:r>
            <w:r>
              <w:rPr>
                <w:color w:val="auto"/>
                <w:spacing w:val="-3"/>
                <w:sz w:val="21"/>
              </w:rPr>
              <w:t>顿</w:t>
            </w:r>
            <w:r>
              <w:rPr>
                <w:color w:val="auto"/>
                <w:sz w:val="21"/>
              </w:rPr>
              <w:t>，</w:t>
            </w:r>
            <w:r>
              <w:rPr>
                <w:color w:val="auto"/>
                <w:spacing w:val="-3"/>
                <w:sz w:val="21"/>
              </w:rPr>
              <w:t>并</w:t>
            </w:r>
            <w:r>
              <w:rPr>
                <w:color w:val="auto"/>
                <w:sz w:val="21"/>
              </w:rPr>
              <w:t>处十</w:t>
            </w:r>
            <w:r>
              <w:rPr>
                <w:color w:val="auto"/>
                <w:spacing w:val="-3"/>
                <w:sz w:val="21"/>
              </w:rPr>
              <w:t>万</w:t>
            </w:r>
            <w:r>
              <w:rPr>
                <w:color w:val="auto"/>
                <w:sz w:val="21"/>
              </w:rPr>
              <w:t>元</w:t>
            </w:r>
            <w:r>
              <w:rPr>
                <w:color w:val="auto"/>
                <w:spacing w:val="-3"/>
                <w:sz w:val="21"/>
              </w:rPr>
              <w:t>以</w:t>
            </w:r>
            <w:r>
              <w:rPr>
                <w:color w:val="auto"/>
                <w:sz w:val="21"/>
              </w:rPr>
              <w:t>上</w:t>
            </w:r>
            <w:r>
              <w:rPr>
                <w:color w:val="auto"/>
                <w:spacing w:val="-3"/>
                <w:sz w:val="21"/>
              </w:rPr>
              <w:t>五</w:t>
            </w:r>
            <w:r>
              <w:rPr>
                <w:color w:val="auto"/>
                <w:sz w:val="21"/>
              </w:rPr>
              <w:t>十</w:t>
            </w:r>
            <w:r>
              <w:rPr>
                <w:color w:val="auto"/>
                <w:spacing w:val="-3"/>
                <w:sz w:val="21"/>
              </w:rPr>
              <w:t>万</w:t>
            </w:r>
            <w:r>
              <w:rPr>
                <w:color w:val="auto"/>
                <w:sz w:val="21"/>
              </w:rPr>
              <w:t>元</w:t>
            </w:r>
            <w:r>
              <w:rPr>
                <w:color w:val="auto"/>
                <w:spacing w:val="-3"/>
                <w:sz w:val="21"/>
              </w:rPr>
              <w:t>以</w:t>
            </w:r>
            <w:r>
              <w:rPr>
                <w:color w:val="auto"/>
                <w:sz w:val="21"/>
              </w:rPr>
              <w:t>下的</w:t>
            </w:r>
            <w:r>
              <w:rPr>
                <w:color w:val="auto"/>
                <w:spacing w:val="-3"/>
                <w:sz w:val="21"/>
              </w:rPr>
              <w:t>罚</w:t>
            </w:r>
            <w:r>
              <w:rPr>
                <w:color w:val="auto"/>
                <w:sz w:val="21"/>
              </w:rPr>
              <w:t>款：</w:t>
            </w:r>
          </w:p>
          <w:p>
            <w:pPr>
              <w:pStyle w:val="8"/>
              <w:spacing w:line="266" w:lineRule="exact"/>
              <w:ind w:left="527"/>
              <w:rPr>
                <w:color w:val="auto"/>
                <w:sz w:val="21"/>
              </w:rPr>
            </w:pPr>
            <w:r>
              <w:rPr>
                <w:color w:val="auto"/>
                <w:sz w:val="21"/>
              </w:rPr>
              <w:t>（一）不履行本法第二十七条规定的核验、登记义务的；</w:t>
            </w:r>
          </w:p>
          <w:p>
            <w:pPr>
              <w:pStyle w:val="8"/>
              <w:ind w:left="527"/>
              <w:rPr>
                <w:color w:val="auto"/>
                <w:sz w:val="21"/>
              </w:rPr>
            </w:pPr>
            <w:r>
              <w:rPr>
                <w:color w:val="auto"/>
                <w:sz w:val="21"/>
              </w:rPr>
              <w:t>（二）不按照本法第二十八条规定向市场监督管理部门、税务部门报送有关信息的；</w:t>
            </w:r>
          </w:p>
          <w:p>
            <w:pPr>
              <w:pStyle w:val="8"/>
              <w:spacing w:before="2"/>
              <w:ind w:left="527"/>
              <w:rPr>
                <w:color w:val="auto"/>
                <w:sz w:val="21"/>
              </w:rPr>
            </w:pPr>
            <w:r>
              <w:rPr>
                <w:color w:val="auto"/>
                <w:sz w:val="21"/>
              </w:rPr>
              <w:t>（三）不按照本法第二十九条规定对违法情形采取必要的处置措施，或者未向有关主管部门报告的；</w:t>
            </w:r>
          </w:p>
          <w:p>
            <w:pPr>
              <w:pStyle w:val="8"/>
              <w:spacing w:before="5" w:line="242" w:lineRule="auto"/>
              <w:ind w:left="527" w:right="4365"/>
              <w:rPr>
                <w:color w:val="auto"/>
                <w:sz w:val="21"/>
              </w:rPr>
            </w:pPr>
            <w:r>
              <w:rPr>
                <w:color w:val="auto"/>
                <w:sz w:val="21"/>
              </w:rPr>
              <w:t>（四）不履行本法第三十一条规定的商品和服务信息、交易信息保存义务的。法律、行政法规对前款规定的违法行为的处罚另有规定的，依照其规定。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8"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9"/>
              <w:ind w:left="170"/>
              <w:rPr>
                <w:b/>
                <w:color w:val="auto"/>
                <w:sz w:val="21"/>
              </w:rPr>
            </w:pPr>
            <w:r>
              <w:rPr>
                <w:b/>
                <w:color w:val="auto"/>
                <w:sz w:val="21"/>
              </w:rPr>
              <w:t>裁量等级</w:t>
            </w:r>
          </w:p>
        </w:tc>
        <w:tc>
          <w:tcPr>
            <w:tcW w:w="2716" w:type="dxa"/>
            <w:vAlign w:val="top"/>
          </w:tcPr>
          <w:p>
            <w:pPr>
              <w:pStyle w:val="8"/>
              <w:spacing w:before="149"/>
              <w:ind w:left="107"/>
              <w:rPr>
                <w:b/>
                <w:color w:val="auto"/>
                <w:sz w:val="21"/>
              </w:rPr>
            </w:pPr>
            <w:r>
              <w:rPr>
                <w:b/>
                <w:color w:val="auto"/>
                <w:sz w:val="21"/>
              </w:rPr>
              <w:t>减轻</w:t>
            </w:r>
          </w:p>
        </w:tc>
        <w:tc>
          <w:tcPr>
            <w:tcW w:w="2715" w:type="dxa"/>
            <w:vAlign w:val="top"/>
          </w:tcPr>
          <w:p>
            <w:pPr>
              <w:pStyle w:val="8"/>
              <w:spacing w:before="149"/>
              <w:ind w:left="106"/>
              <w:rPr>
                <w:b/>
                <w:color w:val="auto"/>
                <w:sz w:val="21"/>
              </w:rPr>
            </w:pPr>
            <w:r>
              <w:rPr>
                <w:b/>
                <w:color w:val="auto"/>
                <w:sz w:val="21"/>
              </w:rPr>
              <w:t>从轻</w:t>
            </w:r>
          </w:p>
        </w:tc>
        <w:tc>
          <w:tcPr>
            <w:tcW w:w="2718" w:type="dxa"/>
            <w:vAlign w:val="top"/>
          </w:tcPr>
          <w:p>
            <w:pPr>
              <w:pStyle w:val="8"/>
              <w:spacing w:before="149"/>
              <w:ind w:left="105"/>
              <w:rPr>
                <w:b/>
                <w:color w:val="auto"/>
                <w:sz w:val="21"/>
              </w:rPr>
            </w:pPr>
            <w:r>
              <w:rPr>
                <w:b/>
                <w:color w:val="auto"/>
                <w:sz w:val="21"/>
              </w:rPr>
              <w:t>一般</w:t>
            </w:r>
          </w:p>
        </w:tc>
        <w:tc>
          <w:tcPr>
            <w:tcW w:w="3901" w:type="dxa"/>
            <w:vAlign w:val="top"/>
          </w:tcPr>
          <w:p>
            <w:pPr>
              <w:pStyle w:val="8"/>
              <w:spacing w:before="149"/>
              <w:ind w:left="102"/>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裁量情节</w:t>
            </w:r>
          </w:p>
        </w:tc>
        <w:tc>
          <w:tcPr>
            <w:tcW w:w="2716" w:type="dxa"/>
            <w:vAlign w:val="top"/>
          </w:tcPr>
          <w:p>
            <w:pPr>
              <w:pStyle w:val="8"/>
              <w:spacing w:before="97" w:line="244" w:lineRule="auto"/>
              <w:ind w:left="107" w:right="99"/>
              <w:rPr>
                <w:color w:val="auto"/>
                <w:sz w:val="21"/>
              </w:rPr>
            </w:pPr>
            <w:r>
              <w:rPr>
                <w:color w:val="auto"/>
                <w:sz w:val="21"/>
              </w:rPr>
              <w:t>符合裁量规定减轻行政处罚情形的。</w:t>
            </w:r>
          </w:p>
        </w:tc>
        <w:tc>
          <w:tcPr>
            <w:tcW w:w="2715" w:type="dxa"/>
            <w:vAlign w:val="top"/>
          </w:tcPr>
          <w:p>
            <w:pPr>
              <w:pStyle w:val="8"/>
              <w:spacing w:before="97" w:line="244" w:lineRule="auto"/>
              <w:ind w:left="106" w:right="97"/>
              <w:rPr>
                <w:color w:val="auto"/>
                <w:sz w:val="21"/>
              </w:rPr>
            </w:pPr>
            <w:r>
              <w:rPr>
                <w:color w:val="auto"/>
                <w:sz w:val="21"/>
              </w:rPr>
              <w:t>符合裁量规定从轻行政处罚情形的。</w:t>
            </w:r>
          </w:p>
        </w:tc>
        <w:tc>
          <w:tcPr>
            <w:tcW w:w="2718" w:type="dxa"/>
            <w:vAlign w:val="top"/>
          </w:tcPr>
          <w:p>
            <w:pPr>
              <w:pStyle w:val="8"/>
              <w:spacing w:before="97" w:line="244" w:lineRule="auto"/>
              <w:ind w:left="105" w:right="101"/>
              <w:rPr>
                <w:color w:val="auto"/>
                <w:sz w:val="21"/>
              </w:rPr>
            </w:pPr>
            <w:r>
              <w:rPr>
                <w:color w:val="auto"/>
                <w:sz w:val="21"/>
              </w:rPr>
              <w:t>符合裁量规定一般行政处罚情形的。</w:t>
            </w:r>
          </w:p>
        </w:tc>
        <w:tc>
          <w:tcPr>
            <w:tcW w:w="3901" w:type="dxa"/>
            <w:vAlign w:val="top"/>
          </w:tcPr>
          <w:p>
            <w:pPr>
              <w:pStyle w:val="8"/>
              <w:spacing w:before="3"/>
              <w:rPr>
                <w:rFonts w:ascii="Times New Roman"/>
                <w:color w:val="auto"/>
                <w:sz w:val="20"/>
              </w:rPr>
            </w:pPr>
          </w:p>
          <w:p>
            <w:pPr>
              <w:pStyle w:val="8"/>
              <w:spacing w:before="1"/>
              <w:ind w:left="102"/>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31" w:hRule="atLeast"/>
        </w:trPr>
        <w:tc>
          <w:tcPr>
            <w:tcW w:w="562" w:type="dxa"/>
            <w:vMerge w:val="continue"/>
            <w:tcBorders>
              <w:top w:val="nil"/>
            </w:tcBorders>
            <w:vAlign w:val="top"/>
          </w:tcPr>
          <w:p>
            <w:pPr>
              <w:rPr>
                <w:color w:val="auto"/>
                <w:sz w:val="2"/>
                <w:szCs w:val="2"/>
              </w:rPr>
            </w:pPr>
          </w:p>
        </w:tc>
        <w:tc>
          <w:tcPr>
            <w:tcW w:w="593"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3"/>
              <w:rPr>
                <w:rFonts w:ascii="Times New Roman"/>
                <w:color w:val="auto"/>
                <w:sz w:val="26"/>
              </w:rPr>
            </w:pPr>
          </w:p>
          <w:p>
            <w:pPr>
              <w:pStyle w:val="8"/>
              <w:spacing w:line="242" w:lineRule="auto"/>
              <w:ind w:left="189" w:right="180"/>
              <w:jc w:val="both"/>
              <w:rPr>
                <w:b/>
                <w:color w:val="auto"/>
                <w:sz w:val="21"/>
              </w:rPr>
            </w:pPr>
            <w:r>
              <w:rPr>
                <w:b/>
                <w:color w:val="auto"/>
                <w:sz w:val="21"/>
              </w:rPr>
              <w:t>裁量基准</w:t>
            </w:r>
          </w:p>
        </w:tc>
        <w:tc>
          <w:tcPr>
            <w:tcW w:w="591" w:type="dxa"/>
            <w:vAlign w:val="top"/>
          </w:tcPr>
          <w:p>
            <w:pPr>
              <w:pStyle w:val="8"/>
              <w:spacing w:before="3"/>
              <w:rPr>
                <w:rFonts w:ascii="Times New Roman"/>
                <w:color w:val="auto"/>
                <w:sz w:val="19"/>
              </w:rPr>
            </w:pPr>
          </w:p>
          <w:p>
            <w:pPr>
              <w:pStyle w:val="8"/>
              <w:spacing w:line="242" w:lineRule="auto"/>
              <w:ind w:left="186" w:right="182"/>
              <w:jc w:val="both"/>
              <w:rPr>
                <w:b/>
                <w:color w:val="auto"/>
                <w:sz w:val="21"/>
              </w:rPr>
            </w:pPr>
            <w:r>
              <w:rPr>
                <w:b/>
                <w:color w:val="auto"/>
                <w:sz w:val="21"/>
              </w:rPr>
              <w:t>一般情形</w:t>
            </w:r>
          </w:p>
        </w:tc>
        <w:tc>
          <w:tcPr>
            <w:tcW w:w="2716" w:type="dxa"/>
            <w:vAlign w:val="top"/>
          </w:tcPr>
          <w:p>
            <w:pPr>
              <w:pStyle w:val="8"/>
              <w:rPr>
                <w:rFonts w:ascii="Times New Roman"/>
                <w:color w:val="auto"/>
                <w:sz w:val="20"/>
              </w:rPr>
            </w:pPr>
          </w:p>
          <w:p>
            <w:pPr>
              <w:pStyle w:val="8"/>
              <w:spacing w:before="1"/>
              <w:rPr>
                <w:rFonts w:ascii="Times New Roman"/>
                <w:color w:val="auto"/>
                <w:sz w:val="23"/>
              </w:rPr>
            </w:pPr>
          </w:p>
          <w:p>
            <w:pPr>
              <w:pStyle w:val="8"/>
              <w:spacing w:line="242" w:lineRule="auto"/>
              <w:ind w:left="107" w:right="98"/>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5" w:type="dxa"/>
            <w:vAlign w:val="top"/>
          </w:tcPr>
          <w:p>
            <w:pPr>
              <w:pStyle w:val="8"/>
              <w:rPr>
                <w:rFonts w:ascii="Times New Roman"/>
                <w:color w:val="auto"/>
                <w:sz w:val="20"/>
              </w:rPr>
            </w:pPr>
          </w:p>
          <w:p>
            <w:pPr>
              <w:pStyle w:val="8"/>
              <w:spacing w:before="1"/>
              <w:rPr>
                <w:rFonts w:ascii="Times New Roman"/>
                <w:color w:val="auto"/>
                <w:sz w:val="23"/>
              </w:rPr>
            </w:pPr>
          </w:p>
          <w:p>
            <w:pPr>
              <w:pStyle w:val="8"/>
              <w:spacing w:line="242" w:lineRule="auto"/>
              <w:ind w:left="106" w:right="96"/>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8" w:type="dxa"/>
            <w:vAlign w:val="top"/>
          </w:tcPr>
          <w:p>
            <w:pPr>
              <w:pStyle w:val="8"/>
              <w:rPr>
                <w:rFonts w:ascii="Times New Roman"/>
                <w:color w:val="auto"/>
                <w:sz w:val="20"/>
              </w:rPr>
            </w:pPr>
          </w:p>
          <w:p>
            <w:pPr>
              <w:pStyle w:val="8"/>
              <w:spacing w:before="1"/>
              <w:rPr>
                <w:rFonts w:ascii="Times New Roman"/>
                <w:color w:val="auto"/>
                <w:sz w:val="23"/>
              </w:rPr>
            </w:pPr>
          </w:p>
          <w:p>
            <w:pPr>
              <w:pStyle w:val="8"/>
              <w:spacing w:line="242" w:lineRule="auto"/>
              <w:ind w:left="105" w:right="99"/>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1" w:type="dxa"/>
            <w:vAlign w:val="top"/>
          </w:tcPr>
          <w:p>
            <w:pPr>
              <w:pStyle w:val="8"/>
              <w:rPr>
                <w:rFonts w:ascii="Times New Roman"/>
                <w:color w:val="auto"/>
                <w:sz w:val="20"/>
              </w:rPr>
            </w:pPr>
          </w:p>
          <w:p>
            <w:pPr>
              <w:pStyle w:val="8"/>
              <w:rPr>
                <w:rFonts w:ascii="Times New Roman"/>
                <w:color w:val="auto"/>
                <w:sz w:val="20"/>
              </w:rPr>
            </w:pPr>
          </w:p>
          <w:p>
            <w:pPr>
              <w:pStyle w:val="8"/>
              <w:spacing w:before="170"/>
              <w:ind w:left="102"/>
              <w:rPr>
                <w:color w:val="auto"/>
                <w:sz w:val="21"/>
              </w:rPr>
            </w:pPr>
            <w:r>
              <w:rPr>
                <w:color w:val="auto"/>
                <w:sz w:val="21"/>
              </w:rPr>
              <w:t>处 7.6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31" w:hRule="atLeast"/>
        </w:trPr>
        <w:tc>
          <w:tcPr>
            <w:tcW w:w="562" w:type="dxa"/>
            <w:vMerge w:val="continue"/>
            <w:tcBorders>
              <w:top w:val="nil"/>
            </w:tcBorders>
            <w:vAlign w:val="top"/>
          </w:tcPr>
          <w:p>
            <w:pPr>
              <w:rPr>
                <w:color w:val="auto"/>
                <w:sz w:val="2"/>
                <w:szCs w:val="2"/>
              </w:rPr>
            </w:pPr>
          </w:p>
        </w:tc>
        <w:tc>
          <w:tcPr>
            <w:tcW w:w="593" w:type="dxa"/>
            <w:vMerge w:val="continue"/>
            <w:tcBorders>
              <w:top w:val="nil"/>
            </w:tcBorders>
            <w:vAlign w:val="top"/>
          </w:tcPr>
          <w:p>
            <w:pPr>
              <w:rPr>
                <w:color w:val="auto"/>
                <w:sz w:val="2"/>
                <w:szCs w:val="2"/>
              </w:rPr>
            </w:pPr>
          </w:p>
        </w:tc>
        <w:tc>
          <w:tcPr>
            <w:tcW w:w="591" w:type="dxa"/>
            <w:vAlign w:val="top"/>
          </w:tcPr>
          <w:p>
            <w:pPr>
              <w:pStyle w:val="8"/>
              <w:spacing w:before="87" w:line="242" w:lineRule="auto"/>
              <w:ind w:left="186" w:right="182"/>
              <w:jc w:val="both"/>
              <w:rPr>
                <w:b/>
                <w:color w:val="auto"/>
                <w:sz w:val="21"/>
              </w:rPr>
            </w:pPr>
            <w:r>
              <w:rPr>
                <w:b/>
                <w:color w:val="auto"/>
                <w:sz w:val="21"/>
              </w:rPr>
              <w:t>情节严重的</w:t>
            </w:r>
          </w:p>
        </w:tc>
        <w:tc>
          <w:tcPr>
            <w:tcW w:w="2716" w:type="dxa"/>
            <w:vAlign w:val="top"/>
          </w:tcPr>
          <w:p>
            <w:pPr>
              <w:pStyle w:val="8"/>
              <w:rPr>
                <w:rFonts w:ascii="Times New Roman"/>
                <w:color w:val="auto"/>
                <w:sz w:val="20"/>
              </w:rPr>
            </w:pPr>
          </w:p>
        </w:tc>
        <w:tc>
          <w:tcPr>
            <w:tcW w:w="2715" w:type="dxa"/>
            <w:vAlign w:val="top"/>
          </w:tcPr>
          <w:p>
            <w:pPr>
              <w:pStyle w:val="8"/>
              <w:rPr>
                <w:rFonts w:ascii="Times New Roman"/>
                <w:color w:val="auto"/>
                <w:sz w:val="20"/>
              </w:rPr>
            </w:pPr>
          </w:p>
          <w:p>
            <w:pPr>
              <w:pStyle w:val="8"/>
              <w:rPr>
                <w:rFonts w:ascii="Times New Roman"/>
                <w:color w:val="auto"/>
                <w:sz w:val="23"/>
              </w:rPr>
            </w:pPr>
          </w:p>
          <w:p>
            <w:pPr>
              <w:pStyle w:val="8"/>
              <w:spacing w:before="1" w:line="242" w:lineRule="auto"/>
              <w:ind w:left="106" w:right="96"/>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8" w:type="dxa"/>
            <w:vAlign w:val="top"/>
          </w:tcPr>
          <w:p>
            <w:pPr>
              <w:pStyle w:val="8"/>
              <w:rPr>
                <w:rFonts w:ascii="Times New Roman"/>
                <w:color w:val="auto"/>
                <w:sz w:val="20"/>
              </w:rPr>
            </w:pPr>
          </w:p>
          <w:p>
            <w:pPr>
              <w:pStyle w:val="8"/>
              <w:rPr>
                <w:rFonts w:ascii="Times New Roman"/>
                <w:color w:val="auto"/>
                <w:sz w:val="23"/>
              </w:rPr>
            </w:pPr>
          </w:p>
          <w:p>
            <w:pPr>
              <w:pStyle w:val="8"/>
              <w:spacing w:before="1" w:line="242" w:lineRule="auto"/>
              <w:ind w:left="105" w:right="99"/>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1" w:type="dxa"/>
            <w:vAlign w:val="top"/>
          </w:tcPr>
          <w:p>
            <w:pPr>
              <w:pStyle w:val="8"/>
              <w:rPr>
                <w:rFonts w:ascii="Times New Roman"/>
                <w:color w:val="auto"/>
                <w:sz w:val="20"/>
              </w:rPr>
            </w:pPr>
          </w:p>
          <w:p>
            <w:pPr>
              <w:pStyle w:val="8"/>
              <w:rPr>
                <w:rFonts w:ascii="Times New Roman"/>
                <w:color w:val="auto"/>
                <w:sz w:val="20"/>
              </w:rPr>
            </w:pPr>
          </w:p>
          <w:p>
            <w:pPr>
              <w:pStyle w:val="8"/>
              <w:spacing w:before="172"/>
              <w:ind w:left="102"/>
              <w:rPr>
                <w:color w:val="auto"/>
                <w:sz w:val="21"/>
              </w:rPr>
            </w:pPr>
            <w:r>
              <w:rPr>
                <w:color w:val="auto"/>
                <w:sz w:val="21"/>
              </w:rPr>
              <w:t>处 38 万元以上 50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6"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4"/>
              <w:rPr>
                <w:rFonts w:ascii="Times New Roman"/>
                <w:color w:val="auto"/>
                <w:sz w:val="18"/>
              </w:rPr>
            </w:pPr>
          </w:p>
          <w:p>
            <w:pPr>
              <w:pStyle w:val="8"/>
              <w:spacing w:before="1"/>
              <w:ind w:left="175"/>
              <w:rPr>
                <w:b/>
                <w:color w:val="auto"/>
                <w:sz w:val="21"/>
              </w:rPr>
            </w:pPr>
            <w:r>
              <w:rPr>
                <w:b/>
                <w:color w:val="auto"/>
                <w:sz w:val="21"/>
              </w:rPr>
              <w:t>11</w:t>
            </w:r>
          </w:p>
        </w:tc>
        <w:tc>
          <w:tcPr>
            <w:tcW w:w="1184" w:type="dxa"/>
            <w:gridSpan w:val="2"/>
            <w:vAlign w:val="top"/>
          </w:tcPr>
          <w:p>
            <w:pPr>
              <w:pStyle w:val="8"/>
              <w:spacing w:before="3"/>
              <w:rPr>
                <w:rFonts w:ascii="Times New Roman"/>
                <w:color w:val="auto"/>
                <w:sz w:val="20"/>
              </w:rPr>
            </w:pPr>
          </w:p>
          <w:p>
            <w:pPr>
              <w:pStyle w:val="8"/>
              <w:spacing w:before="1"/>
              <w:ind w:left="170"/>
              <w:rPr>
                <w:b/>
                <w:color w:val="auto"/>
                <w:sz w:val="21"/>
              </w:rPr>
            </w:pPr>
            <w:r>
              <w:rPr>
                <w:b/>
                <w:color w:val="auto"/>
                <w:sz w:val="21"/>
              </w:rPr>
              <w:t>违法行为</w:t>
            </w:r>
          </w:p>
        </w:tc>
        <w:tc>
          <w:tcPr>
            <w:tcW w:w="12050" w:type="dxa"/>
            <w:gridSpan w:val="4"/>
            <w:vAlign w:val="top"/>
          </w:tcPr>
          <w:p>
            <w:pPr>
              <w:pStyle w:val="8"/>
              <w:spacing w:before="3"/>
              <w:rPr>
                <w:rFonts w:ascii="Times New Roman"/>
                <w:color w:val="auto"/>
                <w:sz w:val="20"/>
              </w:rPr>
            </w:pPr>
          </w:p>
          <w:p>
            <w:pPr>
              <w:pStyle w:val="8"/>
              <w:spacing w:before="1"/>
              <w:ind w:left="527"/>
              <w:rPr>
                <w:color w:val="auto"/>
                <w:sz w:val="21"/>
              </w:rPr>
            </w:pPr>
            <w:r>
              <w:rPr>
                <w:color w:val="auto"/>
                <w:sz w:val="21"/>
              </w:rPr>
              <w:t>化妆品广告违反本条例规定的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3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33"/>
              <w:ind w:left="170"/>
              <w:rPr>
                <w:b/>
                <w:color w:val="auto"/>
                <w:sz w:val="21"/>
              </w:rPr>
            </w:pPr>
            <w:r>
              <w:rPr>
                <w:b/>
                <w:color w:val="auto"/>
                <w:sz w:val="21"/>
              </w:rPr>
              <w:t>处罚依据</w:t>
            </w:r>
          </w:p>
        </w:tc>
        <w:tc>
          <w:tcPr>
            <w:tcW w:w="12050" w:type="dxa"/>
            <w:gridSpan w:val="4"/>
            <w:vAlign w:val="top"/>
          </w:tcPr>
          <w:p>
            <w:pPr>
              <w:pStyle w:val="8"/>
              <w:spacing w:before="58" w:line="242" w:lineRule="auto"/>
              <w:ind w:left="107" w:right="104" w:firstLine="420"/>
              <w:jc w:val="both"/>
              <w:rPr>
                <w:color w:val="auto"/>
                <w:sz w:val="21"/>
              </w:rPr>
            </w:pPr>
            <w:r>
              <w:rPr>
                <w:color w:val="auto"/>
                <w:sz w:val="21"/>
              </w:rPr>
              <w:t>根据《化妆品监督管理条例》第六十九条规定，化妆品广告违反本条例规定的，依照《中华人民共和国广告法》的规定给予处罚；采用其他方式对化妆品作虚假或者引人误解的宣传的，依照有关法律的规定给予处罚；构成犯罪的，依法追究刑事责任。</w:t>
            </w:r>
          </w:p>
          <w:p>
            <w:pPr>
              <w:pStyle w:val="8"/>
              <w:spacing w:before="2" w:line="242" w:lineRule="auto"/>
              <w:ind w:left="107" w:right="103" w:firstLine="420"/>
              <w:jc w:val="both"/>
              <w:rPr>
                <w:color w:val="auto"/>
                <w:sz w:val="21"/>
              </w:rPr>
            </w:pPr>
            <w:r>
              <w:rPr>
                <w:color w:val="auto"/>
                <w:spacing w:val="-1"/>
                <w:sz w:val="21"/>
              </w:rPr>
              <w:t>《中华人民共和国广告法》第五十八条 有下列行为之一的，由市场监督管理部门责令停止发布广告，责令广告主在相应范围内消除影响，处广告费用一倍以上三倍以下的罚款，广告费用无法计算或者明显偏低的，处十万元以上二十万元以下的罚款； 情节严重的，处广告费用三倍以上五倍以下的罚款，广告费用无法计算或者明显偏低的，处二十万元以上一百万元以下的罚款，</w:t>
            </w:r>
            <w:r>
              <w:rPr>
                <w:color w:val="auto"/>
                <w:spacing w:val="-3"/>
                <w:sz w:val="21"/>
              </w:rPr>
              <w:t>可以吊销营业执照，并由广告审查机关撤销广告审查批准文件、一年内不受理其广告审查申请：</w:t>
            </w:r>
          </w:p>
          <w:p>
            <w:pPr>
              <w:pStyle w:val="8"/>
              <w:spacing w:before="3"/>
              <w:ind w:left="527"/>
              <w:rPr>
                <w:color w:val="auto"/>
                <w:sz w:val="21"/>
              </w:rPr>
            </w:pPr>
            <w:r>
              <w:rPr>
                <w:color w:val="auto"/>
                <w:sz w:val="21"/>
              </w:rPr>
              <w:t>（一）违反本法第十六条规定发布医疗、药品、医疗器械广告的；</w:t>
            </w:r>
          </w:p>
          <w:p>
            <w:pPr>
              <w:pStyle w:val="8"/>
              <w:spacing w:before="2" w:line="244" w:lineRule="auto"/>
              <w:ind w:left="107" w:right="103" w:firstLine="420"/>
              <w:jc w:val="both"/>
              <w:rPr>
                <w:color w:val="auto"/>
                <w:sz w:val="21"/>
              </w:rPr>
            </w:pPr>
            <w:r>
              <w:rPr>
                <w:color w:val="auto"/>
                <w:sz w:val="21"/>
              </w:rPr>
              <w:t>（二）违反本法第十七条规定，在广告中涉及疾病治疗功能，以及使用医疗用语或者易使推销的商品与药品、医疗器械相混淆的用语的；</w:t>
            </w:r>
          </w:p>
          <w:p>
            <w:pPr>
              <w:pStyle w:val="8"/>
              <w:spacing w:line="265" w:lineRule="exact"/>
              <w:ind w:left="527"/>
              <w:rPr>
                <w:color w:val="auto"/>
                <w:sz w:val="21"/>
              </w:rPr>
            </w:pPr>
            <w:r>
              <w:rPr>
                <w:color w:val="auto"/>
                <w:sz w:val="21"/>
              </w:rPr>
              <w:t>（十四）违反本法第四十六条规定，未经审查发布广告的。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7"/>
              <w:ind w:left="170"/>
              <w:rPr>
                <w:b/>
                <w:color w:val="auto"/>
                <w:sz w:val="21"/>
              </w:rPr>
            </w:pPr>
            <w:r>
              <w:rPr>
                <w:b/>
                <w:color w:val="auto"/>
                <w:sz w:val="21"/>
              </w:rPr>
              <w:t>裁量等级</w:t>
            </w:r>
          </w:p>
        </w:tc>
        <w:tc>
          <w:tcPr>
            <w:tcW w:w="2716" w:type="dxa"/>
            <w:vAlign w:val="top"/>
          </w:tcPr>
          <w:p>
            <w:pPr>
              <w:pStyle w:val="8"/>
              <w:spacing w:before="147"/>
              <w:ind w:left="107"/>
              <w:rPr>
                <w:b/>
                <w:color w:val="auto"/>
                <w:sz w:val="21"/>
              </w:rPr>
            </w:pPr>
            <w:r>
              <w:rPr>
                <w:b/>
                <w:color w:val="auto"/>
                <w:sz w:val="21"/>
              </w:rPr>
              <w:t>减轻</w:t>
            </w:r>
          </w:p>
        </w:tc>
        <w:tc>
          <w:tcPr>
            <w:tcW w:w="2715" w:type="dxa"/>
            <w:vAlign w:val="top"/>
          </w:tcPr>
          <w:p>
            <w:pPr>
              <w:pStyle w:val="8"/>
              <w:spacing w:before="147"/>
              <w:ind w:left="106"/>
              <w:rPr>
                <w:b/>
                <w:color w:val="auto"/>
                <w:sz w:val="21"/>
              </w:rPr>
            </w:pPr>
            <w:r>
              <w:rPr>
                <w:b/>
                <w:color w:val="auto"/>
                <w:sz w:val="21"/>
              </w:rPr>
              <w:t>从轻</w:t>
            </w:r>
          </w:p>
        </w:tc>
        <w:tc>
          <w:tcPr>
            <w:tcW w:w="2718" w:type="dxa"/>
            <w:vAlign w:val="top"/>
          </w:tcPr>
          <w:p>
            <w:pPr>
              <w:pStyle w:val="8"/>
              <w:spacing w:before="147"/>
              <w:ind w:left="105"/>
              <w:rPr>
                <w:b/>
                <w:color w:val="auto"/>
                <w:sz w:val="21"/>
              </w:rPr>
            </w:pPr>
            <w:r>
              <w:rPr>
                <w:b/>
                <w:color w:val="auto"/>
                <w:sz w:val="21"/>
              </w:rPr>
              <w:t>一般</w:t>
            </w:r>
          </w:p>
        </w:tc>
        <w:tc>
          <w:tcPr>
            <w:tcW w:w="3901" w:type="dxa"/>
            <w:vAlign w:val="top"/>
          </w:tcPr>
          <w:p>
            <w:pPr>
              <w:pStyle w:val="8"/>
              <w:spacing w:before="147"/>
              <w:ind w:left="102"/>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9"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4"/>
              <w:rPr>
                <w:rFonts w:ascii="Times New Roman"/>
                <w:color w:val="auto"/>
                <w:sz w:val="20"/>
              </w:rPr>
            </w:pPr>
          </w:p>
          <w:p>
            <w:pPr>
              <w:pStyle w:val="8"/>
              <w:ind w:left="170"/>
              <w:rPr>
                <w:b/>
                <w:color w:val="auto"/>
                <w:sz w:val="21"/>
              </w:rPr>
            </w:pPr>
            <w:r>
              <w:rPr>
                <w:b/>
                <w:color w:val="auto"/>
                <w:sz w:val="21"/>
              </w:rPr>
              <w:t>裁量情节</w:t>
            </w:r>
          </w:p>
        </w:tc>
        <w:tc>
          <w:tcPr>
            <w:tcW w:w="2716" w:type="dxa"/>
            <w:vAlign w:val="top"/>
          </w:tcPr>
          <w:p>
            <w:pPr>
              <w:pStyle w:val="8"/>
              <w:spacing w:before="97" w:line="244" w:lineRule="auto"/>
              <w:ind w:left="107" w:right="99"/>
              <w:rPr>
                <w:color w:val="auto"/>
                <w:sz w:val="21"/>
              </w:rPr>
            </w:pPr>
            <w:r>
              <w:rPr>
                <w:color w:val="auto"/>
                <w:sz w:val="21"/>
              </w:rPr>
              <w:t>符合裁量规定减轻行政处罚情形的。</w:t>
            </w:r>
          </w:p>
        </w:tc>
        <w:tc>
          <w:tcPr>
            <w:tcW w:w="2715" w:type="dxa"/>
            <w:vAlign w:val="top"/>
          </w:tcPr>
          <w:p>
            <w:pPr>
              <w:pStyle w:val="8"/>
              <w:spacing w:before="97" w:line="244" w:lineRule="auto"/>
              <w:ind w:left="106" w:right="97"/>
              <w:rPr>
                <w:color w:val="auto"/>
                <w:sz w:val="21"/>
              </w:rPr>
            </w:pPr>
            <w:r>
              <w:rPr>
                <w:color w:val="auto"/>
                <w:sz w:val="21"/>
              </w:rPr>
              <w:t>符合裁量规定从轻行政处罚情形的。</w:t>
            </w:r>
          </w:p>
        </w:tc>
        <w:tc>
          <w:tcPr>
            <w:tcW w:w="2718" w:type="dxa"/>
            <w:vAlign w:val="top"/>
          </w:tcPr>
          <w:p>
            <w:pPr>
              <w:pStyle w:val="8"/>
              <w:spacing w:before="97" w:line="244" w:lineRule="auto"/>
              <w:ind w:left="105" w:right="101"/>
              <w:rPr>
                <w:color w:val="auto"/>
                <w:sz w:val="21"/>
              </w:rPr>
            </w:pPr>
            <w:r>
              <w:rPr>
                <w:color w:val="auto"/>
                <w:sz w:val="21"/>
              </w:rPr>
              <w:t>符合裁量规定一般行政处罚情形的。</w:t>
            </w:r>
          </w:p>
        </w:tc>
        <w:tc>
          <w:tcPr>
            <w:tcW w:w="3901" w:type="dxa"/>
            <w:vAlign w:val="top"/>
          </w:tcPr>
          <w:p>
            <w:pPr>
              <w:pStyle w:val="8"/>
              <w:spacing w:before="4"/>
              <w:rPr>
                <w:rFonts w:ascii="Times New Roman"/>
                <w:color w:val="auto"/>
                <w:sz w:val="20"/>
              </w:rPr>
            </w:pPr>
          </w:p>
          <w:p>
            <w:pPr>
              <w:pStyle w:val="8"/>
              <w:ind w:left="102"/>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02" w:hRule="atLeast"/>
        </w:trPr>
        <w:tc>
          <w:tcPr>
            <w:tcW w:w="562" w:type="dxa"/>
            <w:vMerge w:val="continue"/>
            <w:tcBorders>
              <w:top w:val="nil"/>
            </w:tcBorders>
            <w:vAlign w:val="top"/>
          </w:tcPr>
          <w:p>
            <w:pPr>
              <w:rPr>
                <w:color w:val="auto"/>
                <w:sz w:val="2"/>
                <w:szCs w:val="2"/>
              </w:rPr>
            </w:pPr>
          </w:p>
        </w:tc>
        <w:tc>
          <w:tcPr>
            <w:tcW w:w="593" w:type="dxa"/>
            <w:vMerge w:val="restart"/>
            <w:vAlign w:val="top"/>
          </w:tcPr>
          <w:p>
            <w:pPr>
              <w:pStyle w:val="8"/>
              <w:rPr>
                <w:rFonts w:ascii="Times New Roman"/>
                <w:color w:val="auto"/>
                <w:sz w:val="20"/>
              </w:rPr>
            </w:pPr>
          </w:p>
          <w:p>
            <w:pPr>
              <w:pStyle w:val="8"/>
              <w:rPr>
                <w:rFonts w:ascii="Times New Roman"/>
                <w:color w:val="auto"/>
                <w:sz w:val="20"/>
              </w:rPr>
            </w:pPr>
          </w:p>
          <w:p>
            <w:pPr>
              <w:pStyle w:val="8"/>
              <w:spacing w:before="11"/>
              <w:rPr>
                <w:rFonts w:ascii="Times New Roman"/>
                <w:color w:val="auto"/>
                <w:sz w:val="28"/>
              </w:rPr>
            </w:pPr>
          </w:p>
          <w:p>
            <w:pPr>
              <w:pStyle w:val="8"/>
              <w:spacing w:line="242" w:lineRule="auto"/>
              <w:ind w:left="189" w:right="180"/>
              <w:jc w:val="both"/>
              <w:rPr>
                <w:b/>
                <w:color w:val="auto"/>
                <w:sz w:val="21"/>
              </w:rPr>
            </w:pPr>
            <w:r>
              <w:rPr>
                <w:b/>
                <w:color w:val="auto"/>
                <w:sz w:val="21"/>
              </w:rPr>
              <w:t>裁量基准</w:t>
            </w:r>
          </w:p>
        </w:tc>
        <w:tc>
          <w:tcPr>
            <w:tcW w:w="591" w:type="dxa"/>
            <w:vAlign w:val="top"/>
          </w:tcPr>
          <w:p>
            <w:pPr>
              <w:pStyle w:val="8"/>
              <w:spacing w:before="106" w:line="242" w:lineRule="auto"/>
              <w:ind w:left="186" w:right="182"/>
              <w:jc w:val="both"/>
              <w:rPr>
                <w:b/>
                <w:color w:val="auto"/>
                <w:sz w:val="21"/>
              </w:rPr>
            </w:pPr>
            <w:r>
              <w:rPr>
                <w:b/>
                <w:color w:val="auto"/>
                <w:sz w:val="21"/>
              </w:rPr>
              <w:t>一般情形</w:t>
            </w:r>
          </w:p>
        </w:tc>
        <w:tc>
          <w:tcPr>
            <w:tcW w:w="2716" w:type="dxa"/>
            <w:vAlign w:val="top"/>
          </w:tcPr>
          <w:p>
            <w:r>
              <w:rPr>
                <w:color w:val="auto"/>
                <w:spacing w:val="-11"/>
                <w:sz w:val="21"/>
              </w:rPr>
              <w:t xml:space="preserve">处广告费用 </w:t>
            </w:r>
            <w:r>
              <w:rPr>
                <w:color w:val="auto"/>
                <w:sz w:val="21"/>
              </w:rPr>
              <w:t>0.1</w:t>
            </w:r>
            <w:r>
              <w:rPr>
                <w:color w:val="auto"/>
                <w:spacing w:val="-25"/>
                <w:sz w:val="21"/>
              </w:rPr>
              <w:t xml:space="preserve"> 倍以上 </w:t>
            </w:r>
            <w:r>
              <w:rPr>
                <w:color w:val="auto"/>
                <w:sz w:val="21"/>
              </w:rPr>
              <w:t>1</w:t>
            </w:r>
            <w:r>
              <w:rPr>
                <w:color w:val="auto"/>
                <w:spacing w:val="-36"/>
                <w:sz w:val="21"/>
              </w:rPr>
              <w:t xml:space="preserve"> 倍</w:t>
            </w:r>
            <w:r>
              <w:rPr>
                <w:color w:val="auto"/>
                <w:spacing w:val="-7"/>
                <w:sz w:val="21"/>
              </w:rPr>
              <w:t>以下罚款，广告费用无法计</w:t>
            </w:r>
            <w:r>
              <w:rPr>
                <w:color w:val="auto"/>
                <w:spacing w:val="-10"/>
                <w:sz w:val="21"/>
              </w:rPr>
              <w:t xml:space="preserve">算或者明显偏低的，处 </w:t>
            </w:r>
            <w:r>
              <w:rPr>
                <w:color w:val="auto"/>
                <w:sz w:val="21"/>
              </w:rPr>
              <w:t>1</w:t>
            </w:r>
            <w:r>
              <w:rPr>
                <w:color w:val="auto"/>
                <w:spacing w:val="-31"/>
                <w:sz w:val="21"/>
              </w:rPr>
              <w:t xml:space="preserve"> 万</w:t>
            </w:r>
          </w:p>
          <w:p>
            <w:pPr>
              <w:pStyle w:val="8"/>
              <w:spacing w:before="106" w:line="242" w:lineRule="auto"/>
              <w:ind w:left="107" w:right="99"/>
              <w:jc w:val="both"/>
              <w:rPr>
                <w:color w:val="auto"/>
                <w:sz w:val="21"/>
              </w:rPr>
            </w:pPr>
            <w:r>
              <w:rPr>
                <w:color w:val="auto"/>
                <w:spacing w:val="-14"/>
                <w:sz w:val="21"/>
              </w:rPr>
              <w:t xml:space="preserve">元以上 </w:t>
            </w:r>
            <w:r>
              <w:rPr>
                <w:color w:val="auto"/>
                <w:sz w:val="21"/>
              </w:rPr>
              <w:t>10</w:t>
            </w:r>
            <w:r>
              <w:rPr>
                <w:color w:val="auto"/>
                <w:spacing w:val="-8"/>
                <w:sz w:val="21"/>
              </w:rPr>
              <w:t xml:space="preserve"> 万元以下罚款。</w:t>
            </w:r>
          </w:p>
        </w:tc>
        <w:tc>
          <w:tcPr>
            <w:tcW w:w="2715" w:type="dxa"/>
            <w:vAlign w:val="top"/>
          </w:tcPr>
          <w:p>
            <w:r>
              <w:rPr>
                <w:color w:val="auto"/>
                <w:spacing w:val="-11"/>
                <w:sz w:val="21"/>
              </w:rPr>
              <w:t xml:space="preserve">处广告费用 </w:t>
            </w:r>
            <w:r>
              <w:rPr>
                <w:color w:val="auto"/>
                <w:sz w:val="21"/>
              </w:rPr>
              <w:t>1</w:t>
            </w:r>
            <w:r>
              <w:rPr>
                <w:color w:val="auto"/>
                <w:spacing w:val="-24"/>
                <w:sz w:val="21"/>
              </w:rPr>
              <w:t xml:space="preserve"> 倍以上 </w:t>
            </w:r>
            <w:r>
              <w:rPr>
                <w:color w:val="auto"/>
                <w:sz w:val="21"/>
              </w:rPr>
              <w:t>1.6</w:t>
            </w:r>
            <w:r>
              <w:rPr>
                <w:color w:val="auto"/>
                <w:spacing w:val="-35"/>
                <w:sz w:val="21"/>
              </w:rPr>
              <w:t xml:space="preserve"> 倍</w:t>
            </w:r>
            <w:r>
              <w:rPr>
                <w:color w:val="auto"/>
                <w:spacing w:val="-6"/>
                <w:sz w:val="21"/>
              </w:rPr>
              <w:t>以下罚款，广告费用无法计</w:t>
            </w:r>
            <w:r>
              <w:rPr>
                <w:color w:val="auto"/>
                <w:spacing w:val="6"/>
                <w:sz w:val="21"/>
              </w:rPr>
              <w:t>算或者明显偏低的，处</w:t>
            </w:r>
            <w:r>
              <w:rPr>
                <w:color w:val="auto"/>
                <w:spacing w:val="-3"/>
                <w:sz w:val="21"/>
              </w:rPr>
              <w:t>10</w:t>
            </w:r>
          </w:p>
          <w:p>
            <w:pPr>
              <w:pStyle w:val="8"/>
              <w:spacing w:before="106" w:line="242" w:lineRule="auto"/>
              <w:ind w:left="106" w:right="95"/>
              <w:jc w:val="both"/>
              <w:rPr>
                <w:color w:val="auto"/>
                <w:sz w:val="21"/>
              </w:rPr>
            </w:pPr>
            <w:r>
              <w:rPr>
                <w:color w:val="auto"/>
                <w:spacing w:val="-13"/>
                <w:sz w:val="21"/>
              </w:rPr>
              <w:t xml:space="preserve">万元以上 </w:t>
            </w:r>
            <w:r>
              <w:rPr>
                <w:color w:val="auto"/>
                <w:sz w:val="21"/>
              </w:rPr>
              <w:t>13</w:t>
            </w:r>
            <w:r>
              <w:rPr>
                <w:color w:val="auto"/>
                <w:spacing w:val="-13"/>
                <w:sz w:val="21"/>
              </w:rPr>
              <w:t xml:space="preserve"> 万元以下罚款。</w:t>
            </w:r>
          </w:p>
        </w:tc>
        <w:tc>
          <w:tcPr>
            <w:tcW w:w="2718" w:type="dxa"/>
            <w:vAlign w:val="top"/>
          </w:tcPr>
          <w:p>
            <w:r>
              <w:rPr>
                <w:color w:val="auto"/>
                <w:spacing w:val="-8"/>
                <w:sz w:val="21"/>
              </w:rPr>
              <w:t xml:space="preserve">处广告费用 </w:t>
            </w:r>
            <w:r>
              <w:rPr>
                <w:color w:val="auto"/>
                <w:sz w:val="21"/>
              </w:rPr>
              <w:t>1.6</w:t>
            </w:r>
            <w:r>
              <w:rPr>
                <w:color w:val="auto"/>
                <w:spacing w:val="-17"/>
                <w:sz w:val="21"/>
              </w:rPr>
              <w:t xml:space="preserve"> 倍以上 </w:t>
            </w:r>
            <w:r>
              <w:rPr>
                <w:color w:val="auto"/>
                <w:spacing w:val="-8"/>
                <w:sz w:val="21"/>
              </w:rPr>
              <w:t xml:space="preserve">2.4 </w:t>
            </w:r>
            <w:r>
              <w:rPr>
                <w:color w:val="auto"/>
                <w:spacing w:val="-7"/>
                <w:sz w:val="21"/>
              </w:rPr>
              <w:t>倍以下罚款，广告费用无法</w:t>
            </w:r>
            <w:r>
              <w:rPr>
                <w:color w:val="auto"/>
                <w:spacing w:val="-13"/>
                <w:sz w:val="21"/>
              </w:rPr>
              <w:t xml:space="preserve">计算或者明显偏低的，处 </w:t>
            </w:r>
            <w:r>
              <w:rPr>
                <w:color w:val="auto"/>
                <w:spacing w:val="-3"/>
                <w:sz w:val="21"/>
              </w:rPr>
              <w:t>13</w:t>
            </w:r>
          </w:p>
          <w:p>
            <w:pPr>
              <w:pStyle w:val="8"/>
              <w:spacing w:before="106" w:line="242" w:lineRule="auto"/>
              <w:ind w:left="105" w:right="99"/>
              <w:jc w:val="both"/>
              <w:rPr>
                <w:color w:val="auto"/>
                <w:sz w:val="21"/>
              </w:rPr>
            </w:pPr>
            <w:r>
              <w:rPr>
                <w:color w:val="auto"/>
                <w:spacing w:val="-13"/>
                <w:sz w:val="21"/>
              </w:rPr>
              <w:t xml:space="preserve">万元以上 </w:t>
            </w:r>
            <w:r>
              <w:rPr>
                <w:color w:val="auto"/>
                <w:sz w:val="21"/>
              </w:rPr>
              <w:t>17</w:t>
            </w:r>
            <w:r>
              <w:rPr>
                <w:color w:val="auto"/>
                <w:spacing w:val="-13"/>
                <w:sz w:val="21"/>
              </w:rPr>
              <w:t xml:space="preserve"> 万元以下罚款。</w:t>
            </w:r>
          </w:p>
        </w:tc>
        <w:tc>
          <w:tcPr>
            <w:tcW w:w="3901" w:type="dxa"/>
            <w:vAlign w:val="top"/>
          </w:tcPr>
          <w:p>
            <w:pPr>
              <w:pStyle w:val="8"/>
              <w:spacing w:before="1"/>
              <w:ind w:left="102"/>
              <w:rPr>
                <w:rFonts w:ascii="Times New Roman"/>
                <w:color w:val="auto"/>
                <w:sz w:val="21"/>
              </w:rPr>
            </w:pPr>
          </w:p>
          <w:p>
            <w:r>
              <w:rPr>
                <w:color w:val="auto"/>
                <w:spacing w:val="-10"/>
                <w:sz w:val="21"/>
              </w:rPr>
              <w:t xml:space="preserve">处广告费用 </w:t>
            </w:r>
            <w:r>
              <w:rPr>
                <w:color w:val="auto"/>
                <w:sz w:val="21"/>
              </w:rPr>
              <w:t>2.4</w:t>
            </w:r>
            <w:r>
              <w:rPr>
                <w:color w:val="auto"/>
                <w:spacing w:val="-21"/>
                <w:sz w:val="21"/>
              </w:rPr>
              <w:t xml:space="preserve"> 倍以上 </w:t>
            </w:r>
            <w:r>
              <w:rPr>
                <w:color w:val="auto"/>
                <w:sz w:val="21"/>
              </w:rPr>
              <w:t>3</w:t>
            </w:r>
            <w:r>
              <w:rPr>
                <w:color w:val="auto"/>
                <w:spacing w:val="-21"/>
                <w:sz w:val="21"/>
              </w:rPr>
              <w:t xml:space="preserve"> 倍以下罚款，广</w:t>
            </w:r>
          </w:p>
          <w:p>
            <w:r>
              <w:rPr>
                <w:color w:val="auto"/>
                <w:spacing w:val="-2"/>
                <w:sz w:val="21"/>
              </w:rPr>
              <w:t xml:space="preserve">告费用无法计算或者明显偏低的，处 </w:t>
            </w:r>
            <w:r>
              <w:rPr>
                <w:color w:val="auto"/>
                <w:sz w:val="21"/>
              </w:rPr>
              <w:t>17</w:t>
            </w:r>
          </w:p>
          <w:p>
            <w:pPr>
              <w:pStyle w:val="8"/>
              <w:spacing w:before="1"/>
              <w:ind w:left="102"/>
              <w:rPr>
                <w:color w:val="auto"/>
                <w:sz w:val="21"/>
              </w:rPr>
            </w:pPr>
            <w:r>
              <w:rPr>
                <w:color w:val="auto"/>
                <w:sz w:val="21"/>
              </w:rPr>
              <w:t>万元以上 20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3" w:hRule="atLeast"/>
        </w:trPr>
        <w:tc>
          <w:tcPr>
            <w:tcW w:w="562" w:type="dxa"/>
            <w:vMerge w:val="continue"/>
            <w:tcBorders>
              <w:top w:val="nil"/>
            </w:tcBorders>
            <w:vAlign w:val="top"/>
          </w:tcPr>
          <w:p>
            <w:pPr>
              <w:rPr>
                <w:color w:val="auto"/>
                <w:sz w:val="2"/>
                <w:szCs w:val="2"/>
              </w:rPr>
            </w:pPr>
          </w:p>
        </w:tc>
        <w:tc>
          <w:tcPr>
            <w:tcW w:w="593" w:type="dxa"/>
            <w:vMerge w:val="continue"/>
            <w:tcBorders>
              <w:top w:val="nil"/>
            </w:tcBorders>
            <w:vAlign w:val="top"/>
          </w:tcPr>
          <w:p>
            <w:pPr>
              <w:rPr>
                <w:color w:val="auto"/>
                <w:sz w:val="2"/>
                <w:szCs w:val="2"/>
              </w:rPr>
            </w:pPr>
          </w:p>
        </w:tc>
        <w:tc>
          <w:tcPr>
            <w:tcW w:w="591" w:type="dxa"/>
            <w:vAlign w:val="top"/>
          </w:tcPr>
          <w:p>
            <w:pPr>
              <w:pStyle w:val="8"/>
              <w:spacing w:before="1" w:line="242" w:lineRule="auto"/>
              <w:ind w:left="186" w:right="182"/>
              <w:jc w:val="both"/>
              <w:rPr>
                <w:b/>
                <w:color w:val="auto"/>
                <w:sz w:val="21"/>
              </w:rPr>
            </w:pPr>
            <w:r>
              <w:rPr>
                <w:b/>
                <w:color w:val="auto"/>
                <w:sz w:val="21"/>
              </w:rPr>
              <w:t>情节严</w:t>
            </w:r>
          </w:p>
          <w:p>
            <w:pPr>
              <w:pStyle w:val="8"/>
              <w:spacing w:before="3" w:line="270" w:lineRule="atLeast"/>
              <w:ind w:left="186" w:right="182"/>
              <w:jc w:val="both"/>
              <w:rPr>
                <w:b/>
                <w:color w:val="auto"/>
                <w:sz w:val="21"/>
              </w:rPr>
            </w:pPr>
            <w:r>
              <w:rPr>
                <w:b/>
                <w:color w:val="auto"/>
                <w:sz w:val="21"/>
              </w:rPr>
              <w:t>重的</w:t>
            </w:r>
          </w:p>
        </w:tc>
        <w:tc>
          <w:tcPr>
            <w:tcW w:w="2716" w:type="dxa"/>
            <w:vAlign w:val="top"/>
          </w:tcPr>
          <w:p>
            <w:pPr>
              <w:pStyle w:val="8"/>
              <w:rPr>
                <w:rFonts w:ascii="Times New Roman"/>
                <w:color w:val="auto"/>
                <w:sz w:val="20"/>
              </w:rPr>
            </w:pPr>
          </w:p>
        </w:tc>
        <w:tc>
          <w:tcPr>
            <w:tcW w:w="2715" w:type="dxa"/>
            <w:vAlign w:val="top"/>
          </w:tcPr>
          <w:p>
            <w:r>
              <w:rPr>
                <w:color w:val="auto"/>
                <w:spacing w:val="-11"/>
                <w:sz w:val="21"/>
              </w:rPr>
              <w:t xml:space="preserve">处广告费用 </w:t>
            </w:r>
            <w:r>
              <w:rPr>
                <w:color w:val="auto"/>
                <w:sz w:val="21"/>
              </w:rPr>
              <w:t>3</w:t>
            </w:r>
            <w:r>
              <w:rPr>
                <w:color w:val="auto"/>
                <w:spacing w:val="-24"/>
                <w:sz w:val="21"/>
              </w:rPr>
              <w:t xml:space="preserve"> 倍以上 </w:t>
            </w:r>
            <w:r>
              <w:rPr>
                <w:color w:val="auto"/>
                <w:sz w:val="21"/>
              </w:rPr>
              <w:t>3.6</w:t>
            </w:r>
            <w:r>
              <w:rPr>
                <w:color w:val="auto"/>
                <w:spacing w:val="-35"/>
                <w:sz w:val="21"/>
              </w:rPr>
              <w:t xml:space="preserve"> 倍</w:t>
            </w:r>
            <w:r>
              <w:rPr>
                <w:color w:val="auto"/>
                <w:spacing w:val="-6"/>
                <w:sz w:val="21"/>
              </w:rPr>
              <w:t>以下罚款，广告费用无法计</w:t>
            </w:r>
            <w:r>
              <w:rPr>
                <w:color w:val="auto"/>
                <w:spacing w:val="6"/>
                <w:sz w:val="21"/>
              </w:rPr>
              <w:t>算或者明显偏低的，处</w:t>
            </w:r>
            <w:r>
              <w:rPr>
                <w:color w:val="auto"/>
                <w:spacing w:val="-3"/>
                <w:sz w:val="21"/>
              </w:rPr>
              <w:t>20</w:t>
            </w:r>
          </w:p>
          <w:p>
            <w:pPr>
              <w:pStyle w:val="8"/>
              <w:spacing w:before="137" w:line="242" w:lineRule="auto"/>
              <w:ind w:left="106" w:right="95"/>
              <w:jc w:val="both"/>
              <w:rPr>
                <w:color w:val="auto"/>
                <w:sz w:val="21"/>
              </w:rPr>
            </w:pPr>
            <w:r>
              <w:rPr>
                <w:color w:val="auto"/>
                <w:spacing w:val="-13"/>
                <w:sz w:val="21"/>
              </w:rPr>
              <w:t xml:space="preserve">万元以上 </w:t>
            </w:r>
            <w:r>
              <w:rPr>
                <w:color w:val="auto"/>
                <w:sz w:val="21"/>
              </w:rPr>
              <w:t>44</w:t>
            </w:r>
            <w:r>
              <w:rPr>
                <w:color w:val="auto"/>
                <w:spacing w:val="-13"/>
                <w:sz w:val="21"/>
              </w:rPr>
              <w:t xml:space="preserve"> 万元以下罚款。</w:t>
            </w:r>
          </w:p>
        </w:tc>
        <w:tc>
          <w:tcPr>
            <w:tcW w:w="2718" w:type="dxa"/>
            <w:vAlign w:val="top"/>
          </w:tcPr>
          <w:p>
            <w:r>
              <w:rPr>
                <w:color w:val="auto"/>
                <w:spacing w:val="-8"/>
                <w:sz w:val="21"/>
              </w:rPr>
              <w:t xml:space="preserve">处广告费用 </w:t>
            </w:r>
            <w:r>
              <w:rPr>
                <w:color w:val="auto"/>
                <w:sz w:val="21"/>
              </w:rPr>
              <w:t>3.6</w:t>
            </w:r>
            <w:r>
              <w:rPr>
                <w:color w:val="auto"/>
                <w:spacing w:val="-17"/>
                <w:sz w:val="21"/>
              </w:rPr>
              <w:t xml:space="preserve"> 倍以上 </w:t>
            </w:r>
            <w:r>
              <w:rPr>
                <w:color w:val="auto"/>
                <w:spacing w:val="-8"/>
                <w:sz w:val="21"/>
              </w:rPr>
              <w:t xml:space="preserve">4.4 </w:t>
            </w:r>
            <w:r>
              <w:rPr>
                <w:color w:val="auto"/>
                <w:spacing w:val="-7"/>
                <w:sz w:val="21"/>
              </w:rPr>
              <w:t>倍以下罚款，广告费用无法</w:t>
            </w:r>
            <w:r>
              <w:rPr>
                <w:color w:val="auto"/>
                <w:spacing w:val="-13"/>
                <w:sz w:val="21"/>
              </w:rPr>
              <w:t xml:space="preserve">计算或者明显偏低的，处 </w:t>
            </w:r>
            <w:r>
              <w:rPr>
                <w:color w:val="auto"/>
                <w:spacing w:val="-3"/>
                <w:sz w:val="21"/>
              </w:rPr>
              <w:t>44</w:t>
            </w:r>
          </w:p>
          <w:p>
            <w:pPr>
              <w:pStyle w:val="8"/>
              <w:spacing w:before="137" w:line="242" w:lineRule="auto"/>
              <w:ind w:left="105" w:right="99"/>
              <w:jc w:val="both"/>
              <w:rPr>
                <w:color w:val="auto"/>
                <w:sz w:val="21"/>
              </w:rPr>
            </w:pPr>
            <w:r>
              <w:rPr>
                <w:color w:val="auto"/>
                <w:spacing w:val="-13"/>
                <w:sz w:val="21"/>
              </w:rPr>
              <w:t xml:space="preserve">万元以上 </w:t>
            </w:r>
            <w:r>
              <w:rPr>
                <w:color w:val="auto"/>
                <w:sz w:val="21"/>
              </w:rPr>
              <w:t>76</w:t>
            </w:r>
            <w:r>
              <w:rPr>
                <w:color w:val="auto"/>
                <w:spacing w:val="-13"/>
                <w:sz w:val="21"/>
              </w:rPr>
              <w:t xml:space="preserve"> 万元以下罚款。</w:t>
            </w:r>
          </w:p>
        </w:tc>
        <w:tc>
          <w:tcPr>
            <w:tcW w:w="3901" w:type="dxa"/>
            <w:vAlign w:val="top"/>
          </w:tcPr>
          <w:p>
            <w:pPr>
              <w:pStyle w:val="8"/>
              <w:spacing w:before="0"/>
              <w:ind w:left="102"/>
              <w:rPr>
                <w:rFonts w:ascii="Times New Roman"/>
                <w:color w:val="auto"/>
                <w:sz w:val="23"/>
              </w:rPr>
            </w:pPr>
          </w:p>
          <w:p>
            <w:r>
              <w:rPr>
                <w:color w:val="auto"/>
                <w:spacing w:val="-10"/>
                <w:sz w:val="21"/>
              </w:rPr>
              <w:t xml:space="preserve">处广告费用 </w:t>
            </w:r>
            <w:r>
              <w:rPr>
                <w:color w:val="auto"/>
                <w:sz w:val="21"/>
              </w:rPr>
              <w:t>4.4</w:t>
            </w:r>
            <w:r>
              <w:rPr>
                <w:color w:val="auto"/>
                <w:spacing w:val="-21"/>
                <w:sz w:val="21"/>
              </w:rPr>
              <w:t xml:space="preserve"> 倍以上 </w:t>
            </w:r>
            <w:r>
              <w:rPr>
                <w:color w:val="auto"/>
                <w:sz w:val="21"/>
              </w:rPr>
              <w:t>5</w:t>
            </w:r>
            <w:r>
              <w:rPr>
                <w:color w:val="auto"/>
                <w:spacing w:val="-21"/>
                <w:sz w:val="21"/>
              </w:rPr>
              <w:t xml:space="preserve"> 倍以下罚款，广</w:t>
            </w:r>
          </w:p>
          <w:p>
            <w:r>
              <w:rPr>
                <w:color w:val="auto"/>
                <w:spacing w:val="-2"/>
                <w:sz w:val="21"/>
              </w:rPr>
              <w:t xml:space="preserve">告费用无法计算或者明显偏低的，处 </w:t>
            </w:r>
            <w:r>
              <w:rPr>
                <w:color w:val="auto"/>
                <w:sz w:val="21"/>
              </w:rPr>
              <w:t>76</w:t>
            </w:r>
          </w:p>
          <w:p>
            <w:pPr>
              <w:pStyle w:val="8"/>
              <w:spacing w:before="0"/>
              <w:ind w:left="102"/>
              <w:rPr>
                <w:color w:val="auto"/>
                <w:sz w:val="21"/>
              </w:rPr>
            </w:pPr>
            <w:r>
              <w:rPr>
                <w:color w:val="auto"/>
                <w:sz w:val="21"/>
              </w:rPr>
              <w:t>万元以上 100 万元以下罚款。</w:t>
            </w:r>
          </w:p>
        </w:tc>
      </w:tr>
    </w:tbl>
    <w:p>
      <w:pPr>
        <w:spacing w:after="0"/>
        <w:rPr>
          <w:color w:val="auto"/>
          <w:sz w:val="21"/>
        </w:rPr>
        <w:sectPr>
          <w:pgSz w:w="16840" w:h="11910" w:orient="landscape"/>
          <w:pgMar w:top="1100" w:right="1400" w:bottom="1760" w:left="1400" w:header="0" w:footer="1572" w:gutter="0"/>
          <w:pgNumType w:fmt="numberInDash"/>
          <w:cols w:space="720" w:num="1"/>
        </w:sectPr>
      </w:pPr>
    </w:p>
    <w:tbl>
      <w:tblPr>
        <w:tblStyle w:val="7"/>
        <w:tblW w:w="13796"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93"/>
        <w:gridCol w:w="591"/>
        <w:gridCol w:w="2716"/>
        <w:gridCol w:w="2715"/>
        <w:gridCol w:w="2718"/>
        <w:gridCol w:w="3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562"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0"/>
              <w:rPr>
                <w:rFonts w:ascii="Times New Roman"/>
                <w:color w:val="auto"/>
                <w:sz w:val="15"/>
              </w:rPr>
            </w:pPr>
          </w:p>
          <w:p>
            <w:pPr>
              <w:pStyle w:val="8"/>
              <w:ind w:left="175"/>
              <w:rPr>
                <w:b/>
                <w:color w:val="auto"/>
                <w:sz w:val="21"/>
              </w:rPr>
            </w:pPr>
            <w:r>
              <w:rPr>
                <w:b/>
                <w:color w:val="auto"/>
                <w:sz w:val="21"/>
              </w:rPr>
              <w:t>12</w:t>
            </w:r>
          </w:p>
        </w:tc>
        <w:tc>
          <w:tcPr>
            <w:tcW w:w="1184" w:type="dxa"/>
            <w:gridSpan w:val="2"/>
            <w:vAlign w:val="top"/>
          </w:tcPr>
          <w:p>
            <w:pPr>
              <w:pStyle w:val="8"/>
              <w:spacing w:before="9"/>
              <w:rPr>
                <w:rFonts w:ascii="Times New Roman"/>
                <w:color w:val="auto"/>
                <w:sz w:val="17"/>
              </w:rPr>
            </w:pPr>
          </w:p>
          <w:p>
            <w:pPr>
              <w:pStyle w:val="8"/>
              <w:ind w:left="170"/>
              <w:rPr>
                <w:b/>
                <w:color w:val="auto"/>
                <w:sz w:val="21"/>
              </w:rPr>
            </w:pPr>
            <w:r>
              <w:rPr>
                <w:b/>
                <w:color w:val="auto"/>
                <w:sz w:val="21"/>
              </w:rPr>
              <w:t>违法行为</w:t>
            </w:r>
          </w:p>
        </w:tc>
        <w:tc>
          <w:tcPr>
            <w:tcW w:w="12050" w:type="dxa"/>
            <w:gridSpan w:val="4"/>
            <w:vAlign w:val="top"/>
          </w:tcPr>
          <w:p>
            <w:pPr>
              <w:pStyle w:val="8"/>
              <w:spacing w:before="9"/>
              <w:rPr>
                <w:rFonts w:ascii="Times New Roman"/>
                <w:color w:val="auto"/>
                <w:sz w:val="17"/>
              </w:rPr>
            </w:pPr>
          </w:p>
          <w:p>
            <w:pPr>
              <w:pStyle w:val="8"/>
              <w:ind w:left="527"/>
              <w:rPr>
                <w:color w:val="auto"/>
                <w:sz w:val="21"/>
              </w:rPr>
            </w:pPr>
            <w:r>
              <w:rPr>
                <w:color w:val="auto"/>
                <w:sz w:val="21"/>
              </w:rPr>
              <w:t>境外化妆品注册人、备案人指定的在我国境内的企业法人未协助开展化妆品不良反应监测、实施产品召回的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2"/>
              </w:rPr>
            </w:pPr>
          </w:p>
          <w:p>
            <w:pPr>
              <w:pStyle w:val="8"/>
              <w:spacing w:before="1"/>
              <w:ind w:left="170"/>
              <w:rPr>
                <w:b/>
                <w:color w:val="auto"/>
                <w:sz w:val="21"/>
              </w:rPr>
            </w:pPr>
            <w:r>
              <w:rPr>
                <w:b/>
                <w:color w:val="auto"/>
                <w:sz w:val="21"/>
              </w:rPr>
              <w:t>处罚依据</w:t>
            </w:r>
          </w:p>
        </w:tc>
        <w:tc>
          <w:tcPr>
            <w:tcW w:w="12050" w:type="dxa"/>
            <w:gridSpan w:val="4"/>
            <w:vAlign w:val="top"/>
          </w:tcPr>
          <w:p>
            <w:pPr>
              <w:pStyle w:val="8"/>
              <w:ind w:left="527"/>
              <w:rPr>
                <w:rFonts w:ascii="Times New Roman"/>
                <w:color w:val="auto"/>
                <w:sz w:val="20"/>
              </w:rPr>
            </w:pPr>
          </w:p>
          <w:p>
            <w:pPr>
              <w:pStyle w:val="8"/>
              <w:spacing w:before="0"/>
              <w:ind w:left="527"/>
              <w:rPr>
                <w:rFonts w:ascii="Times New Roman"/>
                <w:color w:val="auto"/>
                <w:sz w:val="18"/>
              </w:rPr>
            </w:pPr>
          </w:p>
          <w:p>
            <w:r>
              <w:rPr>
                <w:color w:val="auto"/>
                <w:spacing w:val="-12"/>
                <w:sz w:val="21"/>
              </w:rPr>
              <w:t xml:space="preserve">根据《化妆品监督管理条例》第七十条规定，由省、自治区、直辖市人民政府药品监督管理部门责令改正，给予警告，并处 </w:t>
            </w:r>
            <w:r>
              <w:rPr>
                <w:color w:val="auto"/>
                <w:sz w:val="21"/>
              </w:rPr>
              <w:t>2</w:t>
            </w:r>
          </w:p>
          <w:p>
            <w:pPr>
              <w:pStyle w:val="8"/>
              <w:spacing w:before="0" w:line="240" w:lineRule="auto"/>
              <w:ind w:left="527" w:right="0"/>
              <w:rPr>
                <w:color w:val="auto"/>
                <w:sz w:val="21"/>
              </w:rPr>
            </w:pPr>
            <w:r>
              <w:rPr>
                <w:color w:val="auto"/>
                <w:spacing w:val="-10"/>
                <w:sz w:val="21"/>
              </w:rPr>
              <w:t xml:space="preserve">万元以上 </w:t>
            </w:r>
            <w:r>
              <w:rPr>
                <w:color w:val="auto"/>
                <w:sz w:val="21"/>
              </w:rPr>
              <w:t>10</w:t>
            </w:r>
            <w:r>
              <w:rPr>
                <w:color w:val="auto"/>
                <w:spacing w:val="-11"/>
                <w:sz w:val="21"/>
              </w:rPr>
              <w:t xml:space="preserve"> 万元以下罚款。情节严重的，处 </w:t>
            </w:r>
            <w:r>
              <w:rPr>
                <w:color w:val="auto"/>
                <w:sz w:val="21"/>
              </w:rPr>
              <w:t>10</w:t>
            </w:r>
            <w:r>
              <w:rPr>
                <w:color w:val="auto"/>
                <w:spacing w:val="-17"/>
                <w:sz w:val="21"/>
              </w:rPr>
              <w:t xml:space="preserve"> 万元以上 </w:t>
            </w:r>
            <w:r>
              <w:rPr>
                <w:color w:val="auto"/>
                <w:sz w:val="21"/>
              </w:rPr>
              <w:t>50</w:t>
            </w:r>
            <w:r>
              <w:rPr>
                <w:color w:val="auto"/>
                <w:spacing w:val="-8"/>
                <w:sz w:val="21"/>
              </w:rPr>
              <w:t xml:space="preserve"> 万元以下罚款，</w:t>
            </w:r>
            <w:r>
              <w:rPr>
                <w:color w:val="auto"/>
                <w:sz w:val="21"/>
              </w:rPr>
              <w:t>5</w:t>
            </w:r>
            <w:r>
              <w:rPr>
                <w:color w:val="auto"/>
                <w:spacing w:val="-8"/>
                <w:sz w:val="21"/>
              </w:rPr>
              <w:t xml:space="preserve"> 年内禁止其法定代表人或者主要负责人、直接负责</w:t>
            </w:r>
            <w:r>
              <w:rPr>
                <w:color w:val="auto"/>
                <w:spacing w:val="-5"/>
                <w:sz w:val="21"/>
              </w:rPr>
              <w:t>的主管人员和其他直接责任人员从事化妆品生产经营活动。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6"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spacing w:before="147"/>
              <w:ind w:left="170"/>
              <w:rPr>
                <w:b/>
                <w:color w:val="auto"/>
                <w:sz w:val="21"/>
              </w:rPr>
            </w:pPr>
            <w:r>
              <w:rPr>
                <w:b/>
                <w:color w:val="auto"/>
                <w:sz w:val="21"/>
              </w:rPr>
              <w:t>裁量等级</w:t>
            </w:r>
          </w:p>
        </w:tc>
        <w:tc>
          <w:tcPr>
            <w:tcW w:w="2716" w:type="dxa"/>
            <w:vAlign w:val="top"/>
          </w:tcPr>
          <w:p>
            <w:pPr>
              <w:pStyle w:val="8"/>
              <w:spacing w:before="147"/>
              <w:ind w:left="107"/>
              <w:rPr>
                <w:b/>
                <w:color w:val="auto"/>
                <w:sz w:val="21"/>
              </w:rPr>
            </w:pPr>
            <w:r>
              <w:rPr>
                <w:b/>
                <w:color w:val="auto"/>
                <w:sz w:val="21"/>
              </w:rPr>
              <w:t>减轻</w:t>
            </w:r>
          </w:p>
        </w:tc>
        <w:tc>
          <w:tcPr>
            <w:tcW w:w="2715" w:type="dxa"/>
            <w:vAlign w:val="top"/>
          </w:tcPr>
          <w:p>
            <w:pPr>
              <w:pStyle w:val="8"/>
              <w:spacing w:before="147"/>
              <w:ind w:left="106"/>
              <w:rPr>
                <w:b/>
                <w:color w:val="auto"/>
                <w:sz w:val="21"/>
              </w:rPr>
            </w:pPr>
            <w:r>
              <w:rPr>
                <w:b/>
                <w:color w:val="auto"/>
                <w:sz w:val="21"/>
              </w:rPr>
              <w:t>从轻</w:t>
            </w:r>
          </w:p>
        </w:tc>
        <w:tc>
          <w:tcPr>
            <w:tcW w:w="2718" w:type="dxa"/>
            <w:vAlign w:val="top"/>
          </w:tcPr>
          <w:p>
            <w:pPr>
              <w:pStyle w:val="8"/>
              <w:spacing w:before="147"/>
              <w:ind w:left="105"/>
              <w:rPr>
                <w:b/>
                <w:color w:val="auto"/>
                <w:sz w:val="21"/>
              </w:rPr>
            </w:pPr>
            <w:r>
              <w:rPr>
                <w:b/>
                <w:color w:val="auto"/>
                <w:sz w:val="21"/>
              </w:rPr>
              <w:t>一般</w:t>
            </w:r>
          </w:p>
        </w:tc>
        <w:tc>
          <w:tcPr>
            <w:tcW w:w="3901" w:type="dxa"/>
            <w:vAlign w:val="top"/>
          </w:tcPr>
          <w:p>
            <w:pPr>
              <w:pStyle w:val="8"/>
              <w:spacing w:before="147"/>
              <w:ind w:left="102"/>
              <w:rPr>
                <w:b/>
                <w:color w:val="auto"/>
                <w:sz w:val="21"/>
              </w:rPr>
            </w:pPr>
            <w:r>
              <w:rPr>
                <w:b/>
                <w:color w:val="auto"/>
                <w:sz w:val="21"/>
              </w:rPr>
              <w:t>从重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34" w:hRule="atLeast"/>
        </w:trPr>
        <w:tc>
          <w:tcPr>
            <w:tcW w:w="562" w:type="dxa"/>
            <w:vMerge w:val="continue"/>
            <w:tcBorders>
              <w:top w:val="nil"/>
            </w:tcBorders>
            <w:vAlign w:val="top"/>
          </w:tcPr>
          <w:p>
            <w:pPr>
              <w:rPr>
                <w:color w:val="auto"/>
                <w:sz w:val="2"/>
                <w:szCs w:val="2"/>
              </w:rPr>
            </w:pPr>
          </w:p>
        </w:tc>
        <w:tc>
          <w:tcPr>
            <w:tcW w:w="1184" w:type="dxa"/>
            <w:gridSpan w:val="2"/>
            <w:vAlign w:val="top"/>
          </w:tcPr>
          <w:p>
            <w:pPr>
              <w:pStyle w:val="8"/>
              <w:rPr>
                <w:rFonts w:ascii="Times New Roman"/>
                <w:color w:val="auto"/>
                <w:sz w:val="20"/>
              </w:rPr>
            </w:pPr>
          </w:p>
          <w:p>
            <w:pPr>
              <w:pStyle w:val="8"/>
              <w:spacing w:before="7"/>
              <w:rPr>
                <w:rFonts w:ascii="Times New Roman"/>
                <w:color w:val="auto"/>
                <w:sz w:val="17"/>
              </w:rPr>
            </w:pPr>
          </w:p>
          <w:p>
            <w:pPr>
              <w:pStyle w:val="8"/>
              <w:ind w:left="170"/>
              <w:rPr>
                <w:b/>
                <w:color w:val="auto"/>
                <w:sz w:val="21"/>
              </w:rPr>
            </w:pPr>
            <w:r>
              <w:rPr>
                <w:b/>
                <w:color w:val="auto"/>
                <w:sz w:val="21"/>
              </w:rPr>
              <w:t>裁量情节</w:t>
            </w:r>
          </w:p>
        </w:tc>
        <w:tc>
          <w:tcPr>
            <w:tcW w:w="2716" w:type="dxa"/>
            <w:vAlign w:val="top"/>
          </w:tcPr>
          <w:p>
            <w:pPr>
              <w:pStyle w:val="8"/>
              <w:spacing w:before="8"/>
              <w:rPr>
                <w:rFonts w:ascii="Times New Roman"/>
                <w:color w:val="auto"/>
                <w:sz w:val="25"/>
              </w:rPr>
            </w:pPr>
          </w:p>
          <w:p>
            <w:pPr>
              <w:pStyle w:val="8"/>
              <w:spacing w:line="242" w:lineRule="auto"/>
              <w:ind w:left="107" w:right="99"/>
              <w:rPr>
                <w:color w:val="auto"/>
                <w:sz w:val="21"/>
              </w:rPr>
            </w:pPr>
            <w:r>
              <w:rPr>
                <w:color w:val="auto"/>
                <w:sz w:val="21"/>
              </w:rPr>
              <w:t>符合裁量规定减轻行政处罚情形的。</w:t>
            </w:r>
          </w:p>
        </w:tc>
        <w:tc>
          <w:tcPr>
            <w:tcW w:w="2715" w:type="dxa"/>
            <w:vAlign w:val="top"/>
          </w:tcPr>
          <w:p>
            <w:pPr>
              <w:pStyle w:val="8"/>
              <w:spacing w:before="8"/>
              <w:rPr>
                <w:rFonts w:ascii="Times New Roman"/>
                <w:color w:val="auto"/>
                <w:sz w:val="25"/>
              </w:rPr>
            </w:pPr>
          </w:p>
          <w:p>
            <w:pPr>
              <w:pStyle w:val="8"/>
              <w:spacing w:line="242" w:lineRule="auto"/>
              <w:ind w:left="106" w:right="97"/>
              <w:rPr>
                <w:color w:val="auto"/>
                <w:sz w:val="21"/>
              </w:rPr>
            </w:pPr>
            <w:r>
              <w:rPr>
                <w:color w:val="auto"/>
                <w:sz w:val="21"/>
              </w:rPr>
              <w:t>符合裁量规定从轻行政处罚情形的。</w:t>
            </w:r>
          </w:p>
        </w:tc>
        <w:tc>
          <w:tcPr>
            <w:tcW w:w="2718" w:type="dxa"/>
            <w:vAlign w:val="top"/>
          </w:tcPr>
          <w:p>
            <w:pPr>
              <w:pStyle w:val="8"/>
              <w:spacing w:before="8"/>
              <w:rPr>
                <w:rFonts w:ascii="Times New Roman"/>
                <w:color w:val="auto"/>
                <w:sz w:val="25"/>
              </w:rPr>
            </w:pPr>
          </w:p>
          <w:p>
            <w:pPr>
              <w:pStyle w:val="8"/>
              <w:spacing w:line="242" w:lineRule="auto"/>
              <w:ind w:left="105" w:right="101"/>
              <w:rPr>
                <w:color w:val="auto"/>
                <w:sz w:val="21"/>
              </w:rPr>
            </w:pPr>
            <w:r>
              <w:rPr>
                <w:color w:val="auto"/>
                <w:sz w:val="21"/>
              </w:rPr>
              <w:t>符合裁量规定一般行政处罚情形的。</w:t>
            </w:r>
          </w:p>
        </w:tc>
        <w:tc>
          <w:tcPr>
            <w:tcW w:w="3901" w:type="dxa"/>
            <w:vAlign w:val="top"/>
          </w:tcPr>
          <w:p>
            <w:pPr>
              <w:pStyle w:val="8"/>
              <w:rPr>
                <w:rFonts w:ascii="Times New Roman"/>
                <w:color w:val="auto"/>
                <w:sz w:val="20"/>
              </w:rPr>
            </w:pPr>
          </w:p>
          <w:p>
            <w:pPr>
              <w:pStyle w:val="8"/>
              <w:spacing w:before="7"/>
              <w:rPr>
                <w:rFonts w:ascii="Times New Roman"/>
                <w:color w:val="auto"/>
                <w:sz w:val="17"/>
              </w:rPr>
            </w:pPr>
          </w:p>
          <w:p>
            <w:pPr>
              <w:pStyle w:val="8"/>
              <w:ind w:left="102"/>
              <w:rPr>
                <w:color w:val="auto"/>
                <w:sz w:val="21"/>
              </w:rPr>
            </w:pPr>
            <w:r>
              <w:rPr>
                <w:color w:val="auto"/>
                <w:sz w:val="21"/>
              </w:rPr>
              <w:t>符合裁量规定从重行政处罚情形的。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593" w:type="dxa"/>
            <w:vMerge w:val="restart"/>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1"/>
              </w:rPr>
            </w:pPr>
          </w:p>
          <w:p>
            <w:pPr>
              <w:pStyle w:val="8"/>
              <w:spacing w:line="242" w:lineRule="auto"/>
              <w:ind w:left="189" w:right="180"/>
              <w:jc w:val="both"/>
              <w:rPr>
                <w:b/>
                <w:color w:val="auto"/>
                <w:sz w:val="21"/>
              </w:rPr>
            </w:pPr>
            <w:r>
              <w:rPr>
                <w:b/>
                <w:color w:val="auto"/>
                <w:sz w:val="21"/>
              </w:rPr>
              <w:t>裁量基准</w:t>
            </w:r>
          </w:p>
        </w:tc>
        <w:tc>
          <w:tcPr>
            <w:tcW w:w="591" w:type="dxa"/>
            <w:vAlign w:val="top"/>
          </w:tcPr>
          <w:p>
            <w:pPr>
              <w:pStyle w:val="8"/>
              <w:spacing w:before="7"/>
              <w:rPr>
                <w:rFonts w:ascii="Times New Roman"/>
                <w:color w:val="auto"/>
                <w:sz w:val="26"/>
              </w:rPr>
            </w:pPr>
          </w:p>
          <w:p>
            <w:pPr>
              <w:pStyle w:val="8"/>
              <w:spacing w:line="242" w:lineRule="auto"/>
              <w:ind w:left="186" w:right="182"/>
              <w:jc w:val="both"/>
              <w:rPr>
                <w:b/>
                <w:color w:val="auto"/>
                <w:sz w:val="21"/>
              </w:rPr>
            </w:pPr>
            <w:r>
              <w:rPr>
                <w:b/>
                <w:color w:val="auto"/>
                <w:sz w:val="21"/>
              </w:rPr>
              <w:t>一般情形</w:t>
            </w:r>
          </w:p>
        </w:tc>
        <w:tc>
          <w:tcPr>
            <w:tcW w:w="2716" w:type="dxa"/>
            <w:vAlign w:val="top"/>
          </w:tcPr>
          <w:p>
            <w:pPr>
              <w:pStyle w:val="8"/>
              <w:rPr>
                <w:rFonts w:ascii="Times New Roman"/>
                <w:color w:val="auto"/>
                <w:sz w:val="20"/>
              </w:rPr>
            </w:pPr>
          </w:p>
          <w:p>
            <w:pPr>
              <w:pStyle w:val="8"/>
              <w:rPr>
                <w:rFonts w:ascii="Times New Roman"/>
                <w:color w:val="auto"/>
                <w:sz w:val="20"/>
              </w:rPr>
            </w:pPr>
          </w:p>
          <w:p>
            <w:pPr>
              <w:pStyle w:val="8"/>
              <w:spacing w:before="120" w:line="242" w:lineRule="auto"/>
              <w:ind w:left="107" w:right="98"/>
              <w:rPr>
                <w:color w:val="auto"/>
                <w:sz w:val="21"/>
              </w:rPr>
            </w:pPr>
            <w:r>
              <w:rPr>
                <w:color w:val="auto"/>
                <w:spacing w:val="-28"/>
                <w:sz w:val="21"/>
              </w:rPr>
              <w:t xml:space="preserve">处 </w:t>
            </w:r>
            <w:r>
              <w:rPr>
                <w:color w:val="auto"/>
                <w:sz w:val="21"/>
              </w:rPr>
              <w:t>0.2</w:t>
            </w:r>
            <w:r>
              <w:rPr>
                <w:color w:val="auto"/>
                <w:spacing w:val="-21"/>
                <w:sz w:val="21"/>
              </w:rPr>
              <w:t xml:space="preserve"> 万元以上 </w:t>
            </w:r>
            <w:r>
              <w:rPr>
                <w:color w:val="auto"/>
                <w:sz w:val="21"/>
              </w:rPr>
              <w:t>2</w:t>
            </w:r>
            <w:r>
              <w:rPr>
                <w:color w:val="auto"/>
                <w:spacing w:val="-17"/>
                <w:sz w:val="21"/>
              </w:rPr>
              <w:t xml:space="preserve"> 万元以下</w:t>
            </w:r>
            <w:r>
              <w:rPr>
                <w:color w:val="auto"/>
                <w:sz w:val="21"/>
              </w:rPr>
              <w:t>罚款。</w:t>
            </w: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120" w:line="242" w:lineRule="auto"/>
              <w:ind w:left="106" w:right="96"/>
              <w:rPr>
                <w:color w:val="auto"/>
                <w:sz w:val="21"/>
              </w:rPr>
            </w:pPr>
            <w:r>
              <w:rPr>
                <w:color w:val="auto"/>
                <w:spacing w:val="-28"/>
                <w:sz w:val="21"/>
              </w:rPr>
              <w:t xml:space="preserve">处 </w:t>
            </w:r>
            <w:r>
              <w:rPr>
                <w:color w:val="auto"/>
                <w:sz w:val="21"/>
              </w:rPr>
              <w:t>2</w:t>
            </w:r>
            <w:r>
              <w:rPr>
                <w:color w:val="auto"/>
                <w:spacing w:val="-21"/>
                <w:sz w:val="21"/>
              </w:rPr>
              <w:t xml:space="preserve"> 万元以上 </w:t>
            </w:r>
            <w:r>
              <w:rPr>
                <w:color w:val="auto"/>
                <w:sz w:val="21"/>
              </w:rPr>
              <w:t>4.4</w:t>
            </w:r>
            <w:r>
              <w:rPr>
                <w:color w:val="auto"/>
                <w:spacing w:val="-16"/>
                <w:sz w:val="21"/>
              </w:rPr>
              <w:t xml:space="preserve"> 万元以下</w:t>
            </w:r>
            <w:r>
              <w:rPr>
                <w:color w:val="auto"/>
                <w:sz w:val="21"/>
              </w:rPr>
              <w:t>罚款。</w:t>
            </w:r>
          </w:p>
        </w:tc>
        <w:tc>
          <w:tcPr>
            <w:tcW w:w="2718" w:type="dxa"/>
            <w:vAlign w:val="top"/>
          </w:tcPr>
          <w:p>
            <w:pPr>
              <w:pStyle w:val="8"/>
              <w:rPr>
                <w:rFonts w:ascii="Times New Roman"/>
                <w:color w:val="auto"/>
                <w:sz w:val="20"/>
              </w:rPr>
            </w:pPr>
          </w:p>
          <w:p>
            <w:pPr>
              <w:pStyle w:val="8"/>
              <w:rPr>
                <w:rFonts w:ascii="Times New Roman"/>
                <w:color w:val="auto"/>
                <w:sz w:val="20"/>
              </w:rPr>
            </w:pPr>
          </w:p>
          <w:p>
            <w:pPr>
              <w:pStyle w:val="8"/>
              <w:spacing w:before="120" w:line="242" w:lineRule="auto"/>
              <w:ind w:left="105" w:right="99"/>
              <w:rPr>
                <w:color w:val="auto"/>
                <w:sz w:val="21"/>
              </w:rPr>
            </w:pPr>
            <w:r>
              <w:rPr>
                <w:color w:val="auto"/>
                <w:spacing w:val="-28"/>
                <w:sz w:val="21"/>
              </w:rPr>
              <w:t xml:space="preserve">处 </w:t>
            </w:r>
            <w:r>
              <w:rPr>
                <w:color w:val="auto"/>
                <w:sz w:val="21"/>
              </w:rPr>
              <w:t>4.4</w:t>
            </w:r>
            <w:r>
              <w:rPr>
                <w:color w:val="auto"/>
                <w:spacing w:val="-20"/>
                <w:sz w:val="21"/>
              </w:rPr>
              <w:t xml:space="preserve"> 万元以上 </w:t>
            </w:r>
            <w:r>
              <w:rPr>
                <w:color w:val="auto"/>
                <w:sz w:val="21"/>
              </w:rPr>
              <w:t>7.6</w:t>
            </w:r>
            <w:r>
              <w:rPr>
                <w:color w:val="auto"/>
                <w:spacing w:val="-19"/>
                <w:sz w:val="21"/>
              </w:rPr>
              <w:t xml:space="preserve"> 万元以</w:t>
            </w:r>
            <w:r>
              <w:rPr>
                <w:color w:val="auto"/>
                <w:spacing w:val="-1"/>
                <w:sz w:val="21"/>
              </w:rPr>
              <w:t>下罚款。</w:t>
            </w:r>
          </w:p>
        </w:tc>
        <w:tc>
          <w:tcPr>
            <w:tcW w:w="3901" w:type="dxa"/>
            <w:vAlign w:val="top"/>
          </w:tcPr>
          <w:p>
            <w:pPr>
              <w:pStyle w:val="8"/>
              <w:rPr>
                <w:rFonts w:ascii="Times New Roman"/>
                <w:color w:val="auto"/>
                <w:sz w:val="20"/>
              </w:rPr>
            </w:pPr>
          </w:p>
          <w:p>
            <w:pPr>
              <w:pStyle w:val="8"/>
              <w:rPr>
                <w:rFonts w:ascii="Times New Roman"/>
                <w:color w:val="auto"/>
                <w:sz w:val="20"/>
              </w:rPr>
            </w:pPr>
          </w:p>
          <w:p>
            <w:pPr>
              <w:pStyle w:val="8"/>
              <w:spacing w:before="1"/>
              <w:rPr>
                <w:rFonts w:ascii="Times New Roman"/>
                <w:color w:val="auto"/>
                <w:sz w:val="22"/>
              </w:rPr>
            </w:pPr>
          </w:p>
          <w:p>
            <w:pPr>
              <w:pStyle w:val="8"/>
              <w:ind w:left="102"/>
              <w:rPr>
                <w:color w:val="auto"/>
                <w:sz w:val="21"/>
              </w:rPr>
            </w:pPr>
            <w:r>
              <w:rPr>
                <w:color w:val="auto"/>
                <w:sz w:val="21"/>
              </w:rPr>
              <w:t>处 7.6 万元以上 10 万元以下罚款。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01" w:hRule="atLeast"/>
        </w:trPr>
        <w:tc>
          <w:tcPr>
            <w:tcW w:w="562" w:type="dxa"/>
            <w:vMerge w:val="continue"/>
            <w:tcBorders>
              <w:top w:val="nil"/>
            </w:tcBorders>
            <w:vAlign w:val="top"/>
          </w:tcPr>
          <w:p>
            <w:pPr>
              <w:rPr>
                <w:color w:val="auto"/>
                <w:sz w:val="2"/>
                <w:szCs w:val="2"/>
              </w:rPr>
            </w:pPr>
          </w:p>
        </w:tc>
        <w:tc>
          <w:tcPr>
            <w:tcW w:w="593" w:type="dxa"/>
            <w:vMerge w:val="continue"/>
            <w:tcBorders>
              <w:top w:val="nil"/>
            </w:tcBorders>
            <w:vAlign w:val="top"/>
          </w:tcPr>
          <w:p>
            <w:pPr>
              <w:rPr>
                <w:color w:val="auto"/>
                <w:sz w:val="2"/>
                <w:szCs w:val="2"/>
              </w:rPr>
            </w:pPr>
          </w:p>
        </w:tc>
        <w:tc>
          <w:tcPr>
            <w:tcW w:w="591" w:type="dxa"/>
            <w:vAlign w:val="top"/>
          </w:tcPr>
          <w:p>
            <w:pPr>
              <w:pStyle w:val="8"/>
              <w:spacing w:before="169" w:line="242" w:lineRule="auto"/>
              <w:ind w:left="186" w:right="182"/>
              <w:jc w:val="both"/>
              <w:rPr>
                <w:b/>
                <w:color w:val="auto"/>
                <w:sz w:val="21"/>
              </w:rPr>
            </w:pPr>
            <w:r>
              <w:rPr>
                <w:b/>
                <w:color w:val="auto"/>
                <w:sz w:val="21"/>
              </w:rPr>
              <w:t>情节严重的</w:t>
            </w:r>
          </w:p>
        </w:tc>
        <w:tc>
          <w:tcPr>
            <w:tcW w:w="2716" w:type="dxa"/>
            <w:vAlign w:val="top"/>
          </w:tcPr>
          <w:p>
            <w:pPr>
              <w:pStyle w:val="8"/>
              <w:rPr>
                <w:rFonts w:ascii="Times New Roman"/>
                <w:color w:val="auto"/>
                <w:sz w:val="20"/>
              </w:rPr>
            </w:pPr>
          </w:p>
        </w:tc>
        <w:tc>
          <w:tcPr>
            <w:tcW w:w="2715" w:type="dxa"/>
            <w:vAlign w:val="top"/>
          </w:tcPr>
          <w:p>
            <w:pPr>
              <w:pStyle w:val="8"/>
              <w:rPr>
                <w:rFonts w:ascii="Times New Roman"/>
                <w:color w:val="auto"/>
                <w:sz w:val="20"/>
              </w:rPr>
            </w:pPr>
          </w:p>
          <w:p>
            <w:pPr>
              <w:pStyle w:val="8"/>
              <w:rPr>
                <w:rFonts w:ascii="Times New Roman"/>
                <w:color w:val="auto"/>
                <w:sz w:val="20"/>
              </w:rPr>
            </w:pPr>
          </w:p>
          <w:p>
            <w:pPr>
              <w:pStyle w:val="8"/>
              <w:spacing w:before="119" w:line="242" w:lineRule="auto"/>
              <w:ind w:left="106" w:right="96"/>
              <w:rPr>
                <w:color w:val="auto"/>
                <w:sz w:val="21"/>
              </w:rPr>
            </w:pPr>
            <w:r>
              <w:rPr>
                <w:color w:val="auto"/>
                <w:spacing w:val="-28"/>
                <w:sz w:val="21"/>
              </w:rPr>
              <w:t xml:space="preserve">处 </w:t>
            </w:r>
            <w:r>
              <w:rPr>
                <w:color w:val="auto"/>
                <w:sz w:val="21"/>
              </w:rPr>
              <w:t>10</w:t>
            </w:r>
            <w:r>
              <w:rPr>
                <w:color w:val="auto"/>
                <w:spacing w:val="-21"/>
                <w:sz w:val="21"/>
              </w:rPr>
              <w:t xml:space="preserve"> 万元以上 </w:t>
            </w:r>
            <w:r>
              <w:rPr>
                <w:color w:val="auto"/>
                <w:sz w:val="21"/>
              </w:rPr>
              <w:t>22</w:t>
            </w:r>
            <w:r>
              <w:rPr>
                <w:color w:val="auto"/>
                <w:spacing w:val="-16"/>
                <w:sz w:val="21"/>
              </w:rPr>
              <w:t xml:space="preserve"> 万元以下</w:t>
            </w:r>
            <w:r>
              <w:rPr>
                <w:color w:val="auto"/>
                <w:sz w:val="21"/>
              </w:rPr>
              <w:t>罚款。</w:t>
            </w:r>
          </w:p>
        </w:tc>
        <w:tc>
          <w:tcPr>
            <w:tcW w:w="2718" w:type="dxa"/>
            <w:vAlign w:val="top"/>
          </w:tcPr>
          <w:p>
            <w:pPr>
              <w:pStyle w:val="8"/>
              <w:rPr>
                <w:rFonts w:ascii="Times New Roman"/>
                <w:color w:val="auto"/>
                <w:sz w:val="20"/>
              </w:rPr>
            </w:pPr>
          </w:p>
          <w:p>
            <w:pPr>
              <w:pStyle w:val="8"/>
              <w:rPr>
                <w:rFonts w:ascii="Times New Roman"/>
                <w:color w:val="auto"/>
                <w:sz w:val="20"/>
              </w:rPr>
            </w:pPr>
          </w:p>
          <w:p>
            <w:pPr>
              <w:pStyle w:val="8"/>
              <w:spacing w:before="119" w:line="242" w:lineRule="auto"/>
              <w:ind w:left="105" w:right="99"/>
              <w:rPr>
                <w:color w:val="auto"/>
                <w:sz w:val="21"/>
              </w:rPr>
            </w:pPr>
            <w:r>
              <w:rPr>
                <w:color w:val="auto"/>
                <w:spacing w:val="-28"/>
                <w:sz w:val="21"/>
              </w:rPr>
              <w:t xml:space="preserve">处 </w:t>
            </w:r>
            <w:r>
              <w:rPr>
                <w:color w:val="auto"/>
                <w:sz w:val="21"/>
              </w:rPr>
              <w:t>22</w:t>
            </w:r>
            <w:r>
              <w:rPr>
                <w:color w:val="auto"/>
                <w:spacing w:val="-20"/>
                <w:sz w:val="21"/>
              </w:rPr>
              <w:t xml:space="preserve"> 万元以上 </w:t>
            </w:r>
            <w:r>
              <w:rPr>
                <w:color w:val="auto"/>
                <w:sz w:val="21"/>
              </w:rPr>
              <w:t>38</w:t>
            </w:r>
            <w:r>
              <w:rPr>
                <w:color w:val="auto"/>
                <w:spacing w:val="-16"/>
                <w:sz w:val="21"/>
              </w:rPr>
              <w:t xml:space="preserve"> 万元以下</w:t>
            </w:r>
            <w:r>
              <w:rPr>
                <w:color w:val="auto"/>
                <w:sz w:val="21"/>
              </w:rPr>
              <w:t>罚款。</w:t>
            </w:r>
          </w:p>
        </w:tc>
        <w:tc>
          <w:tcPr>
            <w:tcW w:w="3901" w:type="dxa"/>
            <w:vAlign w:val="top"/>
          </w:tcPr>
          <w:p>
            <w:pPr>
              <w:pStyle w:val="8"/>
              <w:rPr>
                <w:rFonts w:ascii="Times New Roman"/>
                <w:color w:val="auto"/>
                <w:sz w:val="20"/>
              </w:rPr>
            </w:pPr>
          </w:p>
          <w:p>
            <w:pPr>
              <w:pStyle w:val="8"/>
              <w:rPr>
                <w:rFonts w:ascii="Times New Roman"/>
                <w:color w:val="auto"/>
                <w:sz w:val="20"/>
              </w:rPr>
            </w:pPr>
          </w:p>
          <w:p>
            <w:pPr>
              <w:pStyle w:val="8"/>
              <w:rPr>
                <w:rFonts w:ascii="Times New Roman"/>
                <w:color w:val="auto"/>
                <w:sz w:val="22"/>
              </w:rPr>
            </w:pPr>
          </w:p>
          <w:p>
            <w:pPr>
              <w:pStyle w:val="8"/>
              <w:spacing w:before="1"/>
              <w:ind w:left="102"/>
              <w:rPr>
                <w:color w:val="auto"/>
                <w:sz w:val="21"/>
              </w:rPr>
            </w:pPr>
            <w:r>
              <w:rPr>
                <w:color w:val="auto"/>
                <w:sz w:val="21"/>
              </w:rPr>
              <w:t>处 38 万元以上 50 万元以下罚款。</w:t>
            </w:r>
          </w:p>
        </w:tc>
      </w:tr>
    </w:tbl>
    <w:p>
      <w:pPr>
        <w:rPr>
          <w:color w:val="auto"/>
        </w:rPr>
      </w:pPr>
    </w:p>
    <w:p>
      <w:pPr>
        <w:pStyle w:val="2"/>
        <w:ind w:left="0" w:firstLine="0" w:firstLineChars="0"/>
        <w:rPr>
          <w:rFonts w:hint="eastAsia" w:ascii="方正小标宋简体" w:hAnsi="方正小标宋简体" w:eastAsia="方正小标宋简体" w:cs="方正小标宋简体"/>
          <w:color w:val="auto"/>
          <w:lang w:eastAsia="zh-CN"/>
        </w:rPr>
      </w:pPr>
    </w:p>
    <w:p>
      <w:pPr>
        <w:pStyle w:val="2"/>
        <w:ind w:firstLine="440" w:firstLineChars="100"/>
        <w:rPr>
          <w:rFonts w:hint="eastAsia" w:ascii="方正小标宋简体" w:hAnsi="方正小标宋简体" w:eastAsia="方正小标宋简体" w:cs="方正小标宋简体"/>
          <w:color w:val="auto"/>
          <w:lang w:eastAsia="zh-CN"/>
        </w:rPr>
      </w:pPr>
    </w:p>
    <w:p>
      <w:pPr>
        <w:rPr>
          <w:color w:val="auto"/>
        </w:rPr>
      </w:pPr>
    </w:p>
    <w:p>
      <w:pPr>
        <w:rPr>
          <w:color w:val="auto"/>
        </w:rPr>
      </w:pPr>
    </w:p>
    <w:p/>
    <w:sectPr>
      <w:footerReference r:id="rId6" w:type="default"/>
      <w:pgSz w:w="16838" w:h="11906" w:orient="landscape"/>
      <w:pgMar w:top="1803" w:right="1440" w:bottom="1803" w:left="1440" w:header="851" w:footer="992" w:gutter="0"/>
      <w:pgNumType w:fmt="numberInDash"/>
      <w:cols w:space="0" w:num="1"/>
      <w:rtlGutter w:val="0"/>
      <w:docGrid w:type="lines" w:linePitch="319"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任焕君" w:date="2023-05-22T11:39:13Z" w:initials="">
    <w:p>
      <w:pPr>
        <w:pStyle w:val="3"/>
        <w:rPr>
          <w:rFonts w:hint="eastAsia" w:eastAsiaTheme="minorEastAsia"/>
          <w:lang w:eastAsia="zh-CN"/>
        </w:rPr>
      </w:pPr>
      <w:r>
        <w:rPr>
          <w:rFonts w:hint="eastAsia"/>
          <w:lang w:eastAsia="zh-CN"/>
        </w:rPr>
        <w:t>与实际内容不符</w:t>
      </w:r>
    </w:p>
  </w:comment>
  <w:comment w:id="1" w:author="任焕君" w:date="2023-05-16T17:29:39Z" w:initials="">
    <w:p>
      <w:pPr>
        <w:pStyle w:val="3"/>
        <w:rPr>
          <w:rFonts w:hint="eastAsia" w:eastAsiaTheme="minorEastAsia"/>
          <w:lang w:eastAsia="zh-CN"/>
        </w:rPr>
      </w:pPr>
      <w:r>
        <w:rPr>
          <w:rFonts w:hint="eastAsia"/>
          <w:lang w:eastAsia="zh-CN"/>
        </w:rPr>
        <w:t>法条规定为可以处罚款的，减轻、从轻等应该如何处理需特别考虑。</w:t>
      </w:r>
    </w:p>
  </w:comment>
  <w:comment w:id="2" w:author="任焕君" w:date="2023-05-18T17:09:13Z" w:initials="">
    <w:p>
      <w:pPr>
        <w:pStyle w:val="3"/>
      </w:pPr>
      <w:r>
        <w:rPr>
          <w:rFonts w:hint="eastAsia" w:ascii="仿宋" w:hAnsi="仿宋" w:eastAsia="仿宋" w:cs="Arial"/>
          <w:szCs w:val="21"/>
          <w:lang w:eastAsia="zh-CN"/>
        </w:rPr>
        <w:t>“</w:t>
      </w:r>
      <w:r>
        <w:rPr>
          <w:rFonts w:hint="eastAsia" w:ascii="仿宋" w:hAnsi="仿宋" w:eastAsia="仿宋" w:cs="Arial"/>
          <w:szCs w:val="21"/>
        </w:rPr>
        <w:t>吊销药品注册证书，直至吊销药品生产许可证等</w:t>
      </w:r>
      <w:r>
        <w:rPr>
          <w:rFonts w:hint="eastAsia" w:ascii="仿宋" w:hAnsi="仿宋" w:eastAsia="仿宋" w:cs="Arial"/>
          <w:szCs w:val="21"/>
          <w:lang w:eastAsia="zh-CN"/>
        </w:rPr>
        <w:t>”是否等于“</w:t>
      </w:r>
      <w:r>
        <w:rPr>
          <w:rFonts w:hint="eastAsia" w:ascii="仿宋" w:hAnsi="仿宋" w:eastAsia="仿宋" w:cs="Arial"/>
          <w:szCs w:val="21"/>
        </w:rPr>
        <w:t>吊销药品注册证书；吊销药品生产许可证等。</w:t>
      </w:r>
      <w:r>
        <w:rPr>
          <w:rFonts w:hint="eastAsia" w:ascii="仿宋" w:hAnsi="仿宋" w:eastAsia="仿宋" w:cs="Arial"/>
          <w:szCs w:val="21"/>
          <w:lang w:eastAsia="zh-CN"/>
        </w:rPr>
        <w:t>”</w:t>
      </w:r>
    </w:p>
  </w:comment>
  <w:comment w:id="3" w:author="任焕君" w:date="2023-05-18T17:23:09Z" w:initials="">
    <w:p>
      <w:pPr>
        <w:pStyle w:val="3"/>
        <w:rPr>
          <w:rFonts w:hint="eastAsia" w:eastAsiaTheme="minorEastAsia"/>
          <w:lang w:eastAsia="zh-CN"/>
        </w:rPr>
      </w:pPr>
      <w:r>
        <w:rPr>
          <w:rFonts w:hint="eastAsia"/>
          <w:lang w:eastAsia="zh-CN"/>
        </w:rPr>
        <w:t>从轻一般从重分别怎么处理？</w:t>
      </w:r>
    </w:p>
  </w:comment>
  <w:comment w:id="4" w:author="任焕君" w:date="2023-05-22T10:16:05Z" w:initials="">
    <w:p>
      <w:pPr>
        <w:pStyle w:val="3"/>
        <w:rPr>
          <w:rFonts w:hint="eastAsia" w:eastAsiaTheme="minorEastAsia"/>
          <w:lang w:eastAsia="zh-CN"/>
        </w:rPr>
      </w:pPr>
      <w:r>
        <w:rPr>
          <w:rFonts w:hint="eastAsia"/>
          <w:lang w:eastAsia="zh-CN"/>
        </w:rPr>
        <w:t>拒不改正的情况，是否还能减轻？</w:t>
      </w:r>
    </w:p>
  </w:comment>
  <w:comment w:id="5" w:author="任焕君" w:date="2023-05-22T10:18:50Z" w:initials="">
    <w:p>
      <w:pPr>
        <w:pStyle w:val="3"/>
        <w:rPr>
          <w:rFonts w:hint="eastAsia" w:eastAsiaTheme="minorEastAsia"/>
          <w:lang w:eastAsia="zh-CN"/>
        </w:rPr>
      </w:pPr>
      <w:r>
        <w:rPr>
          <w:rFonts w:hint="eastAsia"/>
          <w:lang w:eastAsia="zh-CN"/>
        </w:rPr>
        <w:t>对于平台逾期不改的行为，建议不予减轻。</w:t>
      </w:r>
    </w:p>
  </w:comment>
  <w:comment w:id="6" w:author="任焕君" w:date="2023-05-22T10:20:11Z" w:initials="">
    <w:p>
      <w:pPr>
        <w:pStyle w:val="3"/>
        <w:rPr>
          <w:rFonts w:hint="eastAsia" w:eastAsiaTheme="minorEastAsia"/>
          <w:lang w:eastAsia="zh-CN"/>
        </w:rPr>
      </w:pPr>
      <w:r>
        <w:rPr>
          <w:rFonts w:hint="eastAsia"/>
          <w:lang w:eastAsia="zh-CN"/>
        </w:rPr>
        <w:t>不建议对拒不改正的进行减轻。</w:t>
      </w:r>
    </w:p>
  </w:comment>
  <w:comment w:id="7" w:author="任焕君" w:date="2023-05-22T10:24:25Z" w:initials="">
    <w:p>
      <w:pPr>
        <w:pStyle w:val="3"/>
      </w:pPr>
    </w:p>
  </w:comment>
  <w:comment w:id="8" w:author="任焕君" w:date="2023-05-22T10:24:46Z" w:initials="">
    <w:p>
      <w:pPr>
        <w:pStyle w:val="3"/>
      </w:pPr>
      <w:r>
        <w:rPr>
          <w:rFonts w:hint="eastAsia"/>
          <w:sz w:val="21"/>
          <w:lang w:eastAsia="zh-CN"/>
        </w:rPr>
        <w:t>未经批准开展</w:t>
      </w:r>
      <w:r>
        <w:rPr>
          <w:sz w:val="21"/>
        </w:rPr>
        <w:t>对人体具有较高风险的第三类医疗器械临床试验</w:t>
      </w:r>
      <w:r>
        <w:rPr>
          <w:rFonts w:hint="eastAsia"/>
          <w:sz w:val="21"/>
          <w:lang w:eastAsia="zh-CN"/>
        </w:rPr>
        <w:t>，是否适宜减轻？</w:t>
      </w:r>
    </w:p>
  </w:comment>
  <w:comment w:id="9" w:author="任焕君" w:date="2023-05-22T11:28:54Z" w:initials="">
    <w:p>
      <w:pPr>
        <w:pStyle w:val="3"/>
      </w:pPr>
      <w:r>
        <w:rPr>
          <w:rFonts w:hint="eastAsia"/>
          <w:sz w:val="21"/>
          <w:lang w:eastAsia="zh-CN"/>
        </w:rPr>
        <w:t>伪造、变造的不是否可以减轻？</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方正宋体S-超大字符集">
    <w:altName w:val="宋体"/>
    <w:panose1 w:val="02000000000000000000"/>
    <w:charset w:val="86"/>
    <w:family w:val="auto"/>
    <w:pitch w:val="default"/>
    <w:sig w:usb0="00000000" w:usb1="00000000" w:usb2="00000000" w:usb3="00000000" w:csb0="00040000" w:csb1="00000000"/>
  </w:font>
  <w:font w:name="Noto Sans CJK SC">
    <w:altName w:val="宋体"/>
    <w:panose1 w:val="020B0500000000000000"/>
    <w:charset w:val="86"/>
    <w:family w:val="auto"/>
    <w:pitch w:val="default"/>
    <w:sig w:usb0="00000000" w:usb1="00000000" w:usb2="00000016" w:usb3="00000000" w:csb0="602E0107"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7020"/>
      </w:tabs>
      <w:spacing w:line="14" w:lineRule="auto"/>
      <w:rPr>
        <w:sz w:val="20"/>
      </w:rPr>
    </w:pPr>
    <w:r>
      <w:rPr>
        <w:rFonts w:hint="eastAsia"/>
        <w:sz w:val="20"/>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39140" cy="203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39140" cy="203835"/>
                      </a:xfrm>
                      <a:prstGeom prst="rect">
                        <a:avLst/>
                      </a:prstGeom>
                      <a:noFill/>
                      <a:ln>
                        <a:noFill/>
                      </a:ln>
                    </wps:spPr>
                    <wps:txbx>
                      <w:txbxContent>
                        <w:p>
                          <w:pPr>
                            <w:spacing w:before="0" w:line="321" w:lineRule="exact"/>
                            <w:ind w:left="20" w:right="0" w:firstLine="0"/>
                            <w:jc w:val="left"/>
                            <w:rPr>
                              <w:rFonts w:hint="default" w:ascii="宋体" w:hAnsi="宋体" w:eastAsiaTheme="minorEastAsia"/>
                              <w:sz w:val="28"/>
                              <w:lang w:val="en-US" w:eastAsia="zh-CN"/>
                            </w:rPr>
                          </w:pPr>
                        </w:p>
                      </w:txbxContent>
                    </wps:txbx>
                    <wps:bodyPr lIns="0" tIns="0" rIns="0" bIns="0" upright="1"/>
                  </wps:wsp>
                </a:graphicData>
              </a:graphic>
            </wp:anchor>
          </w:drawing>
        </mc:Choice>
        <mc:Fallback>
          <w:pict>
            <v:shape id="_x0000_s1026" o:spid="_x0000_s1026" o:spt="202" type="#_x0000_t202" style="position:absolute;left:0pt;margin-top:0pt;height:16.05pt;width:58.2pt;mso-position-horizontal:center;mso-position-horizontal-relative:margin;z-index:251658240;mso-width-relative:page;mso-height-relative:page;" filled="f" stroked="f" coordsize="21600,21600" o:gfxdata="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PcC+N9QAAAAEAQAADwAAAAAAAAABACAA&#10;AAAiAAAAZHJzL2Rvd25yZXYueG1sUEsBAhQAFAAAAAgAh07iQBDvTgCfAQAAIwMAAA4AAAAAAAAA&#10;AQAgAAAAIwEAAGRycy9lMm9Eb2MueG1sUEsFBgAAAAAGAAYAWQEAADQFAAAAAA==&#10;">
              <v:fill on="f" focussize="0,0"/>
              <v:stroke on="f"/>
              <v:imagedata o:title=""/>
              <o:lock v:ext="edit" aspectratio="f"/>
              <v:textbox inset="0mm,0mm,0mm,0mm">
                <w:txbxContent>
                  <w:p>
                    <w:pPr>
                      <w:spacing w:before="0" w:line="321" w:lineRule="exact"/>
                      <w:ind w:left="20" w:right="0" w:firstLine="0"/>
                      <w:jc w:val="left"/>
                      <w:rPr>
                        <w:rFonts w:hint="default" w:ascii="宋体" w:hAnsi="宋体" w:eastAsiaTheme="minorEastAsia"/>
                        <w:sz w:val="28"/>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45AD2"/>
    <w:multiLevelType w:val="singleLevel"/>
    <w:tmpl w:val="64645AD2"/>
    <w:lvl w:ilvl="0" w:tentative="0">
      <w:start w:val="1"/>
      <w:numFmt w:val="decimal"/>
      <w:suff w:val="nothing"/>
      <w:lvlText w:val="%1."/>
      <w:lvlJc w:val="left"/>
    </w:lvl>
  </w:abstractNum>
  <w:abstractNum w:abstractNumId="1">
    <w:nsid w:val="6465E621"/>
    <w:multiLevelType w:val="singleLevel"/>
    <w:tmpl w:val="6465E62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059C6"/>
    <w:rsid w:val="45E05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56"/>
      <w:ind w:left="195"/>
      <w:outlineLvl w:val="1"/>
    </w:pPr>
    <w:rPr>
      <w:rFonts w:ascii="PMingLiU" w:hAnsi="PMingLiU" w:eastAsia="PMingLiU" w:cs="PMingLiU"/>
      <w:sz w:val="44"/>
      <w:szCs w:val="44"/>
      <w:lang w:val="zh-CN" w:eastAsia="zh-CN" w:bidi="zh-CN"/>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uiPriority w:val="0"/>
    <w:pPr>
      <w:spacing w:before="0" w:after="140" w:line="276" w:lineRule="auto"/>
    </w:pPr>
  </w:style>
  <w:style w:type="paragraph" w:styleId="5">
    <w:name w:val="footer"/>
    <w:basedOn w:val="1"/>
    <w:uiPriority w:val="0"/>
    <w:pPr>
      <w:tabs>
        <w:tab w:val="center" w:pos="4153"/>
        <w:tab w:val="right" w:pos="8306"/>
      </w:tabs>
      <w:snapToGrid w:val="0"/>
      <w:jc w:val="left"/>
    </w:pPr>
    <w:rPr>
      <w:sz w:val="18"/>
    </w:rPr>
  </w:style>
  <w:style w:type="paragraph" w:customStyle="1" w:styleId="8">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comments" Target="comment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2023-06-13T07:33:00Z</dcterms:created>
  <dc:creator>Administrator</dc:creator>
  <cp:lastModifiedBy>Administrator</cp:lastModifiedBy>
  <dcterms:modified xsi:type="dcterms:W3CDTF">2023-06-13T07:34:35Z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