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DC284">
      <w:pPr>
        <w:spacing w:beforeLines="0" w:afterLines="0" w:line="600" w:lineRule="exact"/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  <w:t>附件</w:t>
      </w:r>
    </w:p>
    <w:p w14:paraId="07966D72">
      <w:pPr>
        <w:spacing w:beforeLines="0" w:afterLines="0" w:line="400" w:lineRule="exact"/>
        <w:jc w:val="center"/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</w:pPr>
    </w:p>
    <w:p w14:paraId="563FE41B">
      <w:pPr>
        <w:spacing w:before="0" w:beforeLines="0" w:after="0" w:afterLines="0"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国家药品监督管理局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年药品检验</w:t>
      </w:r>
    </w:p>
    <w:p w14:paraId="2217CBEF">
      <w:pPr>
        <w:spacing w:before="0" w:beforeLines="0" w:after="0" w:afterLines="0"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能力验证计划</w:t>
      </w:r>
    </w:p>
    <w:p w14:paraId="6E14C239">
      <w:pPr>
        <w:spacing w:before="0" w:beforeLines="0" w:after="0" w:afterLines="0"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477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2269"/>
        <w:gridCol w:w="1932"/>
        <w:gridCol w:w="2724"/>
        <w:gridCol w:w="1007"/>
      </w:tblGrid>
      <w:tr w14:paraId="38357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tblHeader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70A36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3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A34ED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1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9E512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1"/>
                <w:szCs w:val="21"/>
              </w:rPr>
              <w:t>测试/测量项目</w:t>
            </w:r>
          </w:p>
        </w:tc>
        <w:tc>
          <w:tcPr>
            <w:tcW w:w="15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36F8F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1"/>
                <w:szCs w:val="21"/>
              </w:rPr>
              <w:t>可能涉及的测试/</w:t>
            </w:r>
          </w:p>
          <w:p w14:paraId="117D24A7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1"/>
                <w:szCs w:val="21"/>
              </w:rPr>
              <w:t>测量方法</w:t>
            </w:r>
          </w:p>
        </w:tc>
        <w:tc>
          <w:tcPr>
            <w:tcW w:w="5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6DBC0">
            <w:pPr>
              <w:widowControl/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14:paraId="79204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87DC7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99E33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胖大海中黄曲霉毒素B1残留量测定</w:t>
            </w:r>
          </w:p>
        </w:tc>
        <w:tc>
          <w:tcPr>
            <w:tcW w:w="1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6D6E5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黄曲霉毒素B1</w:t>
            </w:r>
          </w:p>
        </w:tc>
        <w:tc>
          <w:tcPr>
            <w:tcW w:w="1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4BA02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《中国药典》2020年版四部2351真菌毒素测定法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EBD1E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507D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2B423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1AC3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放射性药品中Lu-177活度测定</w:t>
            </w:r>
          </w:p>
        </w:tc>
        <w:tc>
          <w:tcPr>
            <w:tcW w:w="1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07989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放射性活度</w:t>
            </w:r>
          </w:p>
        </w:tc>
        <w:tc>
          <w:tcPr>
            <w:tcW w:w="1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F1134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《中国药典》2020年版四部1401放射性药品检定法放射性活度测定法1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5EA91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40887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4D3DB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FACC2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药品比旋度测定能力验证计划</w:t>
            </w:r>
          </w:p>
        </w:tc>
        <w:tc>
          <w:tcPr>
            <w:tcW w:w="1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797F3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比旋度</w:t>
            </w:r>
          </w:p>
        </w:tc>
        <w:tc>
          <w:tcPr>
            <w:tcW w:w="1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3BCF0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《中国药典》2020年版四部通则0621旋光度测定法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4402B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8244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4526F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BC655BB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塑料膜的透湿性</w:t>
            </w:r>
          </w:p>
        </w:tc>
        <w:tc>
          <w:tcPr>
            <w:tcW w:w="1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94D6C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水蒸气透过量</w:t>
            </w:r>
          </w:p>
        </w:tc>
        <w:tc>
          <w:tcPr>
            <w:tcW w:w="1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15C5B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《中国药典》2020年版四部通则4010水蒸气透过量测定法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14114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BB72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A6501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3D07C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流感疫苗血凝素含量测定能力验证</w:t>
            </w:r>
          </w:p>
        </w:tc>
        <w:tc>
          <w:tcPr>
            <w:tcW w:w="1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22F52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血凝素含量</w:t>
            </w:r>
          </w:p>
        </w:tc>
        <w:tc>
          <w:tcPr>
            <w:tcW w:w="1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2908F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《中国药典》2020年版三部流感病毒裂解疫苗各论，单向免疫扩散试验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AE3AD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7EDF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A93F7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879B2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葡萄糖酸锌含量测定能力验证计划</w:t>
            </w:r>
          </w:p>
        </w:tc>
        <w:tc>
          <w:tcPr>
            <w:tcW w:w="1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B3D0A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含量测定</w:t>
            </w:r>
          </w:p>
        </w:tc>
        <w:tc>
          <w:tcPr>
            <w:tcW w:w="1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731EF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《中国药典》2020年版二部葡萄糖酸锌项下 含量测定；一/二/四部 容量分析法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956D3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525A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15083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BBEE8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人血清中葡萄糖含量检测能力验证</w:t>
            </w:r>
          </w:p>
        </w:tc>
        <w:tc>
          <w:tcPr>
            <w:tcW w:w="1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6BFBA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人血清中葡萄糖检测准确度</w:t>
            </w:r>
          </w:p>
        </w:tc>
        <w:tc>
          <w:tcPr>
            <w:tcW w:w="1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31B64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葡萄糖测定试剂盒（酶法）YY/T 1200-2024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E07AA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02F52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240CF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FE2FD33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爬电距离和电气间隙试验</w:t>
            </w:r>
          </w:p>
        </w:tc>
        <w:tc>
          <w:tcPr>
            <w:tcW w:w="1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D97AD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爬电距离和电气间隙</w:t>
            </w:r>
          </w:p>
        </w:tc>
        <w:tc>
          <w:tcPr>
            <w:tcW w:w="1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56F81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医用电气设备 第1部分：基本安全和基本性能的通用要求GB 9706.1-2020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A525A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153F9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1BEEC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FA7C064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化妆品霉菌和酵母菌计数</w:t>
            </w:r>
          </w:p>
        </w:tc>
        <w:tc>
          <w:tcPr>
            <w:tcW w:w="1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66D14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化妆品霉菌和酵母菌计数</w:t>
            </w:r>
          </w:p>
        </w:tc>
        <w:tc>
          <w:tcPr>
            <w:tcW w:w="15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14152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《化妆品安全技术规范》（2015年版） 第五章微生物检验方法 6 霉菌和酵母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检验方法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594DE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D8E5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28C19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3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51DE8A2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化妆品中二噁烷的测定</w:t>
            </w:r>
          </w:p>
        </w:tc>
        <w:tc>
          <w:tcPr>
            <w:tcW w:w="11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7EEC8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二噁烷</w:t>
            </w:r>
          </w:p>
        </w:tc>
        <w:tc>
          <w:tcPr>
            <w:tcW w:w="15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95854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《化妆品安全技术规范》（2015年版）第四章 理化检验方法 2.19 化妆品中二噁烷的检验方法</w:t>
            </w:r>
          </w:p>
        </w:tc>
        <w:tc>
          <w:tcPr>
            <w:tcW w:w="5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1DE1A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2FAF9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002CB"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3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62DEDEB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血清生化指标检测能力验证</w:t>
            </w:r>
          </w:p>
        </w:tc>
        <w:tc>
          <w:tcPr>
            <w:tcW w:w="11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F046C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谷丙转氨酶（ALT）；谷草转氨酶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AST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；碱性磷酸酶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ALP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；肌酸磷酸激酶（CK）；γ-谷氨酰转肽酶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GGT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），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乳酸脱氢酶（LDH）；总胆红素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TBIL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；尿素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UREA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；肌酐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CRE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；葡萄糖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GLU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；总胆固醇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CHO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；甘油三脂（TG）；总蛋白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TP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；白蛋白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ALB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；氯离子（C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perscript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）；钾离子（K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</w:rPr>
              <w:t>+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）和钠离子（Na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superscript"/>
              </w:rPr>
              <w:t>+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）等17项指标</w:t>
            </w:r>
          </w:p>
        </w:tc>
        <w:tc>
          <w:tcPr>
            <w:tcW w:w="157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F857F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国际临床化学联合会 IFCC 2002/2 Vol.40,631-634</w:t>
            </w:r>
          </w:p>
        </w:tc>
        <w:tc>
          <w:tcPr>
            <w:tcW w:w="5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6C330">
            <w:pPr>
              <w:widowControl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</w:tbl>
    <w:p w14:paraId="6555F0F5">
      <w:pPr>
        <w:spacing w:line="20" w:lineRule="exact"/>
        <w:rPr>
          <w:rFonts w:hint="eastAsia" w:ascii="仿宋_GB2312" w:eastAsia="仿宋_GB2312"/>
          <w:sz w:val="28"/>
          <w:szCs w:val="28"/>
          <w:lang w:eastAsia="zh-CN"/>
        </w:rPr>
      </w:pPr>
    </w:p>
    <w:p w14:paraId="5636CFBA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531" w:bottom="1814" w:left="1531" w:header="851" w:footer="1361" w:gutter="0"/>
      <w:pgNumType w:fmt="decimal" w:start="1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3F9E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3E6B8E">
                          <w:pPr>
                            <w:pStyle w:val="2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3E6B8E">
                    <w:pPr>
                      <w:pStyle w:val="2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F619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8C32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68C32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E26A9"/>
    <w:rsid w:val="3C1E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2025-01-23T02:26:00Z</dcterms:created>
  <dc:creator>新祺</dc:creator>
  <cp:lastModifiedBy>新祺</cp:lastModifiedBy>
  <dcterms:modified xsi:type="dcterms:W3CDTF">2025-01-23T02:27:09Z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AA4E3CBB67D74BABBF0686CE6A427129_11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