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附表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1-</w:t>
      </w:r>
      <w:r>
        <w:rPr>
          <w:rFonts w:hint="default" w:ascii="Times New Roman" w:hAnsi="Times New Roman" w:eastAsia="黑体" w:cs="Times New Roman"/>
          <w:sz w:val="32"/>
          <w:szCs w:val="32"/>
          <w:lang w:val="en-US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血吸虫病消除标准要求及工作指标释义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68"/>
        <w:gridCol w:w="1480"/>
        <w:gridCol w:w="1683"/>
        <w:gridCol w:w="86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outlineLvl w:val="0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outlineLvl w:val="0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工作指标及相关标准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outlineLvl w:val="0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分子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outlineLvl w:val="0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分母</w:t>
            </w:r>
          </w:p>
        </w:tc>
        <w:tc>
          <w:tcPr>
            <w:tcW w:w="8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outlineLvl w:val="0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疫情控制标准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8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应同时符合下列各项：居民血吸虫感染率低于5％；家畜血吸虫感染率低于5％；不出现急性血吸虫病暴发。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传播控制标准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8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应同时符合下列各项：居民血吸虫感染率低于1％；家畜血吸虫感染率低于1％；不出现当地感染的急性血吸虫病病人；连续2年以上查不到感染性钉螺。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传播阻断标准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8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应同时符合下列各项：连续5年未发现当地感染的血吸虫病病人；连续5年未发现当地感染的血吸虫病病畜；连续5年以上查不到感染性钉螺；以县为单位，建立和健全敏感、有效的血吸虫病监测体系。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消除标准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8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达到传播阻断要求后，连续5年未发现当地感染的血吸虫病病人、病畜和感染性钉螺。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人群血检阳性者粪检受检率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血检阳性者粪检人数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血检阳性人数</w:t>
            </w:r>
          </w:p>
        </w:tc>
        <w:tc>
          <w:tcPr>
            <w:tcW w:w="8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血检阳性人数：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血吸虫病流行区开展血吸虫病血清学检查且结果为阳性的人数。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血检阳性者粪检人数：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血清学检查阳性的人群中进行血吸虫病粪便检查的人数。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重点有螺环境禁牧率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禁牧的重点有螺环境处数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ab/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重点有螺环境处数</w:t>
            </w:r>
          </w:p>
        </w:tc>
        <w:tc>
          <w:tcPr>
            <w:tcW w:w="8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重点有螺环境处数：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人畜可及且有钉螺孳生的环境数。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  <w:t>禁牧的重点有螺环境数：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落实禁牧措施的重点有螺环境数。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重点有螺环境灭螺覆盖率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重点有螺环境实际灭螺面积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应灭螺的重点有螺环境钉螺面积</w:t>
            </w:r>
          </w:p>
        </w:tc>
        <w:tc>
          <w:tcPr>
            <w:tcW w:w="8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应灭螺的重点有螺环境钉螺面积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人畜可及且适于灭螺的有螺环境的钉螺实有面积。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重点有螺环境实际灭螺面积：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应灭螺的重点有螺环境实有钉螺面积中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实际开展灭螺的面积。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钉螺孳生可疑环境建档率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适宜钉螺孳生的可疑环境数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已建档环境数</w:t>
            </w:r>
          </w:p>
        </w:tc>
        <w:tc>
          <w:tcPr>
            <w:tcW w:w="8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>适宜钉螺孳生的可疑环境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：血吸虫病原流行村（行政村）中，适宜钉螺孳生的环境，如滩地、荒地、湿地、苗圃、竹林、小树林地、水渠水沟、田沟（毛渠）田基等。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lang w:val="en-US" w:eastAsia="zh-CN"/>
              </w:rPr>
              <w:t>已建档环境数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：按照广东省疾控中心《关于进一步加强我省血吸虫病防控工作的通知》（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粤疾控〔2019〕59 号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）的相关要求规范建档的环境数。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血吸虫病病人随访率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随访血吸虫病病人数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在册血吸虫病病人数</w:t>
            </w:r>
          </w:p>
        </w:tc>
        <w:tc>
          <w:tcPr>
            <w:tcW w:w="8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在册血吸虫病病人数：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登记在册的血吸虫病病人数，包括急性、慢性及晚期病人数。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随访血吸虫病病人数：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通过电话、短信、登门、检查等方式开展随访的血吸虫病病人数。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监测任务完成率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监测任务完成数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监测任务数</w:t>
            </w:r>
          </w:p>
        </w:tc>
        <w:tc>
          <w:tcPr>
            <w:tcW w:w="8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监测任务点数：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根据国家监测工作方案，应开展监测的监测点数。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监测任务完成点数：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按要求完成监测任务的点数。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风险处置率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处置风险环境数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风险环境数</w:t>
            </w:r>
          </w:p>
        </w:tc>
        <w:tc>
          <w:tcPr>
            <w:tcW w:w="8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风险环境数：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血吸虫病流行或消除地区，出现下列情况之一视为风险环境：①发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现血吸虫病确诊病例；②发现血吸虫粪检阳性病畜；③发现感染性钉螺；④水体中监测到血吸虫尾蚴；⑤发现含有血吸虫虫卵或者毛蚴的野粪；⑥其他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经专家会商、Delphi评估等认为存在造成血吸虫病疫情反弹或回升风险的情况。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处置风险环境数：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及时开展流调并规范、有效处置风险因素的风险环境数。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重点人群血防知识知晓率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回答正确题目总数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应回答题目总数</w:t>
            </w:r>
          </w:p>
        </w:tc>
        <w:tc>
          <w:tcPr>
            <w:tcW w:w="8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应回答题目总数：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被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调查的重点人群（渔船民、农民及中小学生等）应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回答问卷题目的总数。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回答正确题目数：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被调查的重点人群（渔船民、农民及中小学生等）正确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回答问卷题目的总数。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血防人员培训覆盖率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接受培训血防人员数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在岗血防人员数</w:t>
            </w:r>
          </w:p>
        </w:tc>
        <w:tc>
          <w:tcPr>
            <w:tcW w:w="8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在岗血防人员数：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在岗的血吸虫病防治工作人员数。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接受培训血防人员数：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接受上级或本级组织的各类血吸虫病防治相关知识、技能培训的血吸虫病防治工作人员数。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ZDhmMWE0ZDljYWNmYzBkOTU5M2RhMDY0NDJmMjIifQ=="/>
  </w:docVars>
  <w:rsids>
    <w:rsidRoot w:val="78953CA6"/>
    <w:rsid w:val="3BFA1DF4"/>
    <w:rsid w:val="78953CA6"/>
    <w:rsid w:val="7CEE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snapToGrid w:val="0"/>
      <w:kern w:val="0"/>
      <w:sz w:val="3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2023-11-27T01:00:00Z</dcterms:created>
  <dc:creator>西门</dc:creator>
  <cp:lastModifiedBy>西门</cp:lastModifiedBy>
  <dcterms:modified xsi:type="dcterms:W3CDTF">2023-11-27T01:04:15Z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0706B0F2DA7146D79DB4077C17E60130_13</vt:lpwstr>
  </property>
</Properties>
</file>