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D2D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Cs/>
          <w:sz w:val="44"/>
          <w:szCs w:val="44"/>
          <w:lang w:val="en-US" w:eastAsia="zh-CN"/>
        </w:rPr>
      </w:pPr>
      <w:bookmarkStart w:id="137" w:name="_GoBack"/>
      <w:r>
        <w:rPr>
          <w:rFonts w:hint="eastAsia" w:ascii="Times New Roman" w:hAnsi="Times New Roman" w:eastAsia="方正小标宋简体" w:cs="方正小标宋简体"/>
          <w:bCs/>
          <w:sz w:val="44"/>
          <w:szCs w:val="44"/>
        </w:rPr>
        <w:t>市民政局关于</w:t>
      </w:r>
      <w:r>
        <w:rPr>
          <w:rFonts w:hint="eastAsia" w:ascii="Times New Roman" w:hAnsi="Times New Roman" w:eastAsia="方正小标宋简体" w:cs="方正小标宋简体"/>
          <w:bCs/>
          <w:sz w:val="44"/>
          <w:szCs w:val="44"/>
          <w:lang w:val="en-US" w:eastAsia="zh-CN"/>
        </w:rPr>
        <w:t>印发《天津市</w:t>
      </w:r>
    </w:p>
    <w:p w14:paraId="1A4E2DD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Cs/>
          <w:sz w:val="44"/>
          <w:szCs w:val="44"/>
          <w:lang w:eastAsia="zh-CN"/>
        </w:rPr>
      </w:pPr>
      <w:r>
        <w:rPr>
          <w:rFonts w:hint="eastAsia" w:ascii="Times New Roman" w:hAnsi="Times New Roman" w:eastAsia="方正小标宋简体" w:cs="方正小标宋简体"/>
          <w:bCs/>
          <w:sz w:val="44"/>
          <w:szCs w:val="44"/>
          <w:lang w:val="en-US" w:eastAsia="zh-CN"/>
        </w:rPr>
        <w:t>民政事业发展“十五五”规划》的通知</w:t>
      </w:r>
    </w:p>
    <w:bookmarkEnd w:id="137"/>
    <w:p w14:paraId="38C54F0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_GBK"/>
          <w:bCs/>
          <w:sz w:val="32"/>
          <w:szCs w:val="32"/>
        </w:rPr>
      </w:pPr>
    </w:p>
    <w:p w14:paraId="3C11084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各市级有关单位</w:t>
      </w:r>
      <w:r>
        <w:rPr>
          <w:rFonts w:hint="default" w:ascii="Times New Roman" w:hAnsi="Times New Roman" w:eastAsia="仿宋_GB2312" w:cs="Times New Roman"/>
          <w:sz w:val="32"/>
          <w:szCs w:val="32"/>
        </w:rPr>
        <w:t>：</w:t>
      </w:r>
    </w:p>
    <w:p w14:paraId="183C013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《天津市民政事业发展</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十五五</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规划》已经市</w:t>
      </w:r>
      <w:r>
        <w:rPr>
          <w:rFonts w:hint="eastAsia" w:ascii="Times New Roman" w:hAnsi="Times New Roman" w:eastAsia="仿宋_GB2312" w:cs="Times New Roman"/>
          <w:sz w:val="32"/>
          <w:szCs w:val="32"/>
          <w:lang w:val="en-US" w:eastAsia="zh-CN"/>
        </w:rPr>
        <w:t>人民政府</w:t>
      </w:r>
      <w:r>
        <w:rPr>
          <w:rFonts w:hint="default" w:ascii="Times New Roman" w:hAnsi="Times New Roman" w:eastAsia="仿宋_GB2312" w:cs="Times New Roman"/>
          <w:sz w:val="32"/>
          <w:szCs w:val="32"/>
          <w:lang w:val="en-US" w:eastAsia="zh-CN"/>
        </w:rPr>
        <w:t>同意，现予以印发。请结合工作实际，抓好贯彻落实。</w:t>
      </w:r>
    </w:p>
    <w:p w14:paraId="47C14BAD">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sz w:val="32"/>
          <w:szCs w:val="32"/>
        </w:rPr>
      </w:pPr>
    </w:p>
    <w:p w14:paraId="6C7F71CB">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仿宋_GB2312" w:cs="Times New Roman"/>
          <w:sz w:val="32"/>
          <w:szCs w:val="32"/>
        </w:rPr>
      </w:pPr>
    </w:p>
    <w:p w14:paraId="0C5AC581">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仿宋_GB2312" w:cs="Times New Roman"/>
          <w:sz w:val="32"/>
          <w:szCs w:val="32"/>
        </w:rPr>
      </w:pPr>
    </w:p>
    <w:p w14:paraId="083C852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6235E3D">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日</w:t>
      </w:r>
    </w:p>
    <w:p w14:paraId="0FFFEA09">
      <w:pPr>
        <w:keepNext w:val="0"/>
        <w:keepLines w:val="0"/>
        <w:pageBreakBefore w:val="0"/>
        <w:kinsoku/>
        <w:wordWrap/>
        <w:overflowPunct/>
        <w:topLinePunct w:val="0"/>
        <w:autoSpaceDE/>
        <w:autoSpaceDN/>
        <w:bidi w:val="0"/>
        <w:adjustRightInd w:val="0"/>
        <w:snapToGrid/>
        <w:spacing w:line="56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（此件</w:t>
      </w:r>
      <w:r>
        <w:rPr>
          <w:rFonts w:hint="default" w:ascii="Times New Roman" w:hAnsi="Times New Roman" w:eastAsia="仿宋_GB2312" w:cs="Times New Roman"/>
          <w:sz w:val="32"/>
          <w:szCs w:val="32"/>
          <w:lang w:eastAsia="zh-CN"/>
        </w:rPr>
        <w:t>主动</w:t>
      </w:r>
      <w:r>
        <w:rPr>
          <w:rFonts w:hint="default" w:ascii="Times New Roman" w:hAnsi="Times New Roman" w:eastAsia="仿宋_GB2312" w:cs="Times New Roman"/>
          <w:sz w:val="32"/>
          <w:szCs w:val="32"/>
        </w:rPr>
        <w:t>公开）</w:t>
      </w:r>
    </w:p>
    <w:p w14:paraId="7A19C6F2">
      <w:pPr>
        <w:pStyle w:val="5"/>
        <w:widowControl/>
        <w:ind w:firstLineChars="0"/>
        <w:rPr>
          <w:rFonts w:eastAsia="方正公文小标宋" w:cs="Times New Roman"/>
          <w:bCs/>
          <w:kern w:val="0"/>
          <w:sz w:val="44"/>
          <w:szCs w:val="44"/>
        </w:rPr>
      </w:pPr>
      <w:r>
        <w:rPr>
          <w:rFonts w:hint="eastAsia" w:ascii="黑体" w:hAnsi="黑体" w:eastAsia="黑体" w:cs="黑体"/>
          <w:color w:val="000000"/>
          <w:kern w:val="0"/>
          <w:sz w:val="32"/>
          <w:szCs w:val="32"/>
        </w:rPr>
        <w:br w:type="page"/>
      </w:r>
      <w:r>
        <w:rPr>
          <w:rFonts w:cs="Times New Roman"/>
          <w:kern w:val="0"/>
        </w:rPr>
        <w:t>天津市民政事业发展</w:t>
      </w:r>
      <w:r>
        <w:rPr>
          <w:rFonts w:hint="eastAsia" w:cs="Times New Roman"/>
          <w:kern w:val="0"/>
        </w:rPr>
        <w:t>“十五五”</w:t>
      </w:r>
      <w:r>
        <w:rPr>
          <w:rFonts w:cs="Times New Roman"/>
          <w:kern w:val="0"/>
        </w:rPr>
        <w:t>规划</w:t>
      </w:r>
    </w:p>
    <w:p w14:paraId="026AED7B">
      <w:pPr>
        <w:widowControl/>
        <w:spacing w:line="560" w:lineRule="exact"/>
        <w:ind w:firstLine="640" w:firstLineChars="200"/>
        <w:jc w:val="center"/>
        <w:rPr>
          <w:rFonts w:ascii="Times New Roman" w:hAnsi="Times New Roman" w:eastAsia="方正楷体_GB2312" w:cs="Times New Roman"/>
          <w:bCs/>
          <w:color w:val="000000"/>
          <w:kern w:val="0"/>
          <w:sz w:val="32"/>
          <w:szCs w:val="32"/>
        </w:rPr>
      </w:pPr>
    </w:p>
    <w:p w14:paraId="24AA81B5">
      <w:pPr>
        <w:pStyle w:val="3"/>
        <w:widowControl/>
        <w:spacing w:before="0" w:after="0"/>
        <w:rPr>
          <w:rFonts w:cs="Times New Roman"/>
          <w:kern w:val="0"/>
        </w:rPr>
      </w:pPr>
      <w:bookmarkStart w:id="0" w:name="_Toc231311695"/>
      <w:bookmarkStart w:id="1" w:name="_Toc229749837"/>
      <w:bookmarkStart w:id="2" w:name="_Toc231220252"/>
      <w:bookmarkStart w:id="3" w:name="_Toc231220790"/>
      <w:r>
        <w:rPr>
          <w:rFonts w:cs="Times New Roman"/>
          <w:kern w:val="0"/>
        </w:rPr>
        <w:t>序  言</w:t>
      </w:r>
      <w:bookmarkEnd w:id="0"/>
      <w:bookmarkEnd w:id="1"/>
      <w:bookmarkEnd w:id="2"/>
      <w:bookmarkEnd w:id="3"/>
    </w:p>
    <w:p w14:paraId="53845F38">
      <w:pPr>
        <w:widowControl/>
        <w:spacing w:line="560" w:lineRule="exact"/>
        <w:ind w:firstLine="640" w:firstLineChars="200"/>
        <w:rPr>
          <w:rFonts w:hint="eastAsia" w:ascii="仿宋_GB2312" w:hAnsi="仿宋_GB2312" w:eastAsia="仿宋_GB2312" w:cs="仿宋_GB2312"/>
          <w:color w:val="000000"/>
          <w:kern w:val="0"/>
          <w:sz w:val="32"/>
          <w:szCs w:val="22"/>
        </w:rPr>
      </w:pPr>
    </w:p>
    <w:p w14:paraId="7DD5F97E">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方正仿宋_GB2312" w:hAnsi="方正仿宋_GB2312" w:eastAsia="仿宋_GB2312" w:cs="方正仿宋_GB2312"/>
          <w:color w:val="000000"/>
          <w:kern w:val="0"/>
          <w:sz w:val="32"/>
          <w:szCs w:val="22"/>
        </w:rPr>
        <w:t>民政工作关系民生、连着民心。党的十八大以来，以习近平同志为核心的党中央从战略和全局高度加强党对民政工作的领导，坚持以人民为中心，加强普惠性、基础性、兜底性民生建设，解决好人民最关心最直接最现实的利益问题，推动民政事业持续健康发展。“十五五”时期</w:t>
      </w:r>
      <w:r>
        <w:rPr>
          <w:rFonts w:hint="eastAsia" w:ascii="仿宋_GB2312" w:hAnsi="仿宋_GB2312" w:eastAsia="仿宋_GB2312" w:cs="仿宋_GB2312"/>
          <w:color w:val="000000"/>
          <w:kern w:val="0"/>
          <w:sz w:val="32"/>
          <w:szCs w:val="22"/>
        </w:rPr>
        <w:t>（</w:t>
      </w:r>
      <w:r>
        <w:rPr>
          <w:rFonts w:hint="default" w:ascii="Times New Roman" w:hAnsi="Times New Roman" w:eastAsia="仿宋_GB2312" w:cs="Times New Roman"/>
          <w:color w:val="000000"/>
          <w:kern w:val="0"/>
          <w:sz w:val="32"/>
          <w:szCs w:val="22"/>
        </w:rPr>
        <w:t>2026—2030</w:t>
      </w:r>
      <w:r>
        <w:rPr>
          <w:rFonts w:hint="eastAsia" w:ascii="方正仿宋_GB2312" w:hAnsi="方正仿宋_GB2312" w:eastAsia="仿宋_GB2312" w:cs="方正仿宋_GB2312"/>
          <w:color w:val="000000"/>
          <w:kern w:val="0"/>
          <w:sz w:val="32"/>
          <w:szCs w:val="22"/>
        </w:rPr>
        <w:t>年</w:t>
      </w:r>
      <w:r>
        <w:rPr>
          <w:rFonts w:hint="eastAsia" w:ascii="仿宋_GB2312" w:hAnsi="仿宋_GB2312" w:eastAsia="仿宋_GB2312" w:cs="仿宋_GB2312"/>
          <w:color w:val="000000"/>
          <w:kern w:val="0"/>
          <w:sz w:val="32"/>
          <w:szCs w:val="22"/>
        </w:rPr>
        <w:t>）</w:t>
      </w:r>
      <w:r>
        <w:rPr>
          <w:rFonts w:hint="eastAsia" w:ascii="方正仿宋_GB2312" w:hAnsi="方正仿宋_GB2312" w:eastAsia="仿宋_GB2312" w:cs="方正仿宋_GB2312"/>
          <w:color w:val="000000"/>
          <w:kern w:val="0"/>
          <w:sz w:val="32"/>
          <w:szCs w:val="22"/>
        </w:rPr>
        <w:t>是天津市基本建成社会主义现代化大都市、奋力谱写中国式现代化天津篇章的关键时期。为明确“十五五”时期天津民政事业发展的主要目标任务，着力构建与社会主义现代化大都市相匹配的民政服务保障体系，增进民生福祉、提升全市人民获得感</w:t>
      </w:r>
      <w:r>
        <w:rPr>
          <w:rFonts w:hint="eastAsia" w:ascii="方正仿宋_GB2312" w:hAnsi="方正仿宋_GB2312" w:eastAsia="仿宋_GB2312" w:cs="方正仿宋_GB2312"/>
          <w:color w:val="000000"/>
          <w:kern w:val="0"/>
          <w:sz w:val="32"/>
          <w:szCs w:val="22"/>
          <w:lang w:eastAsia="zh-CN"/>
        </w:rPr>
        <w:t>、</w:t>
      </w:r>
      <w:r>
        <w:rPr>
          <w:rFonts w:hint="eastAsia" w:ascii="方正仿宋_GB2312" w:hAnsi="方正仿宋_GB2312" w:eastAsia="仿宋_GB2312" w:cs="方正仿宋_GB2312"/>
          <w:color w:val="000000"/>
          <w:kern w:val="0"/>
          <w:sz w:val="32"/>
          <w:szCs w:val="22"/>
        </w:rPr>
        <w:t>幸福感</w:t>
      </w:r>
      <w:r>
        <w:rPr>
          <w:rFonts w:hint="eastAsia" w:ascii="方正仿宋_GB2312" w:hAnsi="方正仿宋_GB2312" w:eastAsia="仿宋_GB2312" w:cs="方正仿宋_GB2312"/>
          <w:color w:val="000000"/>
          <w:kern w:val="0"/>
          <w:sz w:val="32"/>
          <w:szCs w:val="22"/>
          <w:lang w:eastAsia="zh-CN"/>
        </w:rPr>
        <w:t>、</w:t>
      </w:r>
      <w:r>
        <w:rPr>
          <w:rFonts w:hint="eastAsia" w:ascii="方正仿宋_GB2312" w:hAnsi="方正仿宋_GB2312" w:eastAsia="仿宋_GB2312" w:cs="方正仿宋_GB2312"/>
          <w:color w:val="000000"/>
          <w:kern w:val="0"/>
          <w:sz w:val="32"/>
          <w:szCs w:val="22"/>
        </w:rPr>
        <w:t>安全感，依据《中共中央关于制定国民经济和社会发展第十五个五年规划的建议》《中华人民共和国国民经济和社会发展第十五个五年规划纲要》《民政事业发展“十五五”规划》《中共天津市委关于制定天津市国民经济和社会发展第十五个五年规划的建议》《天津市国民经济和社会发展第十五个五年规划纲要》，制定本规划。</w:t>
      </w:r>
    </w:p>
    <w:p w14:paraId="72FD8ABE">
      <w:pPr>
        <w:pStyle w:val="2"/>
        <w:keepNext/>
        <w:keepLines w:val="0"/>
        <w:pageBreakBefore w:val="0"/>
        <w:widowControl/>
        <w:kinsoku/>
        <w:wordWrap/>
        <w:overflowPunct/>
        <w:topLinePunct w:val="0"/>
        <w:autoSpaceDE/>
        <w:autoSpaceDN/>
        <w:bidi w:val="0"/>
        <w:adjustRightInd/>
        <w:snapToGrid/>
        <w:spacing w:before="0" w:after="0" w:line="560" w:lineRule="exact"/>
        <w:textAlignment w:val="auto"/>
        <w:rPr>
          <w:rFonts w:hint="eastAsia" w:hAnsi="方正小标宋简体" w:cs="方正小标宋简体"/>
          <w:kern w:val="0"/>
          <w:szCs w:val="32"/>
        </w:rPr>
      </w:pPr>
      <w:r>
        <w:rPr>
          <w:rFonts w:eastAsia="楷体_GB2312" w:cs="Times New Roman"/>
          <w:kern w:val="0"/>
        </w:rPr>
        <w:br w:type="page"/>
      </w:r>
      <w:bookmarkStart w:id="4" w:name="_Toc231311696"/>
      <w:r>
        <w:rPr>
          <w:rFonts w:hint="eastAsia" w:hAnsi="方正小标宋简体" w:cs="方正小标宋简体"/>
          <w:kern w:val="0"/>
          <w:szCs w:val="32"/>
        </w:rPr>
        <w:t>第一章</w:t>
      </w:r>
      <w:r>
        <w:rPr>
          <w:rFonts w:hint="eastAsia" w:hAnsi="方正小标宋简体" w:cs="方正小标宋简体"/>
          <w:kern w:val="0"/>
          <w:sz w:val="32"/>
          <w:szCs w:val="32"/>
        </w:rPr>
        <w:t xml:space="preserve">  </w:t>
      </w:r>
      <w:r>
        <w:rPr>
          <w:rFonts w:hint="eastAsia" w:hAnsi="方正小标宋简体" w:cs="方正小标宋简体"/>
          <w:kern w:val="0"/>
          <w:szCs w:val="32"/>
        </w:rPr>
        <w:t>“十五五”时期民政事业发展基础</w:t>
      </w:r>
    </w:p>
    <w:p w14:paraId="7FE98C30">
      <w:pPr>
        <w:pStyle w:val="2"/>
        <w:keepNext/>
        <w:keepLines w:val="0"/>
        <w:pageBreakBefore w:val="0"/>
        <w:widowControl/>
        <w:kinsoku/>
        <w:wordWrap/>
        <w:overflowPunct/>
        <w:topLinePunct w:val="0"/>
        <w:autoSpaceDE/>
        <w:autoSpaceDN/>
        <w:bidi w:val="0"/>
        <w:adjustRightInd/>
        <w:snapToGrid/>
        <w:spacing w:before="0" w:after="0" w:line="560" w:lineRule="exact"/>
        <w:textAlignment w:val="auto"/>
        <w:rPr>
          <w:rFonts w:hint="eastAsia" w:hAnsi="方正小标宋简体" w:cs="方正小标宋简体"/>
          <w:kern w:val="0"/>
          <w:szCs w:val="32"/>
        </w:rPr>
      </w:pPr>
      <w:r>
        <w:rPr>
          <w:rFonts w:hint="eastAsia" w:hAnsi="方正小标宋简体" w:cs="方正小标宋简体"/>
          <w:kern w:val="0"/>
          <w:szCs w:val="32"/>
        </w:rPr>
        <w:t>和总体目标</w:t>
      </w:r>
      <w:bookmarkEnd w:id="4"/>
    </w:p>
    <w:p w14:paraId="5F78BA08">
      <w:pPr>
        <w:widowControl/>
        <w:spacing w:line="560" w:lineRule="exact"/>
        <w:ind w:firstLine="0" w:firstLineChars="0"/>
        <w:rPr>
          <w:rFonts w:ascii="Times New Roman" w:hAnsi="Times New Roman" w:eastAsia="仿宋" w:cs="Times New Roman"/>
          <w:color w:val="000000"/>
          <w:kern w:val="0"/>
          <w:sz w:val="32"/>
          <w:szCs w:val="22"/>
        </w:rPr>
      </w:pPr>
    </w:p>
    <w:p w14:paraId="13031DDA">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1"/>
        <w:rPr>
          <w:rFonts w:hint="eastAsia" w:ascii="黑体" w:hAnsi="黑体" w:eastAsia="黑体" w:cs="黑体"/>
          <w:color w:val="000000"/>
          <w:kern w:val="0"/>
          <w:sz w:val="32"/>
          <w:szCs w:val="22"/>
        </w:rPr>
      </w:pPr>
      <w:bookmarkStart w:id="5" w:name="_Toc231311697"/>
      <w:r>
        <w:rPr>
          <w:rFonts w:hint="eastAsia" w:ascii="黑体" w:hAnsi="黑体" w:eastAsia="黑体" w:cs="黑体"/>
          <w:color w:val="000000"/>
          <w:kern w:val="0"/>
          <w:sz w:val="32"/>
          <w:szCs w:val="22"/>
        </w:rPr>
        <w:t>第一节  “十四五”时期天津民政事业取得的显著成效</w:t>
      </w:r>
      <w:bookmarkEnd w:id="5"/>
    </w:p>
    <w:p w14:paraId="3DDCE804">
      <w:pPr>
        <w:widowControl/>
        <w:spacing w:line="560" w:lineRule="exact"/>
        <w:ind w:firstLine="640" w:firstLineChars="0"/>
        <w:rPr>
          <w:rFonts w:hint="eastAsia" w:ascii="黑体" w:hAnsi="黑体" w:eastAsia="黑体" w:cs="黑体"/>
          <w:color w:val="000000"/>
          <w:kern w:val="0"/>
          <w:sz w:val="32"/>
          <w:szCs w:val="22"/>
        </w:rPr>
      </w:pPr>
    </w:p>
    <w:p w14:paraId="4A5F156B">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方正仿宋_GB2312" w:hAnsi="方正仿宋_GB2312" w:eastAsia="仿宋_GB2312" w:cs="方正仿宋_GB2312"/>
          <w:color w:val="000000"/>
          <w:kern w:val="0"/>
          <w:sz w:val="32"/>
          <w:szCs w:val="22"/>
        </w:rPr>
        <w:t>“十四五”时期，在市委、市政府的领导下，天津市民政系统深刻把握民政工作政治性、人民性、全局性、政策性的根本要求，自觉将“民政为民、民政爱民”工作理念融入血脉深处、见诸实际行动，深化运用“强基础、上位次、更精准、更暖心”、“开门干民政、人人当专家”工作目标方法，持续加强普惠性、基础性、兜底性民生建设，全面深化民政领域改革，圆满完成“十四五”规划目标任务。</w:t>
      </w:r>
    </w:p>
    <w:p w14:paraId="10B34C35">
      <w:pPr>
        <w:widowControl/>
        <w:spacing w:line="560" w:lineRule="exact"/>
        <w:ind w:firstLine="640" w:firstLineChars="200"/>
        <w:rPr>
          <w:rFonts w:hint="eastAsia" w:ascii="楷体" w:hAnsi="楷体" w:eastAsia="楷体" w:cs="Times New Roman"/>
          <w:color w:val="000000"/>
          <w:kern w:val="0"/>
          <w:sz w:val="32"/>
          <w:szCs w:val="22"/>
        </w:rPr>
      </w:pPr>
      <w:r>
        <w:rPr>
          <w:rFonts w:hint="eastAsia" w:ascii="楷体" w:hAnsi="楷体" w:eastAsia="楷体" w:cs="Times New Roman"/>
          <w:color w:val="000000"/>
          <w:kern w:val="0"/>
          <w:sz w:val="32"/>
          <w:szCs w:val="22"/>
        </w:rPr>
        <w:t>（一）</w:t>
      </w:r>
      <w:r>
        <w:rPr>
          <w:rFonts w:hint="eastAsia" w:ascii="楷体" w:hAnsi="楷体" w:eastAsia="楷体" w:cs="Times New Roman"/>
          <w:color w:val="000000"/>
          <w:kern w:val="0"/>
          <w:sz w:val="32"/>
          <w:szCs w:val="22"/>
          <w:lang w:eastAsia="zh-CN"/>
        </w:rPr>
        <w:t>深化党建引领</w:t>
      </w:r>
      <w:r>
        <w:rPr>
          <w:rFonts w:hint="eastAsia" w:ascii="楷体" w:hAnsi="楷体" w:eastAsia="楷体" w:cs="Times New Roman"/>
          <w:color w:val="000000"/>
          <w:kern w:val="0"/>
          <w:sz w:val="32"/>
          <w:szCs w:val="22"/>
        </w:rPr>
        <w:t>，民政发展政治根基持续筑牢</w:t>
      </w:r>
    </w:p>
    <w:p w14:paraId="2BA7127C">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深化民政系统作风建设</w:t>
      </w:r>
      <w:r>
        <w:rPr>
          <w:rStyle w:val="16"/>
          <w:rFonts w:hint="eastAsia" w:cs="Times New Roman"/>
          <w:kern w:val="0"/>
        </w:rPr>
        <w:t>。</w:t>
      </w:r>
      <w:r>
        <w:rPr>
          <w:rFonts w:hint="eastAsia" w:ascii="方正仿宋_GB2312" w:hAnsi="方正仿宋_GB2312" w:eastAsia="仿宋_GB2312" w:cs="方正仿宋_GB2312"/>
          <w:color w:val="000000"/>
          <w:kern w:val="0"/>
          <w:sz w:val="32"/>
          <w:szCs w:val="22"/>
        </w:rPr>
        <w:t>全市民政系统扎实开展党史学习教育、习近平新时代中国特色社会主义思想主题教育、党纪学习教育、深入贯彻中央八项规定精神学习教育，</w:t>
      </w:r>
      <w:r>
        <w:rPr>
          <w:rFonts w:hint="eastAsia" w:ascii="方正仿宋_GB2312" w:hAnsi="方正仿宋_GB2312" w:eastAsia="仿宋_GB2312" w:cs="方正仿宋_GB2312"/>
          <w:color w:val="000000"/>
          <w:kern w:val="0"/>
          <w:sz w:val="32"/>
          <w:szCs w:val="32"/>
        </w:rPr>
        <w:t>深刻领悟“两个确立”的决定性意义，增强“四个意识”、坚定“四个自信”</w:t>
      </w:r>
      <w:r>
        <w:rPr>
          <w:rFonts w:hint="eastAsia" w:ascii="方正仿宋_GB2312" w:hAnsi="方正仿宋_GB2312" w:eastAsia="仿宋_GB2312" w:cs="方正仿宋_GB2312"/>
          <w:color w:val="000000"/>
          <w:kern w:val="0"/>
          <w:sz w:val="32"/>
          <w:szCs w:val="32"/>
          <w:lang w:eastAsia="zh-CN"/>
        </w:rPr>
        <w:t>、</w:t>
      </w:r>
      <w:r>
        <w:rPr>
          <w:rFonts w:hint="eastAsia" w:ascii="方正仿宋_GB2312" w:hAnsi="方正仿宋_GB2312" w:eastAsia="仿宋_GB2312" w:cs="方正仿宋_GB2312"/>
          <w:color w:val="000000"/>
          <w:kern w:val="0"/>
          <w:sz w:val="32"/>
          <w:szCs w:val="22"/>
        </w:rPr>
        <w:t>坚决做到“两个维护”，全面从严治党更加走深走实</w:t>
      </w:r>
      <w:r>
        <w:rPr>
          <w:rFonts w:hint="eastAsia" w:ascii="方正仿宋_GB2312" w:hAnsi="方正仿宋_GB2312" w:eastAsia="仿宋_GB2312" w:cs="方正仿宋_GB2312"/>
          <w:color w:val="000000"/>
          <w:kern w:val="0"/>
          <w:sz w:val="32"/>
          <w:szCs w:val="22"/>
          <w:lang w:eastAsia="zh-CN"/>
        </w:rPr>
        <w:t>，</w:t>
      </w:r>
      <w:r>
        <w:rPr>
          <w:rFonts w:hint="eastAsia" w:ascii="方正仿宋_GB2312" w:hAnsi="方正仿宋_GB2312" w:eastAsia="仿宋_GB2312" w:cs="方正仿宋_GB2312"/>
          <w:color w:val="000000"/>
          <w:kern w:val="0"/>
          <w:sz w:val="32"/>
          <w:szCs w:val="22"/>
        </w:rPr>
        <w:t>落实“十项行动”更加见行见效，开展为民服务更加有情有力。坚持管行业必须管行风、管业务必须管纪律作风，深入开展养老、救助、殡葬、慈善等领域专项整治，推进解决了一些历史遗留问题，让专项行动更得民心、让民政政策更惠民生、让民政改革更顺民意。</w:t>
      </w:r>
      <w:bookmarkStart w:id="6" w:name="_Toc6934"/>
      <w:bookmarkStart w:id="7" w:name="_Toc31032"/>
      <w:bookmarkStart w:id="8" w:name="_Toc10513"/>
      <w:bookmarkStart w:id="9" w:name="_Toc15316"/>
      <w:bookmarkStart w:id="10" w:name="_Toc24539"/>
      <w:bookmarkStart w:id="11" w:name="_Toc2650"/>
      <w:bookmarkStart w:id="12" w:name="_Toc4412"/>
    </w:p>
    <w:p w14:paraId="4B3E8A82">
      <w:pPr>
        <w:widowControl/>
        <w:spacing w:line="560" w:lineRule="exact"/>
        <w:ind w:firstLine="640" w:firstLineChars="200"/>
        <w:rPr>
          <w:rFonts w:ascii="Times New Roman" w:hAnsi="Times New Roman" w:eastAsia="楷体" w:cs="Times New Roman"/>
          <w:color w:val="000000"/>
          <w:kern w:val="0"/>
          <w:sz w:val="32"/>
          <w:szCs w:val="32"/>
        </w:rPr>
      </w:pPr>
      <w:bookmarkStart w:id="13" w:name="_Toc4378"/>
      <w:bookmarkStart w:id="14" w:name="_Toc227964875"/>
      <w:r>
        <w:rPr>
          <w:rFonts w:hint="eastAsia" w:ascii="Times New Roman" w:hAnsi="Times New Roman" w:eastAsia="楷体" w:cs="Times New Roman"/>
          <w:color w:val="000000"/>
          <w:kern w:val="0"/>
          <w:sz w:val="32"/>
          <w:szCs w:val="32"/>
        </w:rPr>
        <w:t>（二）坚持人民至上理念，民生</w:t>
      </w:r>
      <w:bookmarkEnd w:id="6"/>
      <w:bookmarkEnd w:id="7"/>
      <w:bookmarkEnd w:id="8"/>
      <w:bookmarkEnd w:id="9"/>
      <w:bookmarkEnd w:id="10"/>
      <w:bookmarkEnd w:id="11"/>
      <w:bookmarkEnd w:id="12"/>
      <w:r>
        <w:rPr>
          <w:rFonts w:hint="eastAsia" w:ascii="Times New Roman" w:hAnsi="Times New Roman" w:eastAsia="楷体" w:cs="Times New Roman"/>
          <w:color w:val="000000"/>
          <w:kern w:val="0"/>
          <w:sz w:val="32"/>
          <w:szCs w:val="32"/>
        </w:rPr>
        <w:t>兜底保障网络持续织密</w:t>
      </w:r>
      <w:bookmarkEnd w:id="13"/>
      <w:bookmarkEnd w:id="14"/>
    </w:p>
    <w:p w14:paraId="133AA13D">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社会救助</w:t>
      </w:r>
      <w:r>
        <w:rPr>
          <w:rStyle w:val="16"/>
          <w:rFonts w:hint="eastAsia" w:cs="Times New Roman"/>
          <w:kern w:val="0"/>
        </w:rPr>
        <w:t>制度</w:t>
      </w:r>
      <w:r>
        <w:rPr>
          <w:rStyle w:val="16"/>
          <w:rFonts w:hint="eastAsia" w:ascii="Times New Roman" w:hAnsi="Times New Roman" w:cs="Times New Roman"/>
          <w:kern w:val="0"/>
        </w:rPr>
        <w:t>体系健全完善。</w:t>
      </w:r>
      <w:r>
        <w:rPr>
          <w:rStyle w:val="16"/>
          <w:rFonts w:hint="eastAsia" w:ascii="方正仿宋_GB2312" w:hAnsi="方正仿宋_GB2312" w:eastAsia="仿宋_GB2312" w:cs="方正仿宋_GB2312"/>
          <w:kern w:val="0"/>
        </w:rPr>
        <w:t>制定关于改革完善社会救助制度的措施和刚性支出困难家庭认定办法，修订低保、特困人员、低保边缘家庭、社会救助家庭经济状况核对办法和天津市临时救助办法。对符合条件的重病重残人员参照“单人户”纳入低保，将特困供养的未成年人从</w:t>
      </w:r>
      <w:r>
        <w:rPr>
          <w:rStyle w:val="16"/>
          <w:rFonts w:ascii="Times New Roman" w:hAnsi="Times New Roman" w:eastAsia="仿宋" w:cs="Times New Roman"/>
          <w:kern w:val="0"/>
        </w:rPr>
        <w:t>16</w:t>
      </w:r>
      <w:r>
        <w:rPr>
          <w:rStyle w:val="16"/>
          <w:rFonts w:hint="eastAsia" w:ascii="方正仿宋_GB2312" w:hAnsi="方正仿宋_GB2312" w:eastAsia="仿宋_GB2312" w:cs="方正仿宋_GB2312"/>
          <w:kern w:val="0"/>
        </w:rPr>
        <w:t>周岁延长至</w:t>
      </w:r>
      <w:r>
        <w:rPr>
          <w:rStyle w:val="16"/>
          <w:rFonts w:ascii="Times New Roman" w:hAnsi="Times New Roman" w:eastAsia="仿宋" w:cs="Times New Roman"/>
          <w:kern w:val="0"/>
        </w:rPr>
        <w:t>18</w:t>
      </w:r>
      <w:r>
        <w:rPr>
          <w:rStyle w:val="16"/>
          <w:rFonts w:hint="eastAsia" w:ascii="方正仿宋_GB2312" w:hAnsi="方正仿宋_GB2312" w:eastAsia="仿宋_GB2312" w:cs="方正仿宋_GB2312"/>
          <w:kern w:val="0"/>
        </w:rPr>
        <w:t>周岁，全面推行小金额先行救助和急难发生地实施临时救助，实施“发点球式”精准救助。实施居民家庭经济状况核对和社会救助对象动态监测，对</w:t>
      </w:r>
      <w:r>
        <w:rPr>
          <w:rStyle w:val="16"/>
          <w:rFonts w:ascii="Times New Roman" w:hAnsi="Times New Roman" w:eastAsia="仿宋" w:cs="Times New Roman"/>
          <w:kern w:val="0"/>
        </w:rPr>
        <w:t>85.6</w:t>
      </w:r>
      <w:r>
        <w:rPr>
          <w:rStyle w:val="16"/>
          <w:rFonts w:hint="eastAsia" w:ascii="方正仿宋_GB2312" w:hAnsi="方正仿宋_GB2312" w:eastAsia="仿宋_GB2312" w:cs="方正仿宋_GB2312"/>
          <w:kern w:val="0"/>
        </w:rPr>
        <w:t>万户次</w:t>
      </w:r>
      <w:r>
        <w:rPr>
          <w:rStyle w:val="16"/>
          <w:rFonts w:hint="eastAsia" w:ascii="仿宋_GB2312" w:hAnsi="仿宋_GB2312" w:eastAsia="仿宋_GB2312" w:cs="仿宋_GB2312"/>
          <w:kern w:val="0"/>
        </w:rPr>
        <w:t>、</w:t>
      </w:r>
      <w:r>
        <w:rPr>
          <w:rStyle w:val="16"/>
          <w:rFonts w:ascii="Times New Roman" w:hAnsi="Times New Roman" w:eastAsia="仿宋" w:cs="Times New Roman"/>
          <w:kern w:val="0"/>
        </w:rPr>
        <w:t>207.1</w:t>
      </w:r>
      <w:r>
        <w:rPr>
          <w:rStyle w:val="16"/>
          <w:rFonts w:hint="eastAsia" w:ascii="方正仿宋_GB2312" w:hAnsi="方正仿宋_GB2312" w:eastAsia="仿宋_GB2312" w:cs="方正仿宋_GB2312"/>
          <w:kern w:val="0"/>
        </w:rPr>
        <w:t>万人次申请和已享受社会救助对象进行家庭经济状况信息核对，将</w:t>
      </w:r>
      <w:r>
        <w:rPr>
          <w:rStyle w:val="16"/>
          <w:rFonts w:ascii="Times New Roman" w:hAnsi="Times New Roman" w:eastAsia="仿宋" w:cs="Times New Roman"/>
          <w:kern w:val="0"/>
        </w:rPr>
        <w:t>17.35</w:t>
      </w:r>
      <w:r>
        <w:rPr>
          <w:rStyle w:val="16"/>
          <w:rFonts w:hint="eastAsia" w:ascii="方正仿宋_GB2312" w:hAnsi="方正仿宋_GB2312" w:eastAsia="仿宋_GB2312" w:cs="方正仿宋_GB2312"/>
          <w:kern w:val="0"/>
        </w:rPr>
        <w:t>万社会救助对象纳入监测范围。开展社会救助领域综合治理和困难群众基本生活救助绩效评价，守好用好困难群众救助款物，救助绩效评价连续三年获评民政部、财政部“优秀”等次</w:t>
      </w:r>
      <w:r>
        <w:rPr>
          <w:rStyle w:val="16"/>
          <w:rFonts w:hint="eastAsia" w:ascii="仿宋_GB2312" w:hAnsi="仿宋_GB2312" w:eastAsia="仿宋_GB2312" w:cs="仿宋_GB2312"/>
          <w:kern w:val="0"/>
        </w:rPr>
        <w:t>，</w:t>
      </w:r>
      <w:r>
        <w:rPr>
          <w:rStyle w:val="16"/>
          <w:rFonts w:ascii="Times New Roman" w:hAnsi="Times New Roman" w:eastAsia="仿宋" w:cs="Times New Roman"/>
          <w:kern w:val="0"/>
        </w:rPr>
        <w:t>2022</w:t>
      </w:r>
      <w:r>
        <w:rPr>
          <w:rStyle w:val="16"/>
          <w:rFonts w:hint="eastAsia" w:ascii="方正仿宋_GB2312" w:hAnsi="方正仿宋_GB2312" w:eastAsia="仿宋_GB2312" w:cs="方正仿宋_GB2312"/>
          <w:kern w:val="0"/>
        </w:rPr>
        <w:t>年位列东部地区首位。全面实施社会救助审核确认事项委托下放，审批时限提速</w:t>
      </w:r>
      <w:r>
        <w:rPr>
          <w:rStyle w:val="16"/>
          <w:rFonts w:ascii="Times New Roman" w:hAnsi="Times New Roman" w:eastAsia="仿宋" w:cs="Times New Roman"/>
          <w:kern w:val="0"/>
        </w:rPr>
        <w:t>10</w:t>
      </w:r>
      <w:r>
        <w:rPr>
          <w:rStyle w:val="16"/>
          <w:rFonts w:hint="eastAsia" w:ascii="方正仿宋_GB2312" w:hAnsi="方正仿宋_GB2312" w:eastAsia="仿宋_GB2312" w:cs="方正仿宋_GB2312"/>
          <w:kern w:val="0"/>
        </w:rPr>
        <w:t>个工作日。开展救助事项“一城通办”，由困难群众居住地和户籍地配合审批，实现群众申请救助“就近办”。及时将</w:t>
      </w:r>
      <w:r>
        <w:rPr>
          <w:rStyle w:val="16"/>
          <w:rFonts w:ascii="Times New Roman" w:hAnsi="Times New Roman" w:eastAsia="仿宋" w:cs="Times New Roman"/>
          <w:kern w:val="0"/>
        </w:rPr>
        <w:t>7.74</w:t>
      </w:r>
      <w:r>
        <w:rPr>
          <w:rStyle w:val="16"/>
          <w:rFonts w:hint="eastAsia" w:ascii="方正仿宋_GB2312" w:hAnsi="方正仿宋_GB2312" w:eastAsia="仿宋_GB2312" w:cs="方正仿宋_GB2312"/>
          <w:kern w:val="0"/>
        </w:rPr>
        <w:t>万名困难群众纳入保障范围，救助对象累计</w:t>
      </w:r>
      <w:r>
        <w:rPr>
          <w:rStyle w:val="16"/>
          <w:rFonts w:ascii="Times New Roman" w:hAnsi="Times New Roman" w:eastAsia="仿宋" w:cs="Times New Roman"/>
          <w:kern w:val="0"/>
        </w:rPr>
        <w:t>8.75</w:t>
      </w:r>
      <w:r>
        <w:rPr>
          <w:rStyle w:val="16"/>
          <w:rFonts w:hint="eastAsia" w:ascii="方正仿宋_GB2312" w:hAnsi="方正仿宋_GB2312" w:eastAsia="仿宋_GB2312" w:cs="方正仿宋_GB2312"/>
          <w:kern w:val="0"/>
        </w:rPr>
        <w:t>万户、</w:t>
      </w:r>
      <w:r>
        <w:rPr>
          <w:rStyle w:val="16"/>
          <w:rFonts w:ascii="Times New Roman" w:hAnsi="Times New Roman" w:eastAsia="仿宋" w:cs="Times New Roman"/>
          <w:kern w:val="0"/>
        </w:rPr>
        <w:t>13.28</w:t>
      </w:r>
      <w:r>
        <w:rPr>
          <w:rStyle w:val="16"/>
          <w:rFonts w:hint="eastAsia" w:ascii="方正仿宋_GB2312" w:hAnsi="方正仿宋_GB2312" w:eastAsia="仿宋_GB2312" w:cs="方正仿宋_GB2312"/>
          <w:kern w:val="0"/>
        </w:rPr>
        <w:t>万人，临时救助</w:t>
      </w:r>
      <w:r>
        <w:rPr>
          <w:rStyle w:val="16"/>
          <w:rFonts w:ascii="Times New Roman" w:hAnsi="Times New Roman" w:eastAsia="仿宋" w:cs="Times New Roman"/>
          <w:kern w:val="0"/>
        </w:rPr>
        <w:t>32</w:t>
      </w:r>
      <w:r>
        <w:rPr>
          <w:rStyle w:val="16"/>
          <w:rFonts w:hint="eastAsia" w:ascii="Times New Roman" w:hAnsi="Times New Roman" w:eastAsia="仿宋" w:cs="Times New Roman"/>
          <w:kern w:val="0"/>
          <w:lang w:val="en-US" w:eastAsia="zh-CN"/>
        </w:rPr>
        <w:t>.</w:t>
      </w:r>
      <w:r>
        <w:rPr>
          <w:rStyle w:val="16"/>
          <w:rFonts w:ascii="Times New Roman" w:hAnsi="Times New Roman" w:eastAsia="仿宋" w:cs="Times New Roman"/>
          <w:kern w:val="0"/>
        </w:rPr>
        <w:t>72</w:t>
      </w:r>
      <w:r>
        <w:rPr>
          <w:rStyle w:val="16"/>
          <w:rFonts w:hint="eastAsia" w:ascii="方正仿宋_GB2312" w:hAnsi="方正仿宋_GB2312" w:eastAsia="仿宋_GB2312" w:cs="方正仿宋_GB2312"/>
          <w:kern w:val="0"/>
        </w:rPr>
        <w:t>万人次，社会救助资金累计支出</w:t>
      </w:r>
      <w:r>
        <w:rPr>
          <w:rStyle w:val="16"/>
          <w:rFonts w:ascii="Times New Roman" w:hAnsi="Times New Roman" w:eastAsia="仿宋" w:cs="Times New Roman"/>
          <w:kern w:val="0"/>
        </w:rPr>
        <w:t>108.19</w:t>
      </w:r>
      <w:r>
        <w:rPr>
          <w:rStyle w:val="16"/>
          <w:rFonts w:hint="eastAsia" w:ascii="方正仿宋_GB2312" w:hAnsi="方正仿宋_GB2312" w:eastAsia="仿宋_GB2312" w:cs="方正仿宋_GB2312"/>
          <w:kern w:val="0"/>
        </w:rPr>
        <w:t>亿元。救助管理服务更加规范，累计救助生活无着流浪乞讨人员和临时遇困人员</w:t>
      </w:r>
      <w:r>
        <w:rPr>
          <w:rStyle w:val="16"/>
          <w:rFonts w:ascii="Times New Roman" w:hAnsi="Times New Roman" w:eastAsia="仿宋" w:cs="Times New Roman"/>
          <w:kern w:val="0"/>
        </w:rPr>
        <w:t>1.12</w:t>
      </w:r>
      <w:r>
        <w:rPr>
          <w:rStyle w:val="16"/>
          <w:rFonts w:hint="eastAsia" w:ascii="方正仿宋_GB2312" w:hAnsi="方正仿宋_GB2312" w:eastAsia="仿宋_GB2312" w:cs="方正仿宋_GB2312"/>
          <w:kern w:val="0"/>
        </w:rPr>
        <w:t>万人次，常态化开展极端天气专项救助，有效保障困难群众基本生活权益。推进长期滞留人员寻亲服务，推广实施</w:t>
      </w:r>
      <w:r>
        <w:rPr>
          <w:rStyle w:val="16"/>
          <w:rFonts w:hint="eastAsia" w:ascii="仿宋_GB2312" w:hAnsi="仿宋_GB2312" w:eastAsia="仿宋_GB2312" w:cs="仿宋_GB2312"/>
          <w:kern w:val="0"/>
        </w:rPr>
        <w:t>“</w:t>
      </w:r>
      <w:r>
        <w:rPr>
          <w:rStyle w:val="16"/>
          <w:rFonts w:hint="default" w:ascii="Times New Roman" w:hAnsi="Times New Roman" w:eastAsia="仿宋_GB2312" w:cs="Times New Roman"/>
          <w:kern w:val="0"/>
        </w:rPr>
        <w:t>1+5+N</w:t>
      </w:r>
      <w:r>
        <w:rPr>
          <w:rStyle w:val="16"/>
          <w:rFonts w:hint="eastAsia" w:ascii="仿宋_GB2312" w:hAnsi="仿宋_GB2312" w:eastAsia="仿宋_GB2312" w:cs="仿宋_GB2312"/>
          <w:kern w:val="0"/>
        </w:rPr>
        <w:t>”</w:t>
      </w:r>
      <w:r>
        <w:rPr>
          <w:rStyle w:val="16"/>
          <w:rFonts w:hint="eastAsia" w:ascii="方正仿宋_GB2312" w:hAnsi="方正仿宋_GB2312" w:eastAsia="仿宋_GB2312" w:cs="方正仿宋_GB2312"/>
          <w:kern w:val="0"/>
        </w:rPr>
        <w:t>终身寻亲工作模式和寻亲提级办理工作机制，为市、区两级救助管理机构内</w:t>
      </w:r>
      <w:r>
        <w:rPr>
          <w:rStyle w:val="16"/>
          <w:rFonts w:ascii="Times New Roman" w:hAnsi="Times New Roman" w:eastAsia="仿宋" w:cs="Times New Roman"/>
          <w:kern w:val="0"/>
        </w:rPr>
        <w:t>41</w:t>
      </w:r>
      <w:r>
        <w:rPr>
          <w:rStyle w:val="16"/>
          <w:rFonts w:hint="eastAsia" w:ascii="方正仿宋_GB2312" w:hAnsi="方正仿宋_GB2312" w:eastAsia="仿宋_GB2312" w:cs="方正仿宋_GB2312"/>
          <w:kern w:val="0"/>
        </w:rPr>
        <w:t>名长期滞留人员找到亲属。形成若干具有天津特色的救助服务品牌，相关创新经验在全国救助管理工作会议上作经验交流。</w:t>
      </w:r>
    </w:p>
    <w:p w14:paraId="77644A09">
      <w:pPr>
        <w:widowControl/>
        <w:spacing w:line="560" w:lineRule="exact"/>
        <w:ind w:firstLine="640" w:firstLineChars="200"/>
        <w:rPr>
          <w:rFonts w:ascii="Times New Roman" w:hAnsi="Times New Roman" w:eastAsia="仿宋" w:cs="Times New Roman"/>
          <w:color w:val="000000"/>
          <w:kern w:val="0"/>
          <w:sz w:val="32"/>
          <w:szCs w:val="22"/>
        </w:rPr>
      </w:pPr>
      <w:r>
        <w:rPr>
          <w:rFonts w:hint="eastAsia" w:ascii="Times New Roman" w:hAnsi="Times New Roman" w:eastAsia="楷体" w:cs="Times New Roman"/>
          <w:color w:val="000000"/>
          <w:kern w:val="0"/>
          <w:sz w:val="32"/>
          <w:szCs w:val="32"/>
          <w:shd w:val="clear" w:color="auto" w:fill="FFFFFF"/>
        </w:rPr>
        <w:t>儿童福利服务质效全面提升。</w:t>
      </w:r>
      <w:r>
        <w:rPr>
          <w:rFonts w:hint="eastAsia" w:ascii="方正仿宋_GB2312" w:hAnsi="方正仿宋_GB2312" w:eastAsia="仿宋_GB2312" w:cs="方正仿宋_GB2312"/>
          <w:color w:val="000000"/>
          <w:kern w:val="0"/>
          <w:sz w:val="32"/>
          <w:szCs w:val="22"/>
        </w:rPr>
        <w:t>将孤儿和事实无人抚养儿童基本生活保障标准提高至每人每月</w:t>
      </w:r>
      <w:r>
        <w:rPr>
          <w:rFonts w:ascii="Times New Roman" w:hAnsi="Times New Roman" w:eastAsia="仿宋" w:cs="Times New Roman"/>
          <w:color w:val="000000"/>
          <w:kern w:val="0"/>
          <w:sz w:val="32"/>
          <w:szCs w:val="22"/>
        </w:rPr>
        <w:t>2605</w:t>
      </w:r>
      <w:r>
        <w:rPr>
          <w:rFonts w:hint="eastAsia" w:ascii="方正仿宋_GB2312" w:hAnsi="方正仿宋_GB2312" w:eastAsia="仿宋_GB2312" w:cs="方正仿宋_GB2312"/>
          <w:color w:val="000000"/>
          <w:kern w:val="0"/>
          <w:sz w:val="32"/>
          <w:szCs w:val="22"/>
        </w:rPr>
        <w:t>元，标准水平位居全国前列；为低保及低保边缘家庭儿童每人每月发放</w:t>
      </w:r>
      <w:r>
        <w:rPr>
          <w:rFonts w:ascii="Times New Roman" w:hAnsi="Times New Roman" w:eastAsia="仿宋" w:cs="Times New Roman"/>
          <w:color w:val="000000"/>
          <w:kern w:val="0"/>
          <w:sz w:val="32"/>
          <w:szCs w:val="22"/>
        </w:rPr>
        <w:t>200</w:t>
      </w:r>
      <w:r>
        <w:rPr>
          <w:rFonts w:hint="eastAsia" w:ascii="方正仿宋_GB2312" w:hAnsi="方正仿宋_GB2312" w:eastAsia="仿宋_GB2312" w:cs="方正仿宋_GB2312"/>
          <w:color w:val="000000"/>
          <w:kern w:val="0"/>
          <w:sz w:val="32"/>
          <w:szCs w:val="22"/>
        </w:rPr>
        <w:t>元基本生活费。创新制定孤儿医疗补助政策，孤儿参加本市城乡居民基本医疗保险的个人缴费部分由政府全额补助，同时享受大病保险倾斜和医疗救助待遇。实施“孤儿医疗康复明天计划”项目，为孤儿每两年开展一次体检服务。制定京津冀《救助保护和儿童福利机构未成年人心理评估规范》区域性地方标准，促进三地协同，助力困境儿童身心健康发展。推进儿童福利机构优化提质和创新转型，实施“精准化管理精细化服务”质量提升行动，建成市、区两级未成年人救助保护中心共</w:t>
      </w:r>
      <w:r>
        <w:rPr>
          <w:rFonts w:ascii="Times New Roman" w:hAnsi="Times New Roman" w:eastAsia="仿宋" w:cs="Times New Roman"/>
          <w:color w:val="000000"/>
          <w:kern w:val="0"/>
          <w:sz w:val="32"/>
          <w:szCs w:val="22"/>
        </w:rPr>
        <w:t>17</w:t>
      </w:r>
      <w:r>
        <w:rPr>
          <w:rFonts w:hint="eastAsia" w:ascii="方正仿宋_GB2312" w:hAnsi="方正仿宋_GB2312" w:eastAsia="仿宋_GB2312" w:cs="方正仿宋_GB2312"/>
          <w:color w:val="000000"/>
          <w:kern w:val="0"/>
          <w:sz w:val="32"/>
          <w:szCs w:val="22"/>
        </w:rPr>
        <w:t>家，覆盖率</w:t>
      </w:r>
      <w:r>
        <w:rPr>
          <w:rFonts w:hint="eastAsia" w:ascii="方正仿宋_GB2312" w:hAnsi="方正仿宋_GB2312" w:eastAsia="仿宋_GB2312" w:cs="方正仿宋_GB2312"/>
          <w:color w:val="000000"/>
          <w:kern w:val="0"/>
          <w:sz w:val="32"/>
          <w:szCs w:val="22"/>
          <w:lang w:eastAsia="zh-CN"/>
        </w:rPr>
        <w:t>达到</w:t>
      </w:r>
      <w:r>
        <w:rPr>
          <w:rFonts w:ascii="Times New Roman" w:hAnsi="Times New Roman" w:eastAsia="仿宋" w:cs="Times New Roman"/>
          <w:color w:val="000000"/>
          <w:kern w:val="0"/>
          <w:sz w:val="32"/>
          <w:szCs w:val="22"/>
        </w:rPr>
        <w:t>100%</w:t>
      </w:r>
      <w:r>
        <w:rPr>
          <w:rFonts w:hint="eastAsia" w:ascii="方正仿宋_GB2312" w:hAnsi="方正仿宋_GB2312" w:eastAsia="仿宋_GB2312" w:cs="方正仿宋_GB2312"/>
          <w:color w:val="000000"/>
          <w:kern w:val="0"/>
          <w:sz w:val="32"/>
          <w:szCs w:val="22"/>
        </w:rPr>
        <w:t>；建设乡镇（街道）未成年人保护工作站</w:t>
      </w:r>
      <w:r>
        <w:rPr>
          <w:rFonts w:ascii="Times New Roman" w:hAnsi="Times New Roman" w:eastAsia="仿宋" w:cs="Times New Roman"/>
          <w:color w:val="000000"/>
          <w:kern w:val="0"/>
          <w:sz w:val="32"/>
          <w:szCs w:val="22"/>
        </w:rPr>
        <w:t>223</w:t>
      </w:r>
      <w:r>
        <w:rPr>
          <w:rFonts w:hint="eastAsia" w:ascii="方正仿宋_GB2312" w:hAnsi="方正仿宋_GB2312" w:eastAsia="仿宋_GB2312" w:cs="方正仿宋_GB2312"/>
          <w:color w:val="000000"/>
          <w:kern w:val="0"/>
          <w:sz w:val="32"/>
          <w:szCs w:val="22"/>
        </w:rPr>
        <w:t>个，覆盖率达到</w:t>
      </w:r>
      <w:r>
        <w:rPr>
          <w:rFonts w:ascii="Times New Roman" w:hAnsi="Times New Roman" w:eastAsia="仿宋" w:cs="Times New Roman"/>
          <w:color w:val="000000"/>
          <w:kern w:val="0"/>
          <w:sz w:val="32"/>
          <w:szCs w:val="22"/>
        </w:rPr>
        <w:t>85%</w:t>
      </w:r>
      <w:r>
        <w:rPr>
          <w:rFonts w:hint="eastAsia" w:ascii="方正仿宋_GB2312" w:hAnsi="方正仿宋_GB2312" w:eastAsia="仿宋_GB2312" w:cs="方正仿宋_GB2312"/>
          <w:color w:val="000000"/>
          <w:kern w:val="0"/>
          <w:sz w:val="32"/>
          <w:szCs w:val="22"/>
        </w:rPr>
        <w:t>，选优配强乡镇（街道）儿童督导员</w:t>
      </w:r>
      <w:r>
        <w:rPr>
          <w:rFonts w:ascii="Times New Roman" w:hAnsi="Times New Roman" w:eastAsia="仿宋" w:cs="Times New Roman"/>
          <w:color w:val="000000"/>
          <w:kern w:val="0"/>
          <w:sz w:val="32"/>
          <w:szCs w:val="22"/>
        </w:rPr>
        <w:t>252</w:t>
      </w:r>
      <w:r>
        <w:rPr>
          <w:rFonts w:hint="eastAsia" w:ascii="方正仿宋_GB2312" w:hAnsi="方正仿宋_GB2312" w:eastAsia="仿宋_GB2312" w:cs="方正仿宋_GB2312"/>
          <w:color w:val="000000"/>
          <w:kern w:val="0"/>
          <w:sz w:val="32"/>
          <w:szCs w:val="22"/>
        </w:rPr>
        <w:t>名、村（居）儿童主任</w:t>
      </w:r>
      <w:r>
        <w:rPr>
          <w:rFonts w:ascii="Times New Roman" w:hAnsi="Times New Roman" w:eastAsia="仿宋" w:cs="Times New Roman"/>
          <w:color w:val="000000"/>
          <w:kern w:val="0"/>
          <w:sz w:val="32"/>
          <w:szCs w:val="22"/>
        </w:rPr>
        <w:t>5438</w:t>
      </w:r>
      <w:r>
        <w:rPr>
          <w:rFonts w:hint="eastAsia" w:ascii="方正仿宋_GB2312" w:hAnsi="方正仿宋_GB2312" w:eastAsia="仿宋_GB2312" w:cs="方正仿宋_GB2312"/>
          <w:color w:val="000000"/>
          <w:kern w:val="0"/>
          <w:sz w:val="32"/>
          <w:szCs w:val="22"/>
        </w:rPr>
        <w:t>名，配置率和培训率均达</w:t>
      </w:r>
      <w:r>
        <w:rPr>
          <w:rFonts w:ascii="Times New Roman" w:hAnsi="Times New Roman" w:eastAsia="仿宋" w:cs="Times New Roman"/>
          <w:color w:val="000000"/>
          <w:kern w:val="0"/>
          <w:sz w:val="32"/>
          <w:szCs w:val="22"/>
        </w:rPr>
        <w:t>100%</w:t>
      </w:r>
      <w:r>
        <w:rPr>
          <w:rFonts w:hint="eastAsia" w:ascii="Times New Roman" w:hAnsi="Times New Roman" w:eastAsia="仿宋" w:cs="Times New Roman"/>
          <w:color w:val="000000"/>
          <w:kern w:val="0"/>
          <w:sz w:val="32"/>
          <w:szCs w:val="22"/>
        </w:rPr>
        <w:t>。</w:t>
      </w:r>
    </w:p>
    <w:p w14:paraId="7BE84DAC">
      <w:pPr>
        <w:widowControl/>
        <w:spacing w:line="560" w:lineRule="exact"/>
        <w:ind w:firstLine="640" w:firstLineChars="200"/>
        <w:rPr>
          <w:rFonts w:ascii="Times New Roman" w:hAnsi="Times New Roman" w:eastAsia="仿宋" w:cs="Times New Roman"/>
          <w:color w:val="000000"/>
          <w:kern w:val="0"/>
          <w:sz w:val="32"/>
          <w:szCs w:val="22"/>
        </w:rPr>
      </w:pPr>
      <w:r>
        <w:rPr>
          <w:rFonts w:hint="eastAsia" w:ascii="Times New Roman" w:hAnsi="Times New Roman" w:eastAsia="楷体" w:cs="Times New Roman"/>
          <w:color w:val="000000"/>
          <w:kern w:val="0"/>
          <w:sz w:val="32"/>
          <w:szCs w:val="32"/>
          <w:shd w:val="clear" w:color="auto" w:fill="FFFFFF"/>
        </w:rPr>
        <w:t>残疾人福利保障优化提质。</w:t>
      </w:r>
      <w:r>
        <w:rPr>
          <w:rFonts w:hint="eastAsia" w:ascii="方正仿宋_GB2312" w:hAnsi="方正仿宋_GB2312" w:eastAsia="仿宋_GB2312" w:cs="方正仿宋_GB2312"/>
          <w:color w:val="000000"/>
          <w:kern w:val="0"/>
          <w:sz w:val="32"/>
          <w:szCs w:val="22"/>
        </w:rPr>
        <w:t>积极推进“精康融合”行动，打造“津康家园”品牌，出台《天津市开展“精康融合行动”</w:t>
      </w:r>
      <w:r>
        <w:rPr>
          <w:rFonts w:hint="eastAsia" w:ascii="Times New Roman" w:hAnsi="Times New Roman" w:eastAsia="仿宋" w:cs="Times New Roman"/>
          <w:color w:val="000000"/>
          <w:kern w:val="0"/>
          <w:sz w:val="32"/>
          <w:szCs w:val="22"/>
        </w:rPr>
        <w:t>（2023-2025）</w:t>
      </w:r>
      <w:r>
        <w:rPr>
          <w:rFonts w:hint="eastAsia" w:ascii="方正仿宋_GB2312" w:hAnsi="方正仿宋_GB2312" w:eastAsia="仿宋_GB2312" w:cs="方正仿宋_GB2312"/>
          <w:color w:val="000000"/>
          <w:kern w:val="0"/>
          <w:sz w:val="32"/>
          <w:szCs w:val="22"/>
        </w:rPr>
        <w:t>实施方案》等政策文件，累计争取中央福彩公益金</w:t>
      </w:r>
      <w:r>
        <w:rPr>
          <w:rFonts w:ascii="Times New Roman" w:hAnsi="Times New Roman" w:eastAsia="仿宋" w:cs="Times New Roman"/>
          <w:color w:val="000000"/>
          <w:kern w:val="0"/>
          <w:sz w:val="32"/>
          <w:szCs w:val="22"/>
        </w:rPr>
        <w:t>1800</w:t>
      </w:r>
      <w:r>
        <w:rPr>
          <w:rFonts w:hint="eastAsia" w:ascii="方正仿宋_GB2312" w:hAnsi="方正仿宋_GB2312" w:eastAsia="仿宋_GB2312" w:cs="方正仿宋_GB2312"/>
          <w:color w:val="000000"/>
          <w:kern w:val="0"/>
          <w:sz w:val="32"/>
          <w:szCs w:val="22"/>
        </w:rPr>
        <w:t>余万元支持我市精神障碍社区康复服务项目，全市</w:t>
      </w:r>
      <w:r>
        <w:rPr>
          <w:rFonts w:hint="eastAsia" w:ascii="Times New Roman" w:hAnsi="Times New Roman" w:eastAsia="仿宋" w:cs="Times New Roman"/>
          <w:color w:val="000000"/>
          <w:kern w:val="0"/>
          <w:sz w:val="32"/>
          <w:szCs w:val="22"/>
        </w:rPr>
        <w:t>16</w:t>
      </w:r>
      <w:r>
        <w:rPr>
          <w:rFonts w:hint="eastAsia" w:ascii="方正仿宋_GB2312" w:hAnsi="方正仿宋_GB2312" w:eastAsia="仿宋_GB2312" w:cs="方正仿宋_GB2312"/>
          <w:color w:val="000000"/>
          <w:kern w:val="0"/>
          <w:sz w:val="32"/>
          <w:szCs w:val="22"/>
        </w:rPr>
        <w:t>个区均已开展精神障碍社区康复服务，登记康复对象接受规范服务率达</w:t>
      </w:r>
      <w:r>
        <w:rPr>
          <w:rFonts w:hint="eastAsia" w:ascii="Times New Roman" w:hAnsi="Times New Roman" w:eastAsia="仿宋" w:cs="Times New Roman"/>
          <w:color w:val="000000"/>
          <w:kern w:val="0"/>
          <w:sz w:val="32"/>
          <w:szCs w:val="22"/>
        </w:rPr>
        <w:t>60%</w:t>
      </w:r>
      <w:r>
        <w:rPr>
          <w:rFonts w:hint="eastAsia" w:ascii="方正仿宋_GB2312" w:hAnsi="方正仿宋_GB2312" w:eastAsia="仿宋_GB2312" w:cs="方正仿宋_GB2312"/>
          <w:color w:val="000000"/>
          <w:kern w:val="0"/>
          <w:sz w:val="32"/>
          <w:szCs w:val="22"/>
        </w:rPr>
        <w:t>以上。落实残疾人“两项补贴”政策，推进“跨省通办”“跨区通办”“全程网办”发放管理，累计发放补贴资金</w:t>
      </w:r>
      <w:r>
        <w:rPr>
          <w:rFonts w:ascii="Times New Roman" w:hAnsi="Times New Roman" w:eastAsia="仿宋" w:cs="Times New Roman"/>
          <w:color w:val="000000"/>
          <w:kern w:val="0"/>
          <w:sz w:val="32"/>
          <w:szCs w:val="22"/>
        </w:rPr>
        <w:t>23.76</w:t>
      </w:r>
      <w:r>
        <w:rPr>
          <w:rFonts w:hint="eastAsia" w:ascii="方正仿宋_GB2312" w:hAnsi="方正仿宋_GB2312" w:eastAsia="仿宋_GB2312" w:cs="方正仿宋_GB2312"/>
          <w:color w:val="000000"/>
          <w:kern w:val="0"/>
          <w:sz w:val="32"/>
          <w:szCs w:val="22"/>
        </w:rPr>
        <w:t>亿元，惠及</w:t>
      </w:r>
      <w:r>
        <w:rPr>
          <w:rFonts w:ascii="Times New Roman" w:hAnsi="Times New Roman" w:eastAsia="仿宋" w:cs="Times New Roman"/>
          <w:color w:val="000000"/>
          <w:kern w:val="0"/>
          <w:sz w:val="32"/>
          <w:szCs w:val="22"/>
        </w:rPr>
        <w:t>16.9</w:t>
      </w:r>
      <w:r>
        <w:rPr>
          <w:rFonts w:hint="eastAsia" w:ascii="方正仿宋_GB2312" w:hAnsi="方正仿宋_GB2312" w:eastAsia="仿宋_GB2312" w:cs="方正仿宋_GB2312"/>
          <w:color w:val="000000"/>
          <w:kern w:val="0"/>
          <w:sz w:val="32"/>
          <w:szCs w:val="22"/>
        </w:rPr>
        <w:t>万名残疾人。推进康复辅助器具产业发展，制定天津市康复辅助器具社区租赁产品供应商及产品目录、康复辅助器具产品租赁服务和清洗消毒行业规范。</w:t>
      </w:r>
    </w:p>
    <w:p w14:paraId="1FF8237C">
      <w:pPr>
        <w:pStyle w:val="4"/>
        <w:widowControl/>
        <w:rPr>
          <w:rFonts w:hint="eastAsia" w:cs="Times New Roman"/>
          <w:kern w:val="0"/>
        </w:rPr>
      </w:pPr>
      <w:bookmarkStart w:id="15" w:name="_Toc4222"/>
      <w:bookmarkStart w:id="16" w:name="_Toc14226"/>
      <w:bookmarkStart w:id="17" w:name="_Toc3581"/>
      <w:bookmarkStart w:id="18" w:name="_Toc2523"/>
      <w:bookmarkStart w:id="19" w:name="_Toc1392"/>
      <w:bookmarkStart w:id="20" w:name="_Toc1440"/>
      <w:bookmarkStart w:id="21" w:name="_Toc17436"/>
      <w:bookmarkStart w:id="22" w:name="_Toc7381"/>
      <w:bookmarkStart w:id="23" w:name="_Toc6040"/>
      <w:bookmarkStart w:id="24" w:name="_Toc10720"/>
      <w:bookmarkStart w:id="25" w:name="_Toc5892"/>
      <w:bookmarkStart w:id="26" w:name="_Toc16317"/>
      <w:bookmarkStart w:id="27" w:name="_Toc19024"/>
      <w:bookmarkStart w:id="28" w:name="_Toc4642"/>
      <w:r>
        <w:rPr>
          <w:rFonts w:hint="eastAsia" w:ascii="Times New Roman" w:hAnsi="Times New Roman" w:cs="Times New Roman"/>
          <w:kern w:val="0"/>
        </w:rPr>
        <w:t>（三）统筹老龄事业发展</w:t>
      </w:r>
      <w:bookmarkEnd w:id="15"/>
      <w:bookmarkEnd w:id="16"/>
      <w:bookmarkEnd w:id="17"/>
      <w:bookmarkEnd w:id="18"/>
      <w:bookmarkEnd w:id="19"/>
      <w:bookmarkEnd w:id="20"/>
      <w:bookmarkEnd w:id="21"/>
      <w:bookmarkEnd w:id="22"/>
      <w:r>
        <w:rPr>
          <w:rFonts w:hint="eastAsia" w:ascii="Times New Roman" w:hAnsi="Times New Roman" w:cs="Times New Roman"/>
          <w:kern w:val="0"/>
        </w:rPr>
        <w:t>，</w:t>
      </w:r>
      <w:r>
        <w:rPr>
          <w:rFonts w:hint="eastAsia" w:ascii="Times New Roman" w:hAnsi="Times New Roman" w:cs="Times New Roman"/>
          <w:kern w:val="0"/>
          <w:lang w:eastAsia="zh-CN"/>
        </w:rPr>
        <w:t>“</w:t>
      </w:r>
      <w:r>
        <w:rPr>
          <w:rFonts w:hint="eastAsia" w:ascii="Times New Roman" w:hAnsi="Times New Roman" w:cs="Times New Roman"/>
          <w:kern w:val="0"/>
        </w:rPr>
        <w:t>津牌养老</w:t>
      </w:r>
      <w:r>
        <w:rPr>
          <w:rFonts w:hint="eastAsia" w:ascii="Times New Roman" w:hAnsi="Times New Roman" w:cs="Times New Roman"/>
          <w:kern w:val="0"/>
          <w:lang w:eastAsia="zh-CN"/>
        </w:rPr>
        <w:t>”</w:t>
      </w:r>
      <w:r>
        <w:rPr>
          <w:rFonts w:hint="eastAsia" w:ascii="Times New Roman" w:hAnsi="Times New Roman" w:cs="Times New Roman"/>
          <w:kern w:val="0"/>
        </w:rPr>
        <w:t>服务体系规范构建</w:t>
      </w:r>
      <w:bookmarkEnd w:id="23"/>
    </w:p>
    <w:p w14:paraId="6C63F4CF">
      <w:pPr>
        <w:widowControl/>
        <w:numPr>
          <w:ilvl w:val="0"/>
          <w:numId w:val="0"/>
        </w:numPr>
        <w:spacing w:line="560" w:lineRule="exact"/>
        <w:ind w:firstLine="640" w:firstLineChars="200"/>
        <w:rPr>
          <w:rFonts w:ascii="Times New Roman" w:hAnsi="Times New Roman" w:eastAsia="仿宋" w:cs="Times New Roman"/>
          <w:color w:val="000000"/>
          <w:kern w:val="0"/>
          <w:sz w:val="32"/>
          <w:szCs w:val="22"/>
        </w:rPr>
      </w:pPr>
      <w:r>
        <w:rPr>
          <w:rFonts w:hint="eastAsia" w:ascii="Times New Roman" w:hAnsi="Times New Roman" w:eastAsia="楷体" w:cs="Times New Roman"/>
          <w:bCs/>
          <w:color w:val="000000"/>
          <w:kern w:val="0"/>
          <w:sz w:val="32"/>
          <w:szCs w:val="22"/>
        </w:rPr>
        <w:t>老龄工作机制持续完善。</w:t>
      </w:r>
      <w:r>
        <w:rPr>
          <w:rFonts w:hint="eastAsia" w:ascii="方正仿宋_GB2312" w:hAnsi="方正仿宋_GB2312" w:eastAsia="仿宋_GB2312" w:cs="方正仿宋_GB2312"/>
          <w:color w:val="000000"/>
          <w:kern w:val="0"/>
          <w:sz w:val="32"/>
          <w:szCs w:val="22"/>
        </w:rPr>
        <w:t>组建新一届老龄工作委员会，老龄工作系统性、协同性进一步增强。先后出台《天津市进一步推进老龄事业发展和养老服务体系建设具体措施》《天津市推进基本养老服务体系建设实施方案》等</w:t>
      </w:r>
      <w:r>
        <w:rPr>
          <w:rFonts w:hint="eastAsia" w:ascii="Times New Roman" w:hAnsi="Times New Roman" w:eastAsia="仿宋" w:cs="Times New Roman"/>
          <w:color w:val="000000"/>
          <w:kern w:val="0"/>
          <w:sz w:val="32"/>
          <w:szCs w:val="22"/>
        </w:rPr>
        <w:t>60</w:t>
      </w:r>
      <w:r>
        <w:rPr>
          <w:rFonts w:hint="eastAsia" w:ascii="方正仿宋_GB2312" w:hAnsi="方正仿宋_GB2312" w:eastAsia="仿宋_GB2312" w:cs="方正仿宋_GB2312"/>
          <w:color w:val="000000"/>
          <w:kern w:val="0"/>
          <w:sz w:val="32"/>
          <w:szCs w:val="22"/>
        </w:rPr>
        <w:t>余项涉老政策措施，制定</w:t>
      </w:r>
      <w:r>
        <w:rPr>
          <w:rFonts w:hint="eastAsia" w:ascii="Times New Roman" w:hAnsi="Times New Roman" w:eastAsia="仿宋" w:cs="Times New Roman"/>
          <w:color w:val="000000"/>
          <w:kern w:val="0"/>
          <w:sz w:val="32"/>
          <w:szCs w:val="22"/>
        </w:rPr>
        <w:t>48</w:t>
      </w:r>
      <w:r>
        <w:rPr>
          <w:rFonts w:hint="eastAsia" w:ascii="方正仿宋_GB2312" w:hAnsi="方正仿宋_GB2312" w:eastAsia="仿宋_GB2312" w:cs="方正仿宋_GB2312"/>
          <w:color w:val="000000"/>
          <w:kern w:val="0"/>
          <w:sz w:val="32"/>
          <w:szCs w:val="22"/>
        </w:rPr>
        <w:t>项细化目标推进老龄事业高质量发展。创建</w:t>
      </w:r>
      <w:r>
        <w:rPr>
          <w:rFonts w:hint="eastAsia" w:ascii="方正仿宋_GB2312" w:hAnsi="方正仿宋_GB2312" w:eastAsia="仿宋_GB2312" w:cs="方正仿宋_GB2312"/>
          <w:color w:val="000000"/>
          <w:kern w:val="0"/>
          <w:sz w:val="32"/>
          <w:szCs w:val="22"/>
          <w:highlight w:val="none"/>
        </w:rPr>
        <w:t>全国示范</w:t>
      </w:r>
      <w:r>
        <w:rPr>
          <w:rFonts w:hint="eastAsia" w:ascii="方正仿宋_GB2312" w:hAnsi="方正仿宋_GB2312" w:eastAsia="仿宋_GB2312" w:cs="方正仿宋_GB2312"/>
          <w:color w:val="000000"/>
          <w:kern w:val="0"/>
          <w:sz w:val="32"/>
          <w:szCs w:val="22"/>
          <w:highlight w:val="none"/>
          <w:lang w:eastAsia="zh-CN"/>
        </w:rPr>
        <w:t>性</w:t>
      </w:r>
      <w:r>
        <w:rPr>
          <w:rFonts w:hint="eastAsia" w:ascii="方正仿宋_GB2312" w:hAnsi="方正仿宋_GB2312" w:eastAsia="仿宋_GB2312" w:cs="方正仿宋_GB2312"/>
          <w:color w:val="000000"/>
          <w:kern w:val="0"/>
          <w:sz w:val="32"/>
          <w:szCs w:val="22"/>
          <w:highlight w:val="none"/>
        </w:rPr>
        <w:t>老年友好</w:t>
      </w:r>
      <w:r>
        <w:rPr>
          <w:rFonts w:hint="eastAsia" w:ascii="方正仿宋_GB2312" w:hAnsi="方正仿宋_GB2312" w:eastAsia="仿宋_GB2312" w:cs="方正仿宋_GB2312"/>
          <w:color w:val="000000"/>
          <w:kern w:val="0"/>
          <w:sz w:val="32"/>
          <w:szCs w:val="22"/>
          <w:highlight w:val="none"/>
          <w:lang w:eastAsia="zh-CN"/>
        </w:rPr>
        <w:t>型</w:t>
      </w:r>
      <w:r>
        <w:rPr>
          <w:rFonts w:hint="eastAsia" w:ascii="方正仿宋_GB2312" w:hAnsi="方正仿宋_GB2312" w:eastAsia="仿宋_GB2312" w:cs="方正仿宋_GB2312"/>
          <w:color w:val="000000"/>
          <w:kern w:val="0"/>
          <w:sz w:val="32"/>
          <w:szCs w:val="22"/>
          <w:highlight w:val="none"/>
        </w:rPr>
        <w:t>社区</w:t>
      </w:r>
      <w:r>
        <w:rPr>
          <w:rFonts w:hint="eastAsia" w:ascii="Times New Roman" w:hAnsi="Times New Roman" w:eastAsia="仿宋" w:cs="Times New Roman"/>
          <w:color w:val="000000"/>
          <w:kern w:val="0"/>
          <w:sz w:val="32"/>
          <w:szCs w:val="22"/>
          <w:highlight w:val="none"/>
        </w:rPr>
        <w:t>8</w:t>
      </w:r>
      <w:r>
        <w:rPr>
          <w:rFonts w:hint="eastAsia" w:ascii="Times New Roman" w:hAnsi="Times New Roman" w:eastAsia="仿宋" w:cs="Times New Roman"/>
          <w:color w:val="000000"/>
          <w:kern w:val="0"/>
          <w:sz w:val="32"/>
          <w:szCs w:val="22"/>
        </w:rPr>
        <w:t>3</w:t>
      </w:r>
      <w:r>
        <w:rPr>
          <w:rFonts w:hint="eastAsia" w:ascii="方正仿宋_GB2312" w:hAnsi="方正仿宋_GB2312" w:eastAsia="仿宋_GB2312" w:cs="方正仿宋_GB2312"/>
          <w:color w:val="000000"/>
          <w:kern w:val="0"/>
          <w:sz w:val="32"/>
          <w:szCs w:val="22"/>
        </w:rPr>
        <w:t>个，“银龄行动”老年志愿者活跃</w:t>
      </w:r>
      <w:r>
        <w:rPr>
          <w:rFonts w:hint="eastAsia" w:ascii="方正仿宋_GB2312" w:hAnsi="方正仿宋_GB2312" w:eastAsia="仿宋_GB2312" w:cs="方正仿宋_GB2312"/>
          <w:color w:val="000000"/>
          <w:kern w:val="0"/>
          <w:sz w:val="32"/>
          <w:szCs w:val="22"/>
          <w:lang w:eastAsia="zh-CN"/>
        </w:rPr>
        <w:t>在</w:t>
      </w:r>
      <w:r>
        <w:rPr>
          <w:rFonts w:hint="eastAsia" w:ascii="方正仿宋_GB2312" w:hAnsi="方正仿宋_GB2312" w:eastAsia="仿宋_GB2312" w:cs="方正仿宋_GB2312"/>
          <w:color w:val="000000"/>
          <w:kern w:val="0"/>
          <w:sz w:val="32"/>
          <w:szCs w:val="22"/>
        </w:rPr>
        <w:t>基层治理</w:t>
      </w:r>
      <w:r>
        <w:rPr>
          <w:rFonts w:hint="eastAsia" w:ascii="方正仿宋_GB2312" w:hAnsi="方正仿宋_GB2312" w:eastAsia="仿宋_GB2312" w:cs="方正仿宋_GB2312"/>
          <w:color w:val="000000"/>
          <w:kern w:val="0"/>
          <w:sz w:val="32"/>
          <w:szCs w:val="22"/>
          <w:lang w:eastAsia="zh-CN"/>
        </w:rPr>
        <w:t>一线</w:t>
      </w:r>
      <w:r>
        <w:rPr>
          <w:rFonts w:hint="eastAsia" w:ascii="方正仿宋_GB2312" w:hAnsi="方正仿宋_GB2312" w:eastAsia="仿宋_GB2312" w:cs="方正仿宋_GB2312"/>
          <w:color w:val="000000"/>
          <w:kern w:val="0"/>
          <w:sz w:val="32"/>
          <w:szCs w:val="22"/>
        </w:rPr>
        <w:t>，老年人获得感、幸福感、安全感有效提升。</w:t>
      </w:r>
    </w:p>
    <w:p w14:paraId="1691052A">
      <w:pPr>
        <w:widowControl/>
        <w:spacing w:line="560" w:lineRule="exact"/>
        <w:ind w:firstLine="640" w:firstLineChars="200"/>
        <w:rPr>
          <w:rFonts w:ascii="Times New Roman" w:hAnsi="Times New Roman" w:eastAsia="仿宋" w:cs="Times New Roman"/>
          <w:color w:val="000000"/>
          <w:kern w:val="0"/>
          <w:sz w:val="32"/>
          <w:szCs w:val="22"/>
        </w:rPr>
      </w:pPr>
      <w:r>
        <w:rPr>
          <w:rStyle w:val="16"/>
          <w:rFonts w:hint="eastAsia" w:ascii="Times New Roman" w:hAnsi="Times New Roman" w:cs="Times New Roman"/>
          <w:kern w:val="0"/>
        </w:rPr>
        <w:t>养老服务供给</w:t>
      </w:r>
      <w:r>
        <w:rPr>
          <w:rStyle w:val="16"/>
          <w:rFonts w:hint="eastAsia" w:cs="Times New Roman"/>
          <w:kern w:val="0"/>
        </w:rPr>
        <w:t>不断丰富</w:t>
      </w:r>
      <w:r>
        <w:rPr>
          <w:rStyle w:val="16"/>
          <w:rFonts w:hint="eastAsia" w:ascii="Times New Roman" w:hAnsi="Times New Roman" w:cs="Times New Roman"/>
          <w:kern w:val="0"/>
        </w:rPr>
        <w:t>。</w:t>
      </w:r>
      <w:r>
        <w:rPr>
          <w:rFonts w:hint="eastAsia" w:ascii="方正仿宋_GB2312" w:hAnsi="方正仿宋_GB2312" w:eastAsia="仿宋_GB2312" w:cs="方正仿宋_GB2312"/>
          <w:color w:val="000000"/>
          <w:kern w:val="0"/>
          <w:sz w:val="32"/>
          <w:szCs w:val="22"/>
        </w:rPr>
        <w:t>居家社区机构相协调、医养康养相结合的养老服务体系基本完成，“津牌养老”服务品牌更加亮眼。完善困难老年人服务补贴、养老护理补贴、高龄津贴三类补贴政策，累计发放补贴资金</w:t>
      </w:r>
      <w:r>
        <w:rPr>
          <w:rFonts w:ascii="Times New Roman" w:hAnsi="Times New Roman" w:eastAsia="仿宋" w:cs="Times New Roman"/>
          <w:color w:val="000000"/>
          <w:kern w:val="0"/>
          <w:sz w:val="32"/>
          <w:szCs w:val="22"/>
        </w:rPr>
        <w:t>4.85</w:t>
      </w:r>
      <w:r>
        <w:rPr>
          <w:rFonts w:hint="eastAsia" w:ascii="方正仿宋_GB2312" w:hAnsi="方正仿宋_GB2312" w:eastAsia="仿宋_GB2312" w:cs="方正仿宋_GB2312"/>
          <w:color w:val="000000"/>
          <w:kern w:val="0"/>
          <w:sz w:val="32"/>
          <w:szCs w:val="22"/>
        </w:rPr>
        <w:t>亿元，惠及我市</w:t>
      </w:r>
      <w:r>
        <w:rPr>
          <w:rFonts w:hint="eastAsia" w:ascii="Times New Roman" w:hAnsi="Times New Roman" w:eastAsia="仿宋" w:cs="Times New Roman"/>
          <w:color w:val="000000"/>
          <w:kern w:val="0"/>
          <w:sz w:val="32"/>
          <w:szCs w:val="22"/>
        </w:rPr>
        <w:t>45</w:t>
      </w:r>
      <w:r>
        <w:rPr>
          <w:rFonts w:hint="eastAsia" w:ascii="方正仿宋_GB2312" w:hAnsi="方正仿宋_GB2312" w:eastAsia="仿宋_GB2312" w:cs="方正仿宋_GB2312"/>
          <w:color w:val="000000"/>
          <w:kern w:val="0"/>
          <w:sz w:val="32"/>
          <w:szCs w:val="22"/>
        </w:rPr>
        <w:t>万余</w:t>
      </w:r>
      <w:r>
        <w:rPr>
          <w:rFonts w:hint="eastAsia" w:ascii="方正仿宋_GB2312" w:hAnsi="方正仿宋_GB2312" w:eastAsia="仿宋_GB2312" w:cs="方正仿宋_GB2312"/>
          <w:color w:val="000000"/>
          <w:kern w:val="0"/>
          <w:sz w:val="32"/>
          <w:szCs w:val="22"/>
          <w:lang w:eastAsia="zh-CN"/>
        </w:rPr>
        <w:t>名</w:t>
      </w:r>
      <w:r>
        <w:rPr>
          <w:rFonts w:hint="eastAsia" w:ascii="方正仿宋_GB2312" w:hAnsi="方正仿宋_GB2312" w:eastAsia="仿宋_GB2312" w:cs="方正仿宋_GB2312"/>
          <w:color w:val="000000"/>
          <w:kern w:val="0"/>
          <w:sz w:val="32"/>
          <w:szCs w:val="22"/>
        </w:rPr>
        <w:t>老年人，开展助餐、助洁等十类居家养老服务，完成</w:t>
      </w:r>
      <w:r>
        <w:rPr>
          <w:rFonts w:ascii="Times New Roman" w:hAnsi="Times New Roman" w:eastAsia="仿宋" w:cs="Times New Roman"/>
          <w:color w:val="000000"/>
          <w:kern w:val="0"/>
          <w:sz w:val="32"/>
          <w:szCs w:val="22"/>
        </w:rPr>
        <w:t>7000</w:t>
      </w:r>
      <w:r>
        <w:rPr>
          <w:rFonts w:hint="eastAsia" w:ascii="方正仿宋_GB2312" w:hAnsi="方正仿宋_GB2312" w:eastAsia="仿宋_GB2312" w:cs="方正仿宋_GB2312"/>
          <w:color w:val="000000"/>
          <w:kern w:val="0"/>
          <w:sz w:val="32"/>
          <w:szCs w:val="22"/>
        </w:rPr>
        <w:t>余户困难老年人家庭适老化改造。开展家庭照护者培训，培育</w:t>
      </w:r>
      <w:r>
        <w:rPr>
          <w:rFonts w:ascii="Times New Roman" w:hAnsi="Times New Roman" w:eastAsia="仿宋" w:cs="Times New Roman"/>
          <w:color w:val="000000"/>
          <w:kern w:val="0"/>
          <w:sz w:val="32"/>
          <w:szCs w:val="22"/>
        </w:rPr>
        <w:t>40</w:t>
      </w:r>
      <w:r>
        <w:rPr>
          <w:rFonts w:hint="eastAsia" w:ascii="方正仿宋_GB2312" w:hAnsi="方正仿宋_GB2312" w:eastAsia="仿宋_GB2312" w:cs="方正仿宋_GB2312"/>
          <w:color w:val="000000"/>
          <w:kern w:val="0"/>
          <w:sz w:val="32"/>
          <w:szCs w:val="22"/>
        </w:rPr>
        <w:t>余家专业组织，为</w:t>
      </w:r>
      <w:r>
        <w:rPr>
          <w:rFonts w:ascii="Times New Roman" w:hAnsi="Times New Roman" w:eastAsia="仿宋" w:cs="Times New Roman"/>
          <w:color w:val="000000"/>
          <w:kern w:val="0"/>
          <w:sz w:val="32"/>
          <w:szCs w:val="22"/>
        </w:rPr>
        <w:t>4300</w:t>
      </w:r>
      <w:r>
        <w:rPr>
          <w:rFonts w:hint="eastAsia" w:ascii="方正仿宋_GB2312" w:hAnsi="方正仿宋_GB2312" w:eastAsia="仿宋_GB2312" w:cs="方正仿宋_GB2312"/>
          <w:color w:val="000000"/>
          <w:kern w:val="0"/>
          <w:sz w:val="32"/>
          <w:szCs w:val="22"/>
        </w:rPr>
        <w:t>余户家庭提供专业赋能，家庭照护能力显著提升。累计建成养老机构</w:t>
      </w:r>
      <w:r>
        <w:rPr>
          <w:rFonts w:ascii="Times New Roman" w:hAnsi="Times New Roman" w:eastAsia="仿宋" w:cs="Times New Roman"/>
          <w:color w:val="000000"/>
          <w:kern w:val="0"/>
          <w:sz w:val="32"/>
          <w:szCs w:val="22"/>
        </w:rPr>
        <w:t>357</w:t>
      </w:r>
      <w:r>
        <w:rPr>
          <w:rFonts w:hint="eastAsia" w:ascii="方正仿宋_GB2312" w:hAnsi="方正仿宋_GB2312" w:eastAsia="仿宋_GB2312" w:cs="方正仿宋_GB2312"/>
          <w:color w:val="000000"/>
          <w:kern w:val="0"/>
          <w:sz w:val="32"/>
          <w:szCs w:val="22"/>
        </w:rPr>
        <w:t>家、区级养老服务指导中心</w:t>
      </w:r>
      <w:r>
        <w:rPr>
          <w:rFonts w:ascii="Times New Roman" w:hAnsi="Times New Roman" w:eastAsia="仿宋" w:cs="Times New Roman"/>
          <w:color w:val="000000"/>
          <w:kern w:val="0"/>
          <w:sz w:val="32"/>
          <w:szCs w:val="22"/>
        </w:rPr>
        <w:t>16</w:t>
      </w:r>
      <w:r>
        <w:rPr>
          <w:rFonts w:hint="eastAsia" w:ascii="方正仿宋_GB2312" w:hAnsi="方正仿宋_GB2312" w:eastAsia="仿宋_GB2312" w:cs="方正仿宋_GB2312"/>
          <w:color w:val="000000"/>
          <w:kern w:val="0"/>
          <w:sz w:val="32"/>
          <w:szCs w:val="22"/>
        </w:rPr>
        <w:t>个、街乡镇级养老服务综合体</w:t>
      </w:r>
      <w:r>
        <w:rPr>
          <w:rFonts w:ascii="Times New Roman" w:hAnsi="Times New Roman" w:eastAsia="仿宋" w:cs="Times New Roman"/>
          <w:color w:val="000000"/>
          <w:kern w:val="0"/>
          <w:sz w:val="32"/>
          <w:szCs w:val="22"/>
        </w:rPr>
        <w:t>180</w:t>
      </w:r>
      <w:r>
        <w:rPr>
          <w:rFonts w:hint="eastAsia" w:ascii="方正仿宋_GB2312" w:hAnsi="方正仿宋_GB2312" w:eastAsia="仿宋_GB2312" w:cs="方正仿宋_GB2312"/>
          <w:color w:val="000000"/>
          <w:kern w:val="0"/>
          <w:sz w:val="32"/>
          <w:szCs w:val="22"/>
        </w:rPr>
        <w:t>家、社区（村）日间照料中心</w:t>
      </w:r>
      <w:r>
        <w:rPr>
          <w:rFonts w:ascii="Times New Roman" w:hAnsi="Times New Roman" w:eastAsia="仿宋" w:cs="Times New Roman"/>
          <w:color w:val="000000"/>
          <w:kern w:val="0"/>
          <w:sz w:val="32"/>
          <w:szCs w:val="22"/>
        </w:rPr>
        <w:t>1317</w:t>
      </w:r>
      <w:r>
        <w:rPr>
          <w:rFonts w:hint="eastAsia" w:ascii="方正仿宋_GB2312" w:hAnsi="方正仿宋_GB2312" w:eastAsia="仿宋_GB2312" w:cs="方正仿宋_GB2312"/>
          <w:color w:val="000000"/>
          <w:kern w:val="0"/>
          <w:sz w:val="32"/>
          <w:szCs w:val="22"/>
        </w:rPr>
        <w:t>家，各类养老床位</w:t>
      </w:r>
      <w:r>
        <w:rPr>
          <w:rFonts w:ascii="Times New Roman" w:hAnsi="Times New Roman" w:eastAsia="仿宋" w:cs="Times New Roman"/>
          <w:color w:val="000000"/>
          <w:kern w:val="0"/>
          <w:sz w:val="32"/>
          <w:szCs w:val="22"/>
        </w:rPr>
        <w:t>8.15</w:t>
      </w:r>
      <w:r>
        <w:rPr>
          <w:rFonts w:hint="eastAsia" w:ascii="方正仿宋_GB2312" w:hAnsi="方正仿宋_GB2312" w:eastAsia="仿宋_GB2312" w:cs="方正仿宋_GB2312"/>
          <w:color w:val="000000"/>
          <w:kern w:val="0"/>
          <w:sz w:val="32"/>
          <w:szCs w:val="22"/>
        </w:rPr>
        <w:t>万张，护理型床位占比</w:t>
      </w:r>
      <w:r>
        <w:rPr>
          <w:rFonts w:ascii="Times New Roman" w:hAnsi="Times New Roman" w:eastAsia="仿宋" w:cs="Times New Roman"/>
          <w:color w:val="000000"/>
          <w:kern w:val="0"/>
          <w:sz w:val="32"/>
          <w:szCs w:val="22"/>
        </w:rPr>
        <w:t>68.6%，</w:t>
      </w:r>
      <w:r>
        <w:rPr>
          <w:rFonts w:hint="eastAsia" w:ascii="方正仿宋_GB2312" w:hAnsi="方正仿宋_GB2312" w:eastAsia="仿宋_GB2312" w:cs="方正仿宋_GB2312"/>
          <w:color w:val="000000"/>
          <w:kern w:val="0"/>
          <w:sz w:val="32"/>
          <w:szCs w:val="22"/>
        </w:rPr>
        <w:t>开设“老人家食堂”</w:t>
      </w:r>
      <w:r>
        <w:rPr>
          <w:rFonts w:ascii="Times New Roman" w:hAnsi="Times New Roman" w:eastAsia="仿宋" w:cs="Times New Roman"/>
          <w:color w:val="000000"/>
          <w:kern w:val="0"/>
          <w:sz w:val="32"/>
          <w:szCs w:val="22"/>
        </w:rPr>
        <w:t>1852</w:t>
      </w:r>
      <w:r>
        <w:rPr>
          <w:rFonts w:hint="eastAsia" w:ascii="方正仿宋_GB2312" w:hAnsi="方正仿宋_GB2312" w:eastAsia="仿宋_GB2312" w:cs="方正仿宋_GB2312"/>
          <w:color w:val="000000"/>
          <w:kern w:val="0"/>
          <w:sz w:val="32"/>
          <w:szCs w:val="22"/>
        </w:rPr>
        <w:t>家，建成</w:t>
      </w:r>
      <w:r>
        <w:rPr>
          <w:rFonts w:ascii="Times New Roman" w:hAnsi="Times New Roman" w:eastAsia="仿宋" w:cs="Times New Roman"/>
          <w:color w:val="000000"/>
          <w:kern w:val="0"/>
          <w:sz w:val="32"/>
          <w:szCs w:val="22"/>
        </w:rPr>
        <w:t>8</w:t>
      </w:r>
      <w:r>
        <w:rPr>
          <w:rFonts w:hint="eastAsia" w:ascii="方正仿宋_GB2312" w:hAnsi="方正仿宋_GB2312" w:eastAsia="仿宋_GB2312" w:cs="方正仿宋_GB2312"/>
          <w:color w:val="000000"/>
          <w:kern w:val="0"/>
          <w:sz w:val="32"/>
          <w:szCs w:val="22"/>
        </w:rPr>
        <w:t>个示范性社区居家养老服务网络，全市养老服务设施四级网络初具规模。</w:t>
      </w:r>
    </w:p>
    <w:p w14:paraId="6DBB728F">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银发经济动能有效培育。</w:t>
      </w:r>
      <w:r>
        <w:rPr>
          <w:rFonts w:hint="eastAsia" w:ascii="方正仿宋_GB2312" w:hAnsi="方正仿宋_GB2312" w:eastAsia="仿宋_GB2312" w:cs="方正仿宋_GB2312"/>
          <w:color w:val="000000"/>
          <w:kern w:val="0"/>
          <w:sz w:val="32"/>
          <w:szCs w:val="22"/>
        </w:rPr>
        <w:t>深化养老金融服务，积极引导金融机构加大对养老服务设施和银发经济产业的支持力度。推进养老产业优质发展，组建天津康养集团，不断优化养老服务营商环境，引入鹏瑞利、泰康等大型跨国企业、央企投资我市养老服务市场，培育一批专业化、品牌化、连锁化养老服务品牌企业。推进康养消费升级，制定《培育建设国际消费中心城市康养消费工作实施方案》，将养老服务作为建设国际消费中心和优化营商环境的重要内容，持续释放银发经济潜力的市场环境基本形成。</w:t>
      </w:r>
    </w:p>
    <w:p w14:paraId="04E3785A">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养老监管体系逐步</w:t>
      </w:r>
      <w:r>
        <w:rPr>
          <w:rStyle w:val="16"/>
          <w:rFonts w:hint="eastAsia" w:cs="Times New Roman"/>
          <w:kern w:val="0"/>
        </w:rPr>
        <w:t>健全</w:t>
      </w:r>
      <w:r>
        <w:rPr>
          <w:rStyle w:val="16"/>
          <w:rFonts w:hint="eastAsia" w:ascii="Times New Roman" w:hAnsi="Times New Roman" w:cs="Times New Roman"/>
          <w:kern w:val="0"/>
        </w:rPr>
        <w:t>。</w:t>
      </w:r>
      <w:r>
        <w:rPr>
          <w:rFonts w:hint="eastAsia" w:ascii="方正仿宋_GB2312" w:hAnsi="方正仿宋_GB2312" w:eastAsia="仿宋_GB2312" w:cs="方正仿宋_GB2312"/>
          <w:color w:val="000000"/>
          <w:kern w:val="0"/>
          <w:sz w:val="32"/>
          <w:szCs w:val="22"/>
        </w:rPr>
        <w:t>连续开展养老服务领域“点题整治”，严密组织“养老服务监管效能提升年”活动、养老机构人身安全专项整治及养老服务突出问题专项整治，起底风险隐患。健全政策体系，出台综合监管、等级评定及安全生产攻坚等制度，压实监管责任。夯实安全基础，常态化排查消防、食品、燃气及自建房等隐患，开展打击整治养老诈骗等专项行动，全市养老服务安全形势保持总体稳定。</w:t>
      </w:r>
    </w:p>
    <w:p w14:paraId="6D428588">
      <w:pPr>
        <w:pStyle w:val="4"/>
        <w:widowControl/>
        <w:rPr>
          <w:rFonts w:hint="eastAsia" w:cs="Times New Roman"/>
          <w:kern w:val="0"/>
        </w:rPr>
      </w:pPr>
      <w:bookmarkStart w:id="29" w:name="_Toc15406"/>
      <w:bookmarkStart w:id="30" w:name="_Toc26428"/>
      <w:bookmarkStart w:id="31" w:name="_Toc21935"/>
      <w:r>
        <w:rPr>
          <w:rFonts w:hint="eastAsia" w:ascii="Times New Roman" w:hAnsi="Times New Roman" w:cs="Times New Roman"/>
          <w:kern w:val="0"/>
        </w:rPr>
        <w:t>（四）创新社会治理模式，向善向上社会氛围</w:t>
      </w:r>
      <w:bookmarkEnd w:id="24"/>
      <w:bookmarkEnd w:id="25"/>
      <w:bookmarkEnd w:id="26"/>
      <w:bookmarkEnd w:id="27"/>
      <w:bookmarkEnd w:id="28"/>
      <w:bookmarkEnd w:id="29"/>
      <w:bookmarkEnd w:id="30"/>
      <w:r>
        <w:rPr>
          <w:rFonts w:hint="eastAsia" w:ascii="Times New Roman" w:hAnsi="Times New Roman" w:cs="Times New Roman"/>
          <w:kern w:val="0"/>
        </w:rPr>
        <w:t>日益浓厚</w:t>
      </w:r>
      <w:bookmarkEnd w:id="31"/>
    </w:p>
    <w:p w14:paraId="6811A1D2">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社会组织规模质量同步提升。</w:t>
      </w:r>
      <w:r>
        <w:rPr>
          <w:rFonts w:hint="eastAsia" w:ascii="方正仿宋_GB2312" w:hAnsi="方正仿宋_GB2312" w:eastAsia="仿宋_GB2312" w:cs="方正仿宋_GB2312"/>
          <w:color w:val="000000"/>
          <w:kern w:val="0"/>
          <w:sz w:val="32"/>
          <w:szCs w:val="22"/>
        </w:rPr>
        <w:t>全市登记社会组织</w:t>
      </w:r>
      <w:r>
        <w:rPr>
          <w:rFonts w:ascii="Times New Roman" w:hAnsi="Times New Roman" w:eastAsia="仿宋" w:cs="Times New Roman"/>
          <w:color w:val="000000"/>
          <w:kern w:val="0"/>
          <w:sz w:val="32"/>
          <w:szCs w:val="22"/>
        </w:rPr>
        <w:t>7166</w:t>
      </w:r>
      <w:r>
        <w:rPr>
          <w:rFonts w:hint="eastAsia" w:ascii="方正仿宋_GB2312" w:hAnsi="方正仿宋_GB2312" w:eastAsia="仿宋_GB2312" w:cs="方正仿宋_GB2312"/>
          <w:color w:val="000000"/>
          <w:kern w:val="0"/>
          <w:sz w:val="32"/>
          <w:szCs w:val="22"/>
        </w:rPr>
        <w:t>家，其中市级</w:t>
      </w:r>
      <w:r>
        <w:rPr>
          <w:rFonts w:ascii="Times New Roman" w:hAnsi="Times New Roman" w:eastAsia="仿宋" w:cs="Times New Roman"/>
          <w:color w:val="000000"/>
          <w:kern w:val="0"/>
          <w:sz w:val="32"/>
          <w:szCs w:val="22"/>
        </w:rPr>
        <w:t>1522</w:t>
      </w:r>
      <w:r>
        <w:rPr>
          <w:rFonts w:hint="eastAsia" w:ascii="方正仿宋_GB2312" w:hAnsi="方正仿宋_GB2312" w:eastAsia="仿宋_GB2312" w:cs="方正仿宋_GB2312"/>
          <w:color w:val="000000"/>
          <w:kern w:val="0"/>
          <w:sz w:val="32"/>
          <w:szCs w:val="22"/>
        </w:rPr>
        <w:t>家，较“十三五”末增加</w:t>
      </w:r>
      <w:r>
        <w:rPr>
          <w:rFonts w:ascii="Times New Roman" w:hAnsi="Times New Roman" w:eastAsia="仿宋" w:cs="Times New Roman"/>
          <w:color w:val="000000"/>
          <w:kern w:val="0"/>
          <w:sz w:val="32"/>
          <w:szCs w:val="22"/>
        </w:rPr>
        <w:t>1140</w:t>
      </w:r>
      <w:r>
        <w:rPr>
          <w:rFonts w:hint="eastAsia" w:ascii="方正仿宋_GB2312" w:hAnsi="方正仿宋_GB2312" w:eastAsia="仿宋_GB2312" w:cs="方正仿宋_GB2312"/>
          <w:color w:val="000000"/>
          <w:kern w:val="0"/>
          <w:sz w:val="32"/>
          <w:szCs w:val="22"/>
        </w:rPr>
        <w:t>家，年均增长</w:t>
      </w:r>
      <w:r>
        <w:rPr>
          <w:rFonts w:ascii="Times New Roman" w:hAnsi="Times New Roman" w:eastAsia="仿宋" w:cs="Times New Roman"/>
          <w:color w:val="000000"/>
          <w:kern w:val="0"/>
          <w:sz w:val="32"/>
          <w:szCs w:val="22"/>
        </w:rPr>
        <w:t>3.5%</w:t>
      </w:r>
      <w:r>
        <w:rPr>
          <w:rFonts w:hint="eastAsia" w:ascii="Times New Roman" w:hAnsi="Times New Roman" w:eastAsia="仿宋" w:cs="Times New Roman"/>
          <w:color w:val="000000"/>
          <w:kern w:val="0"/>
          <w:sz w:val="32"/>
          <w:szCs w:val="22"/>
        </w:rPr>
        <w:t>，</w:t>
      </w:r>
      <w:r>
        <w:rPr>
          <w:rFonts w:hint="eastAsia" w:ascii="方正仿宋_GB2312" w:hAnsi="方正仿宋_GB2312" w:eastAsia="仿宋_GB2312" w:cs="方正仿宋_GB2312"/>
          <w:color w:val="000000"/>
          <w:kern w:val="0"/>
          <w:sz w:val="32"/>
          <w:szCs w:val="22"/>
        </w:rPr>
        <w:t>社会组织规模稳步扩大。全市科技类社会组织</w:t>
      </w:r>
      <w:r>
        <w:rPr>
          <w:rFonts w:ascii="Times New Roman" w:hAnsi="Times New Roman" w:eastAsia="仿宋" w:cs="Times New Roman"/>
          <w:color w:val="000000"/>
          <w:kern w:val="0"/>
          <w:sz w:val="32"/>
          <w:szCs w:val="22"/>
        </w:rPr>
        <w:t>310</w:t>
      </w:r>
      <w:r>
        <w:rPr>
          <w:rFonts w:hint="eastAsia" w:ascii="方正仿宋_GB2312" w:hAnsi="方正仿宋_GB2312" w:eastAsia="仿宋_GB2312" w:cs="方正仿宋_GB2312"/>
          <w:color w:val="000000"/>
          <w:kern w:val="0"/>
          <w:sz w:val="32"/>
          <w:szCs w:val="22"/>
        </w:rPr>
        <w:t>家，备案社区社会组织</w:t>
      </w:r>
      <w:r>
        <w:rPr>
          <w:rFonts w:ascii="Times New Roman" w:hAnsi="Times New Roman" w:eastAsia="仿宋" w:cs="Times New Roman"/>
          <w:color w:val="000000"/>
          <w:kern w:val="0"/>
          <w:sz w:val="32"/>
          <w:szCs w:val="22"/>
        </w:rPr>
        <w:t>3.62</w:t>
      </w:r>
      <w:r>
        <w:rPr>
          <w:rFonts w:hint="eastAsia" w:ascii="方正仿宋_GB2312" w:hAnsi="方正仿宋_GB2312" w:eastAsia="仿宋_GB2312" w:cs="方正仿宋_GB2312"/>
          <w:color w:val="000000"/>
          <w:kern w:val="0"/>
          <w:sz w:val="32"/>
          <w:szCs w:val="22"/>
        </w:rPr>
        <w:t>万家，社会团体共有单位会员</w:t>
      </w:r>
      <w:r>
        <w:rPr>
          <w:rFonts w:ascii="Times New Roman" w:hAnsi="Times New Roman" w:eastAsia="仿宋" w:cs="Times New Roman"/>
          <w:color w:val="000000"/>
          <w:kern w:val="0"/>
          <w:sz w:val="32"/>
          <w:szCs w:val="22"/>
        </w:rPr>
        <w:t>30.98</w:t>
      </w:r>
      <w:r>
        <w:rPr>
          <w:rFonts w:hint="eastAsia" w:ascii="方正仿宋_GB2312" w:hAnsi="方正仿宋_GB2312" w:eastAsia="仿宋_GB2312" w:cs="方正仿宋_GB2312"/>
          <w:color w:val="000000"/>
          <w:kern w:val="0"/>
          <w:sz w:val="32"/>
          <w:szCs w:val="22"/>
        </w:rPr>
        <w:t>万家，个人会员</w:t>
      </w:r>
      <w:r>
        <w:rPr>
          <w:rFonts w:ascii="Times New Roman" w:hAnsi="Times New Roman" w:eastAsia="仿宋" w:cs="Times New Roman"/>
          <w:color w:val="000000"/>
          <w:kern w:val="0"/>
          <w:sz w:val="32"/>
          <w:szCs w:val="22"/>
        </w:rPr>
        <w:t>132.57</w:t>
      </w:r>
      <w:r>
        <w:rPr>
          <w:rFonts w:hint="eastAsia" w:ascii="方正仿宋_GB2312" w:hAnsi="方正仿宋_GB2312" w:eastAsia="仿宋_GB2312" w:cs="方正仿宋_GB2312"/>
          <w:color w:val="000000"/>
          <w:kern w:val="0"/>
          <w:sz w:val="32"/>
          <w:szCs w:val="22"/>
        </w:rPr>
        <w:t>万人，社区群众活动团体日益繁荣，社会组织在促进居民参与、提供社区服务、丰富社区文化等方面发挥的作用凸显。社会组织专职工作人员队伍规模不断扩大，全市拥有专职工作人员近</w:t>
      </w:r>
      <w:r>
        <w:rPr>
          <w:rFonts w:ascii="Times New Roman" w:hAnsi="Times New Roman" w:eastAsia="仿宋" w:cs="Times New Roman"/>
          <w:color w:val="000000"/>
          <w:kern w:val="0"/>
          <w:sz w:val="32"/>
          <w:szCs w:val="22"/>
        </w:rPr>
        <w:t>6</w:t>
      </w:r>
      <w:r>
        <w:rPr>
          <w:rFonts w:hint="eastAsia" w:ascii="方正仿宋_GB2312" w:hAnsi="方正仿宋_GB2312" w:eastAsia="仿宋_GB2312" w:cs="方正仿宋_GB2312"/>
          <w:color w:val="000000"/>
          <w:kern w:val="0"/>
          <w:sz w:val="32"/>
          <w:szCs w:val="22"/>
        </w:rPr>
        <w:t>万人，净资产逾</w:t>
      </w:r>
      <w:r>
        <w:rPr>
          <w:rFonts w:ascii="Times New Roman" w:hAnsi="Times New Roman" w:eastAsia="仿宋" w:cs="Times New Roman"/>
          <w:color w:val="000000"/>
          <w:kern w:val="0"/>
          <w:sz w:val="32"/>
          <w:szCs w:val="22"/>
        </w:rPr>
        <w:t>160</w:t>
      </w:r>
      <w:r>
        <w:rPr>
          <w:rFonts w:hint="eastAsia" w:ascii="方正仿宋_GB2312" w:hAnsi="方正仿宋_GB2312" w:eastAsia="仿宋_GB2312" w:cs="方正仿宋_GB2312"/>
          <w:color w:val="000000"/>
          <w:kern w:val="0"/>
          <w:sz w:val="32"/>
          <w:szCs w:val="22"/>
        </w:rPr>
        <w:t>亿元。全市社会组织在推动协商民主、促进经济发展、繁荣社会事业、提供公共服务、保护生态环境等方面持续发挥积极作用。</w:t>
      </w:r>
    </w:p>
    <w:p w14:paraId="13F06390">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32"/>
          <w:shd w:val="clear" w:color="auto" w:fill="FFFFFF"/>
        </w:rPr>
        <w:t>监管治理链条体系创新构建。</w:t>
      </w:r>
      <w:r>
        <w:rPr>
          <w:rFonts w:hint="eastAsia" w:ascii="方正仿宋_GB2312" w:hAnsi="方正仿宋_GB2312" w:eastAsia="仿宋_GB2312" w:cs="方正仿宋_GB2312"/>
          <w:color w:val="000000"/>
          <w:kern w:val="0"/>
          <w:sz w:val="32"/>
          <w:szCs w:val="22"/>
        </w:rPr>
        <w:t>强化等级评估机制，推动社会组织提升内部治理水平。健全“评估—监管—整治”综合监管体系，规范行业协会商会管理，分两批次厘清</w:t>
      </w:r>
      <w:r>
        <w:rPr>
          <w:rFonts w:ascii="Times New Roman" w:hAnsi="Times New Roman" w:eastAsia="仿宋" w:cs="Times New Roman"/>
          <w:color w:val="000000"/>
          <w:kern w:val="0"/>
          <w:sz w:val="32"/>
          <w:szCs w:val="22"/>
        </w:rPr>
        <w:t>603</w:t>
      </w:r>
      <w:r>
        <w:rPr>
          <w:rFonts w:hint="eastAsia" w:ascii="方正仿宋_GB2312" w:hAnsi="方正仿宋_GB2312" w:eastAsia="仿宋_GB2312" w:cs="方正仿宋_GB2312"/>
          <w:color w:val="000000"/>
          <w:kern w:val="0"/>
          <w:sz w:val="32"/>
          <w:szCs w:val="22"/>
        </w:rPr>
        <w:t>家行业协会商会行业管理部门职责，建立健全社会组织换届指导规范，开展“僵尸型”组织、乱收费及违规评奖行为专项整治。下沉非营利监管模式，建成社会服务机构非营利监管观察点，建立预算绩效专家库，探索形成矛盾纠纷调解机制。</w:t>
      </w:r>
    </w:p>
    <w:p w14:paraId="534AC39C">
      <w:pPr>
        <w:widowControl/>
        <w:spacing w:line="560" w:lineRule="exact"/>
        <w:ind w:firstLine="640" w:firstLineChars="200"/>
        <w:rPr>
          <w:rFonts w:ascii="Times New Roman" w:hAnsi="Times New Roman" w:eastAsia="仿宋" w:cs="Times New Roman"/>
          <w:color w:val="000000"/>
          <w:kern w:val="0"/>
          <w:sz w:val="32"/>
          <w:szCs w:val="22"/>
        </w:rPr>
      </w:pPr>
      <w:r>
        <w:rPr>
          <w:rFonts w:hint="eastAsia" w:ascii="Times New Roman" w:hAnsi="Times New Roman" w:eastAsia="楷体" w:cs="Times New Roman"/>
          <w:color w:val="000000"/>
          <w:kern w:val="0"/>
          <w:sz w:val="32"/>
          <w:szCs w:val="32"/>
          <w:shd w:val="clear" w:color="auto" w:fill="FFFFFF"/>
        </w:rPr>
        <w:t>慈善事业体量效能持续精进。</w:t>
      </w:r>
      <w:r>
        <w:rPr>
          <w:rFonts w:hint="eastAsia" w:ascii="方正仿宋_GB2312" w:hAnsi="方正仿宋_GB2312" w:eastAsia="仿宋_GB2312" w:cs="方正仿宋_GB2312"/>
          <w:color w:val="000000"/>
          <w:kern w:val="0"/>
          <w:sz w:val="32"/>
          <w:szCs w:val="22"/>
        </w:rPr>
        <w:t>动员引领我市社会组织助力推进巩固拓展脱贫攻坚成果和乡村振兴相结合，为受援</w:t>
      </w:r>
      <w:r>
        <w:rPr>
          <w:rFonts w:hint="eastAsia" w:ascii="方正仿宋_GB2312" w:hAnsi="方正仿宋_GB2312" w:eastAsia="仿宋_GB2312" w:cs="方正仿宋_GB2312"/>
          <w:color w:val="000000"/>
          <w:kern w:val="0"/>
          <w:sz w:val="32"/>
          <w:szCs w:val="22"/>
          <w:lang w:val="en-US" w:eastAsia="zh-CN"/>
        </w:rPr>
        <w:t>地区</w:t>
      </w:r>
      <w:r>
        <w:rPr>
          <w:rFonts w:hint="eastAsia" w:ascii="方正仿宋_GB2312" w:hAnsi="方正仿宋_GB2312" w:eastAsia="仿宋_GB2312" w:cs="方正仿宋_GB2312"/>
          <w:color w:val="000000"/>
          <w:kern w:val="0"/>
          <w:sz w:val="32"/>
          <w:szCs w:val="22"/>
        </w:rPr>
        <w:t>募集捐赠款物逾</w:t>
      </w:r>
      <w:r>
        <w:rPr>
          <w:rFonts w:ascii="Times New Roman" w:hAnsi="Times New Roman" w:eastAsia="仿宋" w:cs="Times New Roman"/>
          <w:color w:val="000000"/>
          <w:kern w:val="0"/>
          <w:sz w:val="32"/>
          <w:szCs w:val="22"/>
        </w:rPr>
        <w:t>1</w:t>
      </w:r>
      <w:r>
        <w:rPr>
          <w:rFonts w:hint="eastAsia" w:ascii="方正仿宋_GB2312" w:hAnsi="方正仿宋_GB2312" w:eastAsia="仿宋_GB2312" w:cs="方正仿宋_GB2312"/>
          <w:color w:val="000000"/>
          <w:kern w:val="0"/>
          <w:sz w:val="32"/>
          <w:szCs w:val="22"/>
        </w:rPr>
        <w:t>亿元。积极响应全国重大灾害突发事件，推动社区公益事业升级发展，投入专项经费</w:t>
      </w:r>
      <w:r>
        <w:rPr>
          <w:rFonts w:ascii="Times New Roman" w:hAnsi="Times New Roman" w:eastAsia="仿宋" w:cs="Times New Roman"/>
          <w:color w:val="000000"/>
          <w:kern w:val="0"/>
          <w:sz w:val="32"/>
          <w:szCs w:val="22"/>
        </w:rPr>
        <w:t>5300</w:t>
      </w:r>
      <w:r>
        <w:rPr>
          <w:rFonts w:hint="eastAsia" w:ascii="方正仿宋_GB2312" w:hAnsi="方正仿宋_GB2312" w:eastAsia="仿宋_GB2312" w:cs="方正仿宋_GB2312"/>
          <w:color w:val="000000"/>
          <w:kern w:val="0"/>
          <w:sz w:val="32"/>
          <w:szCs w:val="22"/>
        </w:rPr>
        <w:t>余万元，开展项目</w:t>
      </w:r>
      <w:r>
        <w:rPr>
          <w:rFonts w:ascii="Times New Roman" w:hAnsi="Times New Roman" w:eastAsia="仿宋" w:cs="Times New Roman"/>
          <w:color w:val="000000"/>
          <w:kern w:val="0"/>
          <w:sz w:val="32"/>
          <w:szCs w:val="22"/>
        </w:rPr>
        <w:t>204</w:t>
      </w:r>
      <w:r>
        <w:rPr>
          <w:rFonts w:hint="eastAsia" w:ascii="方正仿宋_GB2312" w:hAnsi="方正仿宋_GB2312" w:eastAsia="仿宋_GB2312" w:cs="方正仿宋_GB2312"/>
          <w:color w:val="000000"/>
          <w:kern w:val="0"/>
          <w:sz w:val="32"/>
          <w:szCs w:val="22"/>
        </w:rPr>
        <w:t>个，服务“老幼残困”等特殊困难群体</w:t>
      </w:r>
      <w:r>
        <w:rPr>
          <w:rFonts w:ascii="Times New Roman" w:hAnsi="Times New Roman" w:eastAsia="仿宋" w:cs="Times New Roman"/>
          <w:color w:val="000000"/>
          <w:kern w:val="0"/>
          <w:sz w:val="32"/>
          <w:szCs w:val="22"/>
        </w:rPr>
        <w:t>14.5</w:t>
      </w:r>
      <w:r>
        <w:rPr>
          <w:rFonts w:hint="eastAsia" w:ascii="方正仿宋_GB2312" w:hAnsi="方正仿宋_GB2312" w:eastAsia="仿宋_GB2312" w:cs="方正仿宋_GB2312"/>
          <w:color w:val="000000"/>
          <w:kern w:val="0"/>
          <w:sz w:val="32"/>
          <w:szCs w:val="22"/>
        </w:rPr>
        <w:t>万人次。强化慈善组织规范化建设，实施党建工作“六同步”机制，落实“四必谈”制度严控风险，开展“阳光慈善”工程提升透明度。设立“天津慈善奖”表彰</w:t>
      </w:r>
      <w:r>
        <w:rPr>
          <w:rFonts w:ascii="Times New Roman" w:hAnsi="Times New Roman" w:eastAsia="仿宋" w:cs="Times New Roman"/>
          <w:color w:val="000000"/>
          <w:kern w:val="0"/>
          <w:sz w:val="32"/>
          <w:szCs w:val="22"/>
        </w:rPr>
        <w:t>89</w:t>
      </w:r>
      <w:r>
        <w:rPr>
          <w:rFonts w:hint="eastAsia" w:ascii="方正仿宋_GB2312" w:hAnsi="方正仿宋_GB2312" w:eastAsia="仿宋_GB2312" w:cs="方正仿宋_GB2312"/>
          <w:color w:val="000000"/>
          <w:kern w:val="0"/>
          <w:sz w:val="32"/>
          <w:szCs w:val="22"/>
        </w:rPr>
        <w:t>个先进典型，激发全民参与热情。慈善信托实现突破性发展，备案慈善信托</w:t>
      </w:r>
      <w:r>
        <w:rPr>
          <w:rFonts w:hint="eastAsia" w:ascii="Times New Roman" w:hAnsi="Times New Roman" w:eastAsia="仿宋" w:cs="Times New Roman"/>
          <w:color w:val="000000"/>
          <w:kern w:val="0"/>
          <w:sz w:val="32"/>
          <w:szCs w:val="22"/>
        </w:rPr>
        <w:t>53</w:t>
      </w:r>
      <w:r>
        <w:rPr>
          <w:rFonts w:hint="eastAsia" w:ascii="方正仿宋_GB2312" w:hAnsi="方正仿宋_GB2312" w:eastAsia="仿宋_GB2312" w:cs="方正仿宋_GB2312"/>
          <w:color w:val="000000"/>
          <w:kern w:val="0"/>
          <w:sz w:val="32"/>
          <w:szCs w:val="22"/>
        </w:rPr>
        <w:t>单、规模达</w:t>
      </w:r>
      <w:r>
        <w:rPr>
          <w:rFonts w:hint="eastAsia" w:ascii="Times New Roman" w:hAnsi="Times New Roman" w:eastAsia="仿宋" w:cs="Times New Roman"/>
          <w:color w:val="000000"/>
          <w:kern w:val="0"/>
          <w:sz w:val="32"/>
          <w:szCs w:val="22"/>
        </w:rPr>
        <w:t>2849</w:t>
      </w:r>
      <w:r>
        <w:rPr>
          <w:rFonts w:hint="eastAsia" w:ascii="方正仿宋_GB2312" w:hAnsi="方正仿宋_GB2312" w:eastAsia="仿宋_GB2312" w:cs="方正仿宋_GB2312"/>
          <w:color w:val="000000"/>
          <w:kern w:val="0"/>
          <w:sz w:val="32"/>
          <w:szCs w:val="22"/>
        </w:rPr>
        <w:t>万元。</w:t>
      </w:r>
    </w:p>
    <w:p w14:paraId="1DF902DE">
      <w:pPr>
        <w:pStyle w:val="4"/>
        <w:widowControl/>
        <w:rPr>
          <w:rFonts w:hint="eastAsia" w:cs="Times New Roman"/>
          <w:kern w:val="0"/>
        </w:rPr>
      </w:pPr>
      <w:bookmarkStart w:id="32" w:name="_Toc17482"/>
      <w:bookmarkStart w:id="33" w:name="_Toc21911"/>
      <w:bookmarkStart w:id="34" w:name="_Toc10559"/>
      <w:bookmarkStart w:id="35" w:name="_Toc27089"/>
      <w:bookmarkStart w:id="36" w:name="_Toc346"/>
      <w:bookmarkStart w:id="37" w:name="_Toc22267"/>
      <w:bookmarkStart w:id="38" w:name="_Toc8832"/>
      <w:bookmarkStart w:id="39" w:name="_Toc6248"/>
      <w:r>
        <w:rPr>
          <w:rFonts w:hint="eastAsia" w:ascii="Times New Roman" w:hAnsi="Times New Roman" w:cs="Times New Roman"/>
          <w:kern w:val="0"/>
        </w:rPr>
        <w:t>（五）优化民政专项事务，为民服务能力水平</w:t>
      </w:r>
      <w:bookmarkEnd w:id="32"/>
      <w:bookmarkEnd w:id="33"/>
      <w:bookmarkEnd w:id="34"/>
      <w:bookmarkEnd w:id="35"/>
      <w:bookmarkEnd w:id="36"/>
      <w:bookmarkEnd w:id="37"/>
      <w:bookmarkEnd w:id="38"/>
      <w:r>
        <w:rPr>
          <w:rFonts w:hint="eastAsia" w:ascii="Times New Roman" w:hAnsi="Times New Roman" w:cs="Times New Roman"/>
          <w:kern w:val="0"/>
        </w:rPr>
        <w:t>显著提升</w:t>
      </w:r>
      <w:bookmarkEnd w:id="39"/>
    </w:p>
    <w:p w14:paraId="011BA748">
      <w:pPr>
        <w:widowControl/>
        <w:spacing w:line="560" w:lineRule="exact"/>
        <w:ind w:firstLine="640" w:firstLineChars="200"/>
        <w:rPr>
          <w:rFonts w:ascii="Times New Roman" w:hAnsi="Times New Roman" w:eastAsia="仿宋" w:cs="Times New Roman"/>
          <w:color w:val="000000"/>
          <w:kern w:val="0"/>
          <w:sz w:val="32"/>
          <w:szCs w:val="22"/>
        </w:rPr>
      </w:pPr>
      <w:r>
        <w:rPr>
          <w:rFonts w:hint="eastAsia" w:ascii="Times New Roman" w:hAnsi="Times New Roman" w:eastAsia="楷体" w:cs="Times New Roman"/>
          <w:color w:val="000000"/>
          <w:kern w:val="0"/>
          <w:sz w:val="32"/>
          <w:szCs w:val="32"/>
          <w:shd w:val="clear" w:color="auto" w:fill="FFFFFF"/>
        </w:rPr>
        <w:t>行政区划管理更加规范。</w:t>
      </w:r>
      <w:r>
        <w:rPr>
          <w:rFonts w:hint="eastAsia" w:ascii="方正仿宋_GB2312" w:hAnsi="方正仿宋_GB2312" w:eastAsia="仿宋_GB2312" w:cs="方正仿宋_GB2312"/>
          <w:color w:val="000000"/>
          <w:kern w:val="0"/>
          <w:sz w:val="32"/>
          <w:szCs w:val="22"/>
        </w:rPr>
        <w:t>推进行政区划管理规范化、法治化建设。完成京津冀第五轮省级界线联检，签订京津冀平安边界建设协议书，更换</w:t>
      </w:r>
      <w:r>
        <w:rPr>
          <w:rFonts w:ascii="Times New Roman" w:hAnsi="Times New Roman" w:eastAsia="仿宋" w:cs="Times New Roman"/>
          <w:color w:val="000000"/>
          <w:kern w:val="0"/>
          <w:sz w:val="32"/>
          <w:szCs w:val="22"/>
        </w:rPr>
        <w:t>6</w:t>
      </w:r>
      <w:r>
        <w:rPr>
          <w:rFonts w:hint="eastAsia" w:ascii="方正仿宋_GB2312" w:hAnsi="方正仿宋_GB2312" w:eastAsia="仿宋_GB2312" w:cs="方正仿宋_GB2312"/>
          <w:color w:val="000000"/>
          <w:kern w:val="0"/>
          <w:sz w:val="32"/>
          <w:szCs w:val="22"/>
        </w:rPr>
        <w:t>颗省级界桩，编绘新版京津冀行政区划图。推进乡镇</w:t>
      </w:r>
      <w:r>
        <w:rPr>
          <w:rFonts w:hint="eastAsia" w:ascii="方正仿宋_GB2312" w:hAnsi="方正仿宋_GB2312" w:eastAsia="仿宋_GB2312" w:cs="方正仿宋_GB2312"/>
          <w:color w:val="000000"/>
          <w:kern w:val="0"/>
          <w:sz w:val="32"/>
          <w:szCs w:val="22"/>
          <w:lang w:eastAsia="zh-CN"/>
        </w:rPr>
        <w:t>（</w:t>
      </w:r>
      <w:r>
        <w:rPr>
          <w:rFonts w:hint="eastAsia" w:ascii="方正仿宋_GB2312" w:hAnsi="方正仿宋_GB2312" w:eastAsia="仿宋_GB2312" w:cs="方正仿宋_GB2312"/>
          <w:color w:val="000000"/>
          <w:kern w:val="0"/>
          <w:sz w:val="32"/>
          <w:szCs w:val="22"/>
        </w:rPr>
        <w:t>街道</w:t>
      </w:r>
      <w:r>
        <w:rPr>
          <w:rFonts w:hint="eastAsia" w:ascii="方正仿宋_GB2312" w:hAnsi="方正仿宋_GB2312" w:eastAsia="仿宋_GB2312" w:cs="方正仿宋_GB2312"/>
          <w:color w:val="000000"/>
          <w:kern w:val="0"/>
          <w:sz w:val="32"/>
          <w:szCs w:val="22"/>
          <w:lang w:eastAsia="zh-CN"/>
        </w:rPr>
        <w:t>）</w:t>
      </w:r>
      <w:r>
        <w:rPr>
          <w:rFonts w:hint="eastAsia" w:ascii="方正仿宋_GB2312" w:hAnsi="方正仿宋_GB2312" w:eastAsia="仿宋_GB2312" w:cs="方正仿宋_GB2312"/>
          <w:color w:val="000000"/>
          <w:kern w:val="0"/>
          <w:sz w:val="32"/>
          <w:szCs w:val="22"/>
        </w:rPr>
        <w:t>行政区域界线勘定，图上作业</w:t>
      </w:r>
      <w:r>
        <w:rPr>
          <w:rFonts w:ascii="Times New Roman" w:hAnsi="Times New Roman" w:eastAsia="仿宋" w:cs="Times New Roman"/>
          <w:color w:val="000000"/>
          <w:kern w:val="0"/>
          <w:sz w:val="32"/>
          <w:szCs w:val="22"/>
        </w:rPr>
        <w:t>100%</w:t>
      </w:r>
      <w:r>
        <w:rPr>
          <w:rFonts w:hint="eastAsia" w:ascii="Times New Roman" w:hAnsi="Times New Roman" w:eastAsia="仿宋" w:cs="Times New Roman"/>
          <w:color w:val="000000"/>
          <w:kern w:val="0"/>
          <w:sz w:val="32"/>
          <w:szCs w:val="22"/>
        </w:rPr>
        <w:t>、</w:t>
      </w:r>
      <w:r>
        <w:rPr>
          <w:rFonts w:hint="eastAsia" w:ascii="方正仿宋_GB2312" w:hAnsi="方正仿宋_GB2312" w:eastAsia="仿宋_GB2312" w:cs="方正仿宋_GB2312"/>
          <w:color w:val="000000"/>
          <w:kern w:val="0"/>
          <w:sz w:val="32"/>
          <w:szCs w:val="22"/>
        </w:rPr>
        <w:t>现地勘界</w:t>
      </w:r>
      <w:r>
        <w:rPr>
          <w:rFonts w:ascii="Times New Roman" w:hAnsi="Times New Roman" w:eastAsia="仿宋" w:cs="Times New Roman"/>
          <w:color w:val="000000"/>
          <w:kern w:val="0"/>
          <w:sz w:val="32"/>
          <w:szCs w:val="22"/>
        </w:rPr>
        <w:t>90%</w:t>
      </w:r>
      <w:r>
        <w:rPr>
          <w:rFonts w:hint="eastAsia" w:ascii="方正仿宋_GB2312" w:hAnsi="方正仿宋_GB2312" w:eastAsia="仿宋_GB2312" w:cs="方正仿宋_GB2312"/>
          <w:color w:val="000000"/>
          <w:kern w:val="0"/>
          <w:sz w:val="32"/>
          <w:szCs w:val="22"/>
        </w:rPr>
        <w:t>以上，汇编</w:t>
      </w:r>
      <w:r>
        <w:rPr>
          <w:rFonts w:ascii="Times New Roman" w:hAnsi="Times New Roman" w:eastAsia="仿宋" w:cs="Times New Roman"/>
          <w:color w:val="000000"/>
          <w:kern w:val="0"/>
          <w:sz w:val="32"/>
          <w:szCs w:val="22"/>
        </w:rPr>
        <w:t>37</w:t>
      </w:r>
      <w:r>
        <w:rPr>
          <w:rFonts w:hint="eastAsia" w:ascii="方正仿宋_GB2312" w:hAnsi="方正仿宋_GB2312" w:eastAsia="仿宋_GB2312" w:cs="方正仿宋_GB2312"/>
          <w:color w:val="000000"/>
          <w:kern w:val="0"/>
          <w:sz w:val="32"/>
          <w:szCs w:val="22"/>
        </w:rPr>
        <w:t>条区级行政区域界线协议和附图。“飞地”治理经验获民政部全国推广。实现市、区、乡镇（街</w:t>
      </w:r>
      <w:r>
        <w:rPr>
          <w:rFonts w:hint="eastAsia" w:ascii="方正仿宋_GB2312" w:hAnsi="方正仿宋_GB2312" w:eastAsia="仿宋_GB2312" w:cs="方正仿宋_GB2312"/>
          <w:color w:val="000000"/>
          <w:kern w:val="0"/>
          <w:sz w:val="32"/>
          <w:szCs w:val="22"/>
          <w:lang w:val="en-US" w:eastAsia="zh-CN"/>
        </w:rPr>
        <w:t>道</w:t>
      </w:r>
      <w:r>
        <w:rPr>
          <w:rFonts w:hint="eastAsia" w:ascii="方正仿宋_GB2312" w:hAnsi="方正仿宋_GB2312" w:eastAsia="仿宋_GB2312" w:cs="方正仿宋_GB2312"/>
          <w:color w:val="000000"/>
          <w:kern w:val="0"/>
          <w:sz w:val="32"/>
          <w:szCs w:val="22"/>
        </w:rPr>
        <w:t>）三级界线矢量化管理，官网开通信息查询板块，编绘</w:t>
      </w:r>
      <w:r>
        <w:rPr>
          <w:rFonts w:ascii="Times New Roman" w:hAnsi="Times New Roman" w:eastAsia="仿宋" w:cs="Times New Roman"/>
          <w:color w:val="000000"/>
          <w:kern w:val="0"/>
          <w:sz w:val="32"/>
          <w:szCs w:val="22"/>
        </w:rPr>
        <w:t>18</w:t>
      </w:r>
      <w:r>
        <w:rPr>
          <w:rFonts w:hint="eastAsia" w:ascii="方正仿宋_GB2312" w:hAnsi="方正仿宋_GB2312" w:eastAsia="仿宋_GB2312" w:cs="方正仿宋_GB2312"/>
          <w:color w:val="000000"/>
          <w:kern w:val="0"/>
          <w:sz w:val="32"/>
          <w:szCs w:val="22"/>
        </w:rPr>
        <w:t>张市、区行政区划图，传承保护行政区划历史文化，出版《天津市行政区划历史文化研究》《沽水流霞</w:t>
      </w:r>
      <w:r>
        <w:rPr>
          <w:rFonts w:hint="eastAsia" w:ascii="方正仿宋_GB2312" w:hAnsi="方正仿宋_GB2312" w:eastAsia="方正仿宋_GB2312" w:cs="方正仿宋_GB2312"/>
          <w:color w:val="000000"/>
          <w:kern w:val="0"/>
          <w:sz w:val="32"/>
          <w:szCs w:val="22"/>
        </w:rPr>
        <w:t>·</w:t>
      </w:r>
      <w:r>
        <w:rPr>
          <w:rFonts w:hint="eastAsia" w:ascii="方正仿宋_GB2312" w:hAnsi="方正仿宋_GB2312" w:eastAsia="仿宋_GB2312" w:cs="方正仿宋_GB2312"/>
          <w:color w:val="000000"/>
          <w:kern w:val="0"/>
          <w:sz w:val="32"/>
          <w:szCs w:val="22"/>
        </w:rPr>
        <w:t>天津行政区划文化故事》。</w:t>
      </w:r>
    </w:p>
    <w:p w14:paraId="61AC50E6">
      <w:pPr>
        <w:widowControl/>
        <w:spacing w:line="560" w:lineRule="exact"/>
        <w:ind w:firstLine="640" w:firstLineChars="200"/>
        <w:rPr>
          <w:rFonts w:ascii="Times New Roman" w:hAnsi="Times New Roman" w:eastAsia="仿宋" w:cs="Times New Roman"/>
          <w:color w:val="000000"/>
          <w:kern w:val="0"/>
          <w:sz w:val="32"/>
          <w:szCs w:val="22"/>
        </w:rPr>
      </w:pPr>
      <w:r>
        <w:rPr>
          <w:rFonts w:hint="eastAsia" w:ascii="Times New Roman" w:hAnsi="Times New Roman" w:eastAsia="楷体" w:cs="Times New Roman"/>
          <w:color w:val="000000"/>
          <w:kern w:val="0"/>
          <w:sz w:val="32"/>
          <w:szCs w:val="32"/>
        </w:rPr>
        <w:t>婚姻登记服务优化提质。</w:t>
      </w:r>
      <w:r>
        <w:rPr>
          <w:rFonts w:hint="eastAsia" w:ascii="方正仿宋_GB2312" w:hAnsi="方正仿宋_GB2312" w:eastAsia="仿宋_GB2312" w:cs="方正仿宋_GB2312"/>
          <w:color w:val="000000"/>
          <w:kern w:val="0"/>
          <w:sz w:val="32"/>
          <w:szCs w:val="22"/>
        </w:rPr>
        <w:t>全市</w:t>
      </w:r>
      <w:r>
        <w:rPr>
          <w:rFonts w:ascii="Times New Roman" w:hAnsi="Times New Roman" w:eastAsia="仿宋" w:cs="Times New Roman"/>
          <w:color w:val="000000"/>
          <w:kern w:val="0"/>
          <w:sz w:val="32"/>
          <w:szCs w:val="22"/>
        </w:rPr>
        <w:t>19</w:t>
      </w:r>
      <w:r>
        <w:rPr>
          <w:rFonts w:hint="eastAsia" w:ascii="方正仿宋_GB2312" w:hAnsi="方正仿宋_GB2312" w:eastAsia="仿宋_GB2312" w:cs="方正仿宋_GB2312"/>
          <w:color w:val="000000"/>
          <w:kern w:val="0"/>
          <w:sz w:val="32"/>
          <w:szCs w:val="22"/>
        </w:rPr>
        <w:t>个婚姻登记处全部配备人脸识别设备，完成现存婚姻档案电子化，实现全国婚姻登记信息实时核验。在婚姻登记“全市通办”“跨省通办”试点的基础上，实现婚姻登记“全国通办”，群众办事更加便利。实现婚姻家庭辅导室全覆盖，开展婚前辅导、离婚调适服务，搭建多层次、广覆盖、便捷化的婚姻辅导教育服务平台。大力推动我市婚俗改革，出台《天津市支持婚俗改革工作措施清单》，创建</w:t>
      </w:r>
      <w:r>
        <w:rPr>
          <w:rFonts w:ascii="Times New Roman" w:hAnsi="Times New Roman" w:eastAsia="仿宋" w:cs="Times New Roman"/>
          <w:color w:val="000000"/>
          <w:kern w:val="0"/>
          <w:sz w:val="32"/>
          <w:szCs w:val="22"/>
        </w:rPr>
        <w:t>3</w:t>
      </w:r>
      <w:r>
        <w:rPr>
          <w:rFonts w:hint="eastAsia" w:ascii="方正仿宋_GB2312" w:hAnsi="方正仿宋_GB2312" w:eastAsia="仿宋_GB2312" w:cs="方正仿宋_GB2312"/>
          <w:color w:val="000000"/>
          <w:kern w:val="0"/>
          <w:sz w:val="32"/>
          <w:szCs w:val="22"/>
        </w:rPr>
        <w:t>个市级实验区（和平、南开、静海），打造</w:t>
      </w:r>
      <w:r>
        <w:rPr>
          <w:rFonts w:ascii="Times New Roman" w:hAnsi="Times New Roman" w:eastAsia="仿宋" w:cs="Times New Roman"/>
          <w:color w:val="000000"/>
          <w:kern w:val="0"/>
          <w:sz w:val="32"/>
          <w:szCs w:val="22"/>
        </w:rPr>
        <w:t>6</w:t>
      </w:r>
      <w:r>
        <w:rPr>
          <w:rFonts w:hint="eastAsia" w:ascii="方正仿宋_GB2312" w:hAnsi="方正仿宋_GB2312" w:eastAsia="仿宋_GB2312" w:cs="方正仿宋_GB2312"/>
          <w:color w:val="000000"/>
          <w:kern w:val="0"/>
          <w:sz w:val="32"/>
          <w:szCs w:val="22"/>
        </w:rPr>
        <w:t>个特色登记点，开展集体婚礼及颁证活动</w:t>
      </w:r>
      <w:r>
        <w:rPr>
          <w:rFonts w:ascii="Times New Roman" w:hAnsi="Times New Roman" w:eastAsia="仿宋" w:cs="Times New Roman"/>
          <w:color w:val="000000"/>
          <w:kern w:val="0"/>
          <w:sz w:val="32"/>
          <w:szCs w:val="22"/>
        </w:rPr>
        <w:t>200</w:t>
      </w:r>
      <w:r>
        <w:rPr>
          <w:rFonts w:hint="eastAsia" w:ascii="方正仿宋_GB2312" w:hAnsi="方正仿宋_GB2312" w:eastAsia="仿宋_GB2312" w:cs="方正仿宋_GB2312"/>
          <w:color w:val="000000"/>
          <w:kern w:val="0"/>
          <w:sz w:val="32"/>
          <w:szCs w:val="22"/>
        </w:rPr>
        <w:t>余场。</w:t>
      </w:r>
    </w:p>
    <w:p w14:paraId="01F53B92">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32"/>
          <w:shd w:val="clear" w:color="auto" w:fill="FFFFFF"/>
        </w:rPr>
        <w:t>殡葬服务改革深入推进。</w:t>
      </w:r>
      <w:r>
        <w:rPr>
          <w:rFonts w:hint="eastAsia" w:ascii="方正仿宋_GB2312" w:hAnsi="方正仿宋_GB2312" w:eastAsia="仿宋_GB2312" w:cs="方正仿宋_GB2312"/>
          <w:color w:val="000000"/>
          <w:kern w:val="0"/>
          <w:sz w:val="32"/>
          <w:szCs w:val="22"/>
        </w:rPr>
        <w:t>深化丧葬习俗改革，打造“送亲人、找民政”服务品牌，为我市</w:t>
      </w:r>
      <w:r>
        <w:rPr>
          <w:rFonts w:ascii="Times New Roman" w:hAnsi="Times New Roman" w:eastAsia="仿宋" w:cs="Times New Roman"/>
          <w:color w:val="000000"/>
          <w:kern w:val="0"/>
          <w:sz w:val="32"/>
          <w:szCs w:val="22"/>
        </w:rPr>
        <w:t>13</w:t>
      </w:r>
      <w:r>
        <w:rPr>
          <w:rFonts w:hint="eastAsia" w:ascii="方正仿宋_GB2312" w:hAnsi="方正仿宋_GB2312" w:eastAsia="仿宋_GB2312" w:cs="方正仿宋_GB2312"/>
          <w:color w:val="000000"/>
          <w:kern w:val="0"/>
          <w:sz w:val="32"/>
          <w:szCs w:val="22"/>
        </w:rPr>
        <w:t>万余名居民发放丧葬补贴</w:t>
      </w:r>
      <w:r>
        <w:rPr>
          <w:rFonts w:ascii="Times New Roman" w:hAnsi="Times New Roman" w:eastAsia="仿宋" w:cs="Times New Roman"/>
          <w:color w:val="000000"/>
          <w:kern w:val="0"/>
          <w:sz w:val="32"/>
          <w:szCs w:val="22"/>
        </w:rPr>
        <w:t>2.37</w:t>
      </w:r>
      <w:r>
        <w:rPr>
          <w:rFonts w:hint="eastAsia" w:ascii="方正仿宋_GB2312" w:hAnsi="方正仿宋_GB2312" w:eastAsia="仿宋_GB2312" w:cs="方正仿宋_GB2312"/>
          <w:color w:val="000000"/>
          <w:kern w:val="0"/>
          <w:sz w:val="32"/>
          <w:szCs w:val="22"/>
        </w:rPr>
        <w:t>亿元，发放节地生态安葬奖补</w:t>
      </w:r>
      <w:r>
        <w:rPr>
          <w:rFonts w:ascii="Times New Roman" w:hAnsi="Times New Roman" w:eastAsia="仿宋" w:cs="Times New Roman"/>
          <w:color w:val="000000"/>
          <w:kern w:val="0"/>
          <w:sz w:val="32"/>
          <w:szCs w:val="22"/>
        </w:rPr>
        <w:t>1572</w:t>
      </w:r>
      <w:r>
        <w:rPr>
          <w:rFonts w:hint="eastAsia" w:ascii="方正仿宋_GB2312" w:hAnsi="方正仿宋_GB2312" w:eastAsia="仿宋_GB2312" w:cs="方正仿宋_GB2312"/>
          <w:color w:val="000000"/>
          <w:kern w:val="0"/>
          <w:sz w:val="32"/>
          <w:szCs w:val="22"/>
        </w:rPr>
        <w:t>万元。制定出台殡葬设施布局规划，形成</w:t>
      </w:r>
      <w:r>
        <w:rPr>
          <w:rFonts w:hint="eastAsia" w:ascii="仿宋_GB2312" w:hAnsi="仿宋_GB2312" w:eastAsia="仿宋_GB2312" w:cs="仿宋_GB2312"/>
          <w:color w:val="000000"/>
          <w:kern w:val="0"/>
          <w:sz w:val="32"/>
          <w:szCs w:val="22"/>
        </w:rPr>
        <w:t>“</w:t>
      </w:r>
      <w:r>
        <w:rPr>
          <w:rFonts w:hint="default" w:ascii="Times New Roman" w:hAnsi="Times New Roman" w:eastAsia="仿宋_GB2312" w:cs="Times New Roman"/>
          <w:color w:val="000000"/>
          <w:kern w:val="0"/>
          <w:sz w:val="32"/>
          <w:szCs w:val="22"/>
        </w:rPr>
        <w:t>1＋10</w:t>
      </w:r>
      <w:r>
        <w:rPr>
          <w:rFonts w:hint="eastAsia" w:ascii="仿宋_GB2312" w:hAnsi="仿宋_GB2312" w:eastAsia="仿宋_GB2312" w:cs="仿宋_GB2312"/>
          <w:color w:val="000000"/>
          <w:kern w:val="0"/>
          <w:sz w:val="32"/>
          <w:szCs w:val="22"/>
        </w:rPr>
        <w:t>”</w:t>
      </w:r>
      <w:r>
        <w:rPr>
          <w:rFonts w:hint="eastAsia" w:ascii="方正仿宋_GB2312" w:hAnsi="方正仿宋_GB2312" w:eastAsia="仿宋_GB2312" w:cs="方正仿宋_GB2312"/>
          <w:color w:val="000000"/>
          <w:kern w:val="0"/>
          <w:sz w:val="32"/>
          <w:szCs w:val="22"/>
        </w:rPr>
        <w:t>殡葬服务设施布局规划体系，新建、改扩建市区两级殡仪馆</w:t>
      </w:r>
      <w:r>
        <w:rPr>
          <w:rFonts w:ascii="Times New Roman" w:hAnsi="Times New Roman" w:eastAsia="仿宋" w:cs="Times New Roman"/>
          <w:color w:val="000000"/>
          <w:kern w:val="0"/>
          <w:sz w:val="32"/>
          <w:szCs w:val="22"/>
        </w:rPr>
        <w:t>5</w:t>
      </w:r>
      <w:r>
        <w:rPr>
          <w:rFonts w:hint="eastAsia" w:ascii="方正仿宋_GB2312" w:hAnsi="方正仿宋_GB2312" w:eastAsia="仿宋_GB2312" w:cs="方正仿宋_GB2312"/>
          <w:color w:val="000000"/>
          <w:kern w:val="0"/>
          <w:sz w:val="32"/>
          <w:szCs w:val="22"/>
        </w:rPr>
        <w:t>家，新建和改造公益性骨灰堂</w:t>
      </w:r>
      <w:r>
        <w:rPr>
          <w:rFonts w:ascii="Times New Roman" w:hAnsi="Times New Roman" w:eastAsia="仿宋" w:cs="Times New Roman"/>
          <w:color w:val="000000"/>
          <w:kern w:val="0"/>
          <w:sz w:val="32"/>
          <w:szCs w:val="22"/>
        </w:rPr>
        <w:t>2</w:t>
      </w:r>
      <w:r>
        <w:rPr>
          <w:rFonts w:hint="eastAsia" w:ascii="方正仿宋_GB2312" w:hAnsi="方正仿宋_GB2312" w:eastAsia="仿宋_GB2312" w:cs="方正仿宋_GB2312"/>
          <w:color w:val="000000"/>
          <w:kern w:val="0"/>
          <w:sz w:val="32"/>
          <w:szCs w:val="22"/>
        </w:rPr>
        <w:t>处，建成公益性公墓</w:t>
      </w:r>
      <w:r>
        <w:rPr>
          <w:rFonts w:ascii="Times New Roman" w:hAnsi="Times New Roman" w:eastAsia="仿宋" w:cs="Times New Roman"/>
          <w:color w:val="000000"/>
          <w:kern w:val="0"/>
          <w:sz w:val="32"/>
          <w:szCs w:val="22"/>
        </w:rPr>
        <w:t>1</w:t>
      </w:r>
      <w:r>
        <w:rPr>
          <w:rFonts w:hint="eastAsia" w:ascii="方正仿宋_GB2312" w:hAnsi="方正仿宋_GB2312" w:eastAsia="仿宋_GB2312" w:cs="方正仿宋_GB2312"/>
          <w:color w:val="000000"/>
          <w:kern w:val="0"/>
          <w:sz w:val="32"/>
          <w:szCs w:val="22"/>
        </w:rPr>
        <w:t>处。运用全市殡葬信息管理服务平台，推出网上祭扫、骨灰续期、骨灰撒海预约、文明共祭预约等一系列线上便民服务。</w:t>
      </w:r>
    </w:p>
    <w:p w14:paraId="506B524C">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32"/>
        </w:rPr>
        <w:t>民政法治建设持续深化。</w:t>
      </w:r>
      <w:r>
        <w:rPr>
          <w:rFonts w:hint="eastAsia" w:ascii="方正仿宋_GB2312" w:hAnsi="方正仿宋_GB2312" w:eastAsia="仿宋_GB2312" w:cs="方正仿宋_GB2312"/>
          <w:color w:val="000000"/>
          <w:kern w:val="0"/>
          <w:sz w:val="32"/>
          <w:szCs w:val="22"/>
        </w:rPr>
        <w:t>聚焦民政主责主业，坚持以法治固根本、促规范、强监管、护民生，积极推动养老服务、社会救助、儿童福利、残疾人福利、婚姻登记、殡葬管理、行政区划、社会组织监管等政策创制，制修订行政规范性文件</w:t>
      </w:r>
      <w:r>
        <w:rPr>
          <w:rFonts w:ascii="Times New Roman" w:hAnsi="Times New Roman" w:eastAsia="仿宋" w:cs="Times New Roman"/>
          <w:color w:val="000000"/>
          <w:kern w:val="0"/>
          <w:sz w:val="32"/>
          <w:szCs w:val="22"/>
        </w:rPr>
        <w:t>36</w:t>
      </w:r>
      <w:r>
        <w:rPr>
          <w:rFonts w:hint="eastAsia" w:ascii="方正仿宋_GB2312" w:hAnsi="方正仿宋_GB2312" w:eastAsia="仿宋_GB2312" w:cs="方正仿宋_GB2312"/>
          <w:color w:val="000000"/>
          <w:kern w:val="0"/>
          <w:sz w:val="32"/>
          <w:szCs w:val="22"/>
        </w:rPr>
        <w:t>件，编制地方标准</w:t>
      </w:r>
      <w:r>
        <w:rPr>
          <w:rFonts w:ascii="Times New Roman" w:hAnsi="Times New Roman" w:eastAsia="仿宋" w:cs="Times New Roman"/>
          <w:color w:val="000000"/>
          <w:kern w:val="0"/>
          <w:sz w:val="32"/>
          <w:szCs w:val="22"/>
        </w:rPr>
        <w:t>8</w:t>
      </w:r>
      <w:r>
        <w:rPr>
          <w:rFonts w:hint="eastAsia" w:ascii="方正仿宋_GB2312" w:hAnsi="方正仿宋_GB2312" w:eastAsia="仿宋_GB2312" w:cs="方正仿宋_GB2312"/>
          <w:color w:val="000000"/>
          <w:kern w:val="0"/>
          <w:sz w:val="32"/>
          <w:szCs w:val="22"/>
        </w:rPr>
        <w:t>个，持续完善民政工作运行机制和制度体系，以法治护航民政保障底线更牢、服务边界更广、治理效能更高。动态调整权责清单，深入落实行政执法“三项制度”，全面推进严格规范公正文明执法，自觉接受社会监督，确保权力运行公开透明、边界清晰。</w:t>
      </w:r>
    </w:p>
    <w:p w14:paraId="05A11EFE">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32"/>
        </w:rPr>
        <w:t>民政人才队伍不断加强。</w:t>
      </w:r>
      <w:r>
        <w:rPr>
          <w:rFonts w:hint="eastAsia" w:ascii="方正仿宋_GB2312" w:hAnsi="方正仿宋_GB2312" w:eastAsia="仿宋_GB2312" w:cs="方正仿宋_GB2312"/>
          <w:color w:val="000000"/>
          <w:kern w:val="0"/>
          <w:sz w:val="32"/>
          <w:szCs w:val="22"/>
        </w:rPr>
        <w:t>采取梯次培训、集中辅导、实践锻炼、互学交流、岗位练兵等多种方式加大人才培训力度，组织民政大讲堂等系列专题活动，不断提升干部队伍在基本民生保障、基层社会治理、基本社会服务中的各项能力。组织民政养老、殡葬、康复辅助器具等领域专业技能培训大赛，持续强化专业技能人才培养。民政人才队伍建设和专业能力建设不断加强，学历层次和专业化水平显著提高，干部队伍结构更加合理。</w:t>
      </w:r>
    </w:p>
    <w:p w14:paraId="4458C3E5">
      <w:pPr>
        <w:widowControl/>
        <w:spacing w:line="560" w:lineRule="exact"/>
        <w:ind w:firstLine="0" w:firstLineChars="0"/>
        <w:rPr>
          <w:rFonts w:hint="eastAsia" w:ascii="仿宋_GB2312" w:hAnsi="仿宋_GB2312" w:eastAsia="仿宋_GB2312" w:cs="仿宋_GB2312"/>
          <w:color w:val="000000"/>
          <w:kern w:val="0"/>
          <w:sz w:val="32"/>
          <w:szCs w:val="22"/>
        </w:rPr>
      </w:pPr>
    </w:p>
    <w:p w14:paraId="2BE36C64">
      <w:pPr>
        <w:keepNext w:val="0"/>
        <w:keepLines w:val="0"/>
        <w:pageBreakBefore w:val="0"/>
        <w:widowControl/>
        <w:kinsoku/>
        <w:wordWrap/>
        <w:overflowPunct/>
        <w:topLinePunct w:val="0"/>
        <w:autoSpaceDE/>
        <w:autoSpaceDN/>
        <w:bidi w:val="0"/>
        <w:adjustRightInd/>
        <w:snapToGrid/>
        <w:spacing w:line="560" w:lineRule="exact"/>
        <w:ind w:left="0" w:firstLine="0" w:firstLineChars="0"/>
        <w:jc w:val="center"/>
        <w:textAlignment w:val="auto"/>
        <w:outlineLvl w:val="1"/>
        <w:rPr>
          <w:rFonts w:hint="eastAsia" w:ascii="黑体" w:hAnsi="黑体" w:eastAsia="黑体" w:cs="黑体"/>
          <w:color w:val="000000"/>
          <w:kern w:val="0"/>
          <w:sz w:val="32"/>
          <w:szCs w:val="22"/>
        </w:rPr>
      </w:pPr>
      <w:bookmarkStart w:id="40" w:name="_Toc27435"/>
      <w:bookmarkStart w:id="41" w:name="_Toc23007"/>
      <w:bookmarkStart w:id="42" w:name="_Toc1693"/>
      <w:bookmarkStart w:id="43" w:name="_Toc25635"/>
      <w:bookmarkStart w:id="44" w:name="_Toc231311698"/>
      <w:bookmarkStart w:id="45" w:name="_Toc8404"/>
      <w:bookmarkStart w:id="46" w:name="_Toc340"/>
      <w:bookmarkStart w:id="47" w:name="_Toc10987"/>
      <w:bookmarkStart w:id="48" w:name="_Toc17163"/>
      <w:bookmarkStart w:id="49" w:name="_Toc3667"/>
      <w:bookmarkStart w:id="50" w:name="_Toc2349"/>
      <w:bookmarkStart w:id="51" w:name="_Toc27536"/>
      <w:r>
        <w:rPr>
          <w:rFonts w:hint="eastAsia" w:ascii="黑体" w:hAnsi="黑体" w:eastAsia="黑体" w:cs="黑体"/>
          <w:color w:val="000000"/>
          <w:kern w:val="0"/>
          <w:sz w:val="32"/>
          <w:szCs w:val="22"/>
        </w:rPr>
        <w:t>第二节  “十五五”时期天津民政事业面临的形势</w:t>
      </w:r>
      <w:bookmarkEnd w:id="40"/>
      <w:bookmarkEnd w:id="41"/>
      <w:bookmarkEnd w:id="42"/>
      <w:bookmarkEnd w:id="43"/>
      <w:bookmarkEnd w:id="44"/>
    </w:p>
    <w:p w14:paraId="2DB7EC53">
      <w:pPr>
        <w:widowControl/>
        <w:spacing w:line="560" w:lineRule="exact"/>
        <w:ind w:left="640" w:firstLine="0" w:firstLineChars="0"/>
        <w:rPr>
          <w:rFonts w:hint="eastAsia" w:ascii="黑体" w:hAnsi="黑体" w:eastAsia="仿宋" w:cs="黑体"/>
          <w:color w:val="000000"/>
          <w:kern w:val="0"/>
          <w:sz w:val="32"/>
          <w:szCs w:val="22"/>
        </w:rPr>
      </w:pPr>
    </w:p>
    <w:bookmarkEnd w:id="45"/>
    <w:bookmarkEnd w:id="46"/>
    <w:bookmarkEnd w:id="47"/>
    <w:bookmarkEnd w:id="48"/>
    <w:bookmarkEnd w:id="49"/>
    <w:bookmarkEnd w:id="50"/>
    <w:bookmarkEnd w:id="51"/>
    <w:p w14:paraId="54D43B4F">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方正仿宋_GB2312" w:hAnsi="方正仿宋_GB2312" w:eastAsia="仿宋_GB2312" w:cs="方正仿宋_GB2312"/>
          <w:color w:val="000000"/>
          <w:kern w:val="0"/>
          <w:sz w:val="32"/>
          <w:szCs w:val="22"/>
        </w:rPr>
        <w:t>“十四五”时期天津民政事业取得的显著成效，为“十五五”时期推动民政事业高质量发展奠定了坚实基础。面向新阶段新任务，必须准确把握天津发展所处历史方位和民政事业面临的新形势新要求，科学研判机遇与挑战，进一步增强服务社会主义现代化大都市建设的责任感、使命感和紧迫感。</w:t>
      </w:r>
    </w:p>
    <w:p w14:paraId="010BF457">
      <w:pPr>
        <w:widowControl/>
        <w:spacing w:line="560" w:lineRule="exact"/>
        <w:ind w:firstLine="640" w:firstLineChars="200"/>
        <w:rPr>
          <w:rFonts w:hint="eastAsia" w:ascii="方正仿宋_GB2312" w:hAnsi="方正仿宋_GB2312" w:eastAsia="仿宋_GB2312" w:cs="方正仿宋_GB2312"/>
          <w:color w:val="000000"/>
          <w:kern w:val="0"/>
          <w:sz w:val="32"/>
          <w:szCs w:val="22"/>
          <w:u w:val="single"/>
          <w:shd w:val="clear" w:color="auto" w:fill="FFFFFF"/>
        </w:rPr>
      </w:pPr>
      <w:r>
        <w:rPr>
          <w:rFonts w:hint="eastAsia" w:ascii="方正仿宋_GB2312" w:hAnsi="方正仿宋_GB2312" w:eastAsia="仿宋_GB2312" w:cs="方正仿宋_GB2312"/>
          <w:color w:val="000000"/>
          <w:kern w:val="0"/>
          <w:sz w:val="32"/>
          <w:szCs w:val="22"/>
        </w:rPr>
        <w:t>我市拥有京津冀协同发展战略优势、产业基础优势、科技教育人才核心优势、港口“硬核”优势、城乡空间资源优势，党中央、国务院一揽子增量政策和存量政策叠加效应持续显现，为全面建设社会主义现代化大都市拓展新空间、激发新潜能、增添新动能。同时，我市城市治理、民生保障还有短板，统筹发展和安全的任务依然艰巨繁重</w:t>
      </w:r>
      <w:r>
        <w:rPr>
          <w:rFonts w:hint="eastAsia" w:ascii="方正仿宋_GB2312" w:hAnsi="方正仿宋_GB2312" w:eastAsia="仿宋_GB2312" w:cs="方正仿宋_GB2312"/>
          <w:color w:val="000000"/>
          <w:kern w:val="0"/>
          <w:sz w:val="32"/>
          <w:szCs w:val="22"/>
          <w:shd w:val="clear" w:color="auto" w:fill="FFFFFF"/>
        </w:rPr>
        <w:t>，</w:t>
      </w:r>
      <w:r>
        <w:rPr>
          <w:rFonts w:hint="eastAsia" w:ascii="方正仿宋_GB2312" w:hAnsi="方正仿宋_GB2312" w:eastAsia="仿宋_GB2312" w:cs="方正仿宋_GB2312"/>
          <w:color w:val="000000"/>
          <w:kern w:val="0"/>
          <w:sz w:val="32"/>
          <w:szCs w:val="22"/>
        </w:rPr>
        <w:t>要更好把握危与机的辩证关系，更加积极有为地应对挑战、推动发展。</w:t>
      </w:r>
    </w:p>
    <w:p w14:paraId="67937FE8">
      <w:pPr>
        <w:widowControl/>
        <w:spacing w:line="560" w:lineRule="exact"/>
        <w:ind w:firstLine="640" w:firstLineChars="200"/>
        <w:rPr>
          <w:rFonts w:hint="eastAsia" w:ascii="楷体" w:hAnsi="楷体" w:eastAsia="楷体" w:cs="Times New Roman"/>
          <w:color w:val="000000"/>
          <w:kern w:val="0"/>
          <w:sz w:val="32"/>
          <w:szCs w:val="22"/>
        </w:rPr>
      </w:pPr>
      <w:bookmarkStart w:id="52" w:name="_Toc11923"/>
      <w:bookmarkStart w:id="53" w:name="_Toc23765"/>
      <w:bookmarkStart w:id="54" w:name="_Toc29903"/>
      <w:bookmarkStart w:id="55" w:name="_Toc21182"/>
      <w:bookmarkStart w:id="56" w:name="_Toc24036"/>
      <w:bookmarkStart w:id="57" w:name="_Toc18457"/>
      <w:bookmarkStart w:id="58" w:name="_Toc32537"/>
      <w:bookmarkStart w:id="59" w:name="_Toc22010"/>
      <w:bookmarkStart w:id="60" w:name="_Toc22954"/>
      <w:bookmarkStart w:id="61" w:name="_Toc19887"/>
      <w:bookmarkStart w:id="62" w:name="_Toc5599"/>
      <w:r>
        <w:rPr>
          <w:rFonts w:hint="eastAsia" w:ascii="楷体" w:hAnsi="楷体" w:eastAsia="楷体" w:cs="Times New Roman"/>
          <w:color w:val="000000"/>
          <w:kern w:val="0"/>
          <w:sz w:val="32"/>
          <w:szCs w:val="22"/>
        </w:rPr>
        <w:t>（一）“十四五”末期我市人口发展趋势和特点</w:t>
      </w:r>
      <w:bookmarkEnd w:id="52"/>
      <w:bookmarkEnd w:id="53"/>
      <w:bookmarkEnd w:id="54"/>
      <w:bookmarkEnd w:id="55"/>
      <w:bookmarkEnd w:id="56"/>
      <w:bookmarkEnd w:id="57"/>
      <w:bookmarkEnd w:id="58"/>
      <w:bookmarkEnd w:id="59"/>
      <w:bookmarkEnd w:id="60"/>
      <w:bookmarkEnd w:id="61"/>
      <w:bookmarkEnd w:id="62"/>
    </w:p>
    <w:p w14:paraId="570B829E">
      <w:pPr>
        <w:widowControl/>
        <w:spacing w:line="560" w:lineRule="exact"/>
        <w:ind w:left="0" w:leftChars="0" w:firstLine="640" w:firstLineChars="200"/>
        <w:rPr>
          <w:rFonts w:ascii="Times New Roman" w:hAnsi="Times New Roman" w:eastAsia="仿宋" w:cs="Times New Roman"/>
          <w:color w:val="000000"/>
          <w:kern w:val="0"/>
          <w:sz w:val="32"/>
          <w:szCs w:val="22"/>
        </w:rPr>
      </w:pPr>
      <w:r>
        <w:rPr>
          <w:rFonts w:hint="eastAsia" w:ascii="方正仿宋_GB2312" w:hAnsi="方正仿宋_GB2312" w:eastAsia="仿宋_GB2312" w:cs="方正仿宋_GB2312"/>
          <w:color w:val="000000"/>
          <w:kern w:val="0"/>
          <w:sz w:val="32"/>
          <w:szCs w:val="22"/>
        </w:rPr>
        <w:t>我市人口规模保持稳定，进入“十四五”后常住人口增速逐渐放缓，截至</w:t>
      </w:r>
      <w:r>
        <w:rPr>
          <w:rFonts w:hint="eastAsia" w:ascii="Times New Roman" w:hAnsi="Times New Roman" w:eastAsia="仿宋" w:cs="Times New Roman"/>
          <w:color w:val="000000"/>
          <w:kern w:val="0"/>
          <w:sz w:val="32"/>
          <w:szCs w:val="22"/>
        </w:rPr>
        <w:t>2024</w:t>
      </w:r>
      <w:r>
        <w:rPr>
          <w:rFonts w:hint="eastAsia" w:ascii="方正仿宋_GB2312" w:hAnsi="方正仿宋_GB2312" w:eastAsia="仿宋_GB2312" w:cs="方正仿宋_GB2312"/>
          <w:color w:val="000000"/>
          <w:kern w:val="0"/>
          <w:sz w:val="32"/>
          <w:szCs w:val="22"/>
        </w:rPr>
        <w:t>年底，常住人口</w:t>
      </w:r>
      <w:r>
        <w:rPr>
          <w:rFonts w:ascii="Times New Roman" w:hAnsi="Times New Roman" w:eastAsia="仿宋" w:cs="Times New Roman"/>
          <w:color w:val="000000"/>
          <w:kern w:val="0"/>
          <w:sz w:val="32"/>
          <w:szCs w:val="22"/>
        </w:rPr>
        <w:t>1364</w:t>
      </w:r>
      <w:r>
        <w:rPr>
          <w:rFonts w:hint="eastAsia" w:ascii="方正仿宋_GB2312" w:hAnsi="方正仿宋_GB2312" w:eastAsia="仿宋_GB2312" w:cs="方正仿宋_GB2312"/>
          <w:color w:val="000000"/>
          <w:kern w:val="0"/>
          <w:sz w:val="32"/>
          <w:szCs w:val="22"/>
        </w:rPr>
        <w:t>万人，户籍人口</w:t>
      </w:r>
      <w:r>
        <w:rPr>
          <w:rFonts w:ascii="Times New Roman" w:hAnsi="Times New Roman" w:eastAsia="仿宋" w:cs="Times New Roman"/>
          <w:color w:val="000000"/>
          <w:kern w:val="0"/>
          <w:sz w:val="32"/>
          <w:szCs w:val="22"/>
        </w:rPr>
        <w:t>1194.6</w:t>
      </w:r>
      <w:r>
        <w:rPr>
          <w:rFonts w:hint="eastAsia" w:ascii="方正仿宋_GB2312" w:hAnsi="方正仿宋_GB2312" w:eastAsia="仿宋_GB2312" w:cs="方正仿宋_GB2312"/>
          <w:color w:val="000000"/>
          <w:kern w:val="0"/>
          <w:sz w:val="32"/>
          <w:szCs w:val="22"/>
        </w:rPr>
        <w:t>万人，年均增长</w:t>
      </w:r>
      <w:r>
        <w:rPr>
          <w:rFonts w:ascii="Times New Roman" w:hAnsi="Times New Roman" w:eastAsia="仿宋" w:cs="Times New Roman"/>
          <w:color w:val="000000"/>
          <w:kern w:val="0"/>
          <w:sz w:val="32"/>
          <w:szCs w:val="22"/>
        </w:rPr>
        <w:t>15.98</w:t>
      </w:r>
      <w:r>
        <w:rPr>
          <w:rFonts w:hint="eastAsia" w:ascii="方正仿宋_GB2312" w:hAnsi="方正仿宋_GB2312" w:eastAsia="仿宋_GB2312" w:cs="方正仿宋_GB2312"/>
          <w:color w:val="000000"/>
          <w:kern w:val="0"/>
          <w:sz w:val="32"/>
          <w:szCs w:val="22"/>
        </w:rPr>
        <w:t>万人，虽然增长速度放缓，但增长趋势未变。</w:t>
      </w:r>
      <w:r>
        <w:rPr>
          <w:rFonts w:ascii="Times New Roman" w:hAnsi="Times New Roman" w:eastAsia="仿宋" w:cs="Times New Roman"/>
          <w:color w:val="000000"/>
          <w:kern w:val="0"/>
          <w:sz w:val="32"/>
          <w:szCs w:val="22"/>
        </w:rPr>
        <w:t>2024</w:t>
      </w:r>
      <w:r>
        <w:rPr>
          <w:rFonts w:hint="eastAsia" w:ascii="方正仿宋_GB2312" w:hAnsi="方正仿宋_GB2312" w:eastAsia="仿宋_GB2312" w:cs="方正仿宋_GB2312"/>
          <w:color w:val="000000"/>
          <w:kern w:val="0"/>
          <w:sz w:val="32"/>
          <w:szCs w:val="22"/>
        </w:rPr>
        <w:t>年，我市一人户、二人户家庭占比超过</w:t>
      </w:r>
      <w:r>
        <w:rPr>
          <w:rFonts w:ascii="Times New Roman" w:hAnsi="Times New Roman" w:eastAsia="仿宋" w:cs="Times New Roman"/>
          <w:color w:val="000000"/>
          <w:kern w:val="0"/>
          <w:sz w:val="32"/>
          <w:szCs w:val="22"/>
        </w:rPr>
        <w:t>50%</w:t>
      </w:r>
      <w:r>
        <w:rPr>
          <w:rFonts w:hint="eastAsia" w:ascii="方正仿宋_GB2312" w:hAnsi="方正仿宋_GB2312" w:eastAsia="仿宋_GB2312" w:cs="方正仿宋_GB2312"/>
          <w:color w:val="000000"/>
          <w:kern w:val="0"/>
          <w:sz w:val="32"/>
          <w:szCs w:val="22"/>
        </w:rPr>
        <w:t>，户均人口低于</w:t>
      </w:r>
      <w:r>
        <w:rPr>
          <w:rFonts w:ascii="Times New Roman" w:hAnsi="Times New Roman" w:eastAsia="仿宋" w:cs="Times New Roman"/>
          <w:color w:val="000000"/>
          <w:kern w:val="0"/>
          <w:sz w:val="32"/>
          <w:szCs w:val="22"/>
        </w:rPr>
        <w:t>2.5</w:t>
      </w:r>
      <w:r>
        <w:rPr>
          <w:rFonts w:hint="eastAsia" w:ascii="仿宋_GB2312" w:hAnsi="仿宋_GB2312" w:eastAsia="仿宋_GB2312" w:cs="仿宋_GB2312"/>
          <w:color w:val="000000"/>
          <w:kern w:val="0"/>
          <w:sz w:val="32"/>
          <w:szCs w:val="22"/>
        </w:rPr>
        <w:t>，</w:t>
      </w:r>
      <w:r>
        <w:rPr>
          <w:rFonts w:hint="eastAsia" w:ascii="方正仿宋_GB2312" w:hAnsi="方正仿宋_GB2312" w:eastAsia="仿宋_GB2312" w:cs="方正仿宋_GB2312"/>
          <w:color w:val="000000"/>
          <w:kern w:val="0"/>
          <w:sz w:val="32"/>
          <w:szCs w:val="22"/>
        </w:rPr>
        <w:t>家庭小型化趋势明显。我市人口发展已由规模增长主导转向规模结构变化，既呈现少子化、老龄化、区域增减分化的全国普遍趋势性特征，也呈现人口规模依然庞大、少子化超常严峻、老龄化形势异常复杂、社会抚养负担分化等天津自身的特点。特别是人口老龄化呈现速度快、程度深、差异大特征。截至</w:t>
      </w:r>
      <w:r>
        <w:rPr>
          <w:rFonts w:hint="eastAsia" w:ascii="Times New Roman" w:hAnsi="Times New Roman" w:eastAsia="仿宋" w:cs="Times New Roman"/>
          <w:color w:val="000000"/>
          <w:kern w:val="0"/>
          <w:sz w:val="32"/>
          <w:szCs w:val="22"/>
        </w:rPr>
        <w:t>2024</w:t>
      </w:r>
      <w:r>
        <w:rPr>
          <w:rFonts w:hint="eastAsia" w:ascii="方正仿宋_GB2312" w:hAnsi="方正仿宋_GB2312" w:eastAsia="仿宋_GB2312" w:cs="方正仿宋_GB2312"/>
          <w:color w:val="000000"/>
          <w:kern w:val="0"/>
          <w:sz w:val="32"/>
          <w:szCs w:val="22"/>
        </w:rPr>
        <w:t>年末，我市</w:t>
      </w:r>
      <w:r>
        <w:rPr>
          <w:rFonts w:ascii="Times New Roman" w:hAnsi="Times New Roman" w:eastAsia="仿宋" w:cs="Times New Roman"/>
          <w:color w:val="000000"/>
          <w:kern w:val="0"/>
          <w:sz w:val="32"/>
          <w:szCs w:val="22"/>
        </w:rPr>
        <w:t>60</w:t>
      </w:r>
      <w:r>
        <w:rPr>
          <w:rFonts w:hint="eastAsia" w:ascii="方正仿宋_GB2312" w:hAnsi="方正仿宋_GB2312" w:eastAsia="仿宋_GB2312" w:cs="方正仿宋_GB2312"/>
          <w:color w:val="000000"/>
          <w:kern w:val="0"/>
          <w:sz w:val="32"/>
          <w:szCs w:val="22"/>
        </w:rPr>
        <w:t>岁以上常住老年人口</w:t>
      </w:r>
      <w:r>
        <w:rPr>
          <w:rFonts w:ascii="Times New Roman" w:hAnsi="Times New Roman" w:eastAsia="仿宋" w:cs="Times New Roman"/>
          <w:color w:val="000000"/>
          <w:kern w:val="0"/>
          <w:sz w:val="32"/>
          <w:szCs w:val="22"/>
        </w:rPr>
        <w:t>353</w:t>
      </w:r>
      <w:r>
        <w:rPr>
          <w:rFonts w:hint="eastAsia" w:ascii="方正仿宋_GB2312" w:hAnsi="方正仿宋_GB2312" w:eastAsia="仿宋_GB2312" w:cs="方正仿宋_GB2312"/>
          <w:color w:val="000000"/>
          <w:kern w:val="0"/>
          <w:sz w:val="32"/>
          <w:szCs w:val="22"/>
        </w:rPr>
        <w:t>万，占比</w:t>
      </w:r>
      <w:r>
        <w:rPr>
          <w:rFonts w:ascii="Times New Roman" w:hAnsi="Times New Roman" w:eastAsia="仿宋" w:cs="Times New Roman"/>
          <w:color w:val="000000"/>
          <w:kern w:val="0"/>
          <w:sz w:val="32"/>
          <w:szCs w:val="22"/>
        </w:rPr>
        <w:t>25.88%</w:t>
      </w:r>
      <w:r>
        <w:rPr>
          <w:rFonts w:hint="eastAsia" w:ascii="Times New Roman" w:hAnsi="Times New Roman" w:eastAsia="仿宋" w:cs="Times New Roman"/>
          <w:color w:val="000000"/>
          <w:kern w:val="0"/>
          <w:sz w:val="32"/>
          <w:szCs w:val="22"/>
        </w:rPr>
        <w:t>。</w:t>
      </w:r>
    </w:p>
    <w:p w14:paraId="124A5E30">
      <w:pPr>
        <w:pStyle w:val="10"/>
        <w:widowControl/>
        <w:spacing w:after="0"/>
        <w:ind w:left="0" w:leftChars="0" w:firstLine="640"/>
        <w:rPr>
          <w:rFonts w:hint="eastAsia" w:ascii="方正仿宋_GB2312" w:hAnsi="方正仿宋_GB2312" w:eastAsia="仿宋_GB2312" w:cs="方正仿宋_GB2312"/>
          <w:kern w:val="0"/>
        </w:rPr>
      </w:pPr>
      <w:r>
        <w:rPr>
          <w:rFonts w:hint="eastAsia" w:ascii="方正仿宋_GB2312" w:hAnsi="方正仿宋_GB2312" w:eastAsia="仿宋_GB2312" w:cs="方正仿宋_GB2312"/>
          <w:kern w:val="0"/>
        </w:rPr>
        <w:t>“十五五”期间，我市人口老龄化程度将进一步加深。预计到</w:t>
      </w:r>
      <w:r>
        <w:rPr>
          <w:rFonts w:eastAsia="仿宋_GB2312" w:cs="Times New Roman"/>
          <w:kern w:val="0"/>
        </w:rPr>
        <w:t>2030</w:t>
      </w:r>
      <w:r>
        <w:rPr>
          <w:rFonts w:hint="eastAsia" w:ascii="方正仿宋_GB2312" w:hAnsi="方正仿宋_GB2312" w:eastAsia="仿宋_GB2312" w:cs="方正仿宋_GB2312"/>
          <w:kern w:val="0"/>
        </w:rPr>
        <w:t>年，全市</w:t>
      </w:r>
      <w:r>
        <w:rPr>
          <w:rFonts w:eastAsia="仿宋_GB2312" w:cs="Times New Roman"/>
          <w:kern w:val="0"/>
        </w:rPr>
        <w:t>60</w:t>
      </w:r>
      <w:r>
        <w:rPr>
          <w:rFonts w:hint="eastAsia" w:ascii="方正仿宋_GB2312" w:hAnsi="方正仿宋_GB2312" w:eastAsia="仿宋_GB2312" w:cs="方正仿宋_GB2312"/>
          <w:kern w:val="0"/>
        </w:rPr>
        <w:t>周岁以上人口将超过</w:t>
      </w:r>
      <w:r>
        <w:rPr>
          <w:rFonts w:eastAsia="仿宋_GB2312" w:cs="Times New Roman"/>
          <w:kern w:val="0"/>
        </w:rPr>
        <w:t>400</w:t>
      </w:r>
      <w:r>
        <w:rPr>
          <w:rFonts w:hint="eastAsia" w:ascii="方正仿宋_GB2312" w:hAnsi="方正仿宋_GB2312" w:eastAsia="仿宋_GB2312" w:cs="方正仿宋_GB2312"/>
          <w:kern w:val="0"/>
        </w:rPr>
        <w:t>万，占比将超过</w:t>
      </w:r>
      <w:r>
        <w:rPr>
          <w:rFonts w:hint="eastAsia" w:eastAsia="仿宋_GB2312" w:cs="Times New Roman"/>
          <w:kern w:val="0"/>
        </w:rPr>
        <w:t>30%</w:t>
      </w:r>
      <w:r>
        <w:rPr>
          <w:rFonts w:hint="eastAsia" w:eastAsia="宋体" w:cs="Times New Roman"/>
          <w:kern w:val="0"/>
        </w:rPr>
        <w:t>，</w:t>
      </w:r>
      <w:r>
        <w:rPr>
          <w:rFonts w:hint="eastAsia" w:ascii="方正仿宋_GB2312" w:hAnsi="方正仿宋_GB2312" w:eastAsia="仿宋_GB2312" w:cs="方正仿宋_GB2312"/>
          <w:kern w:val="0"/>
          <w:shd w:val="clear" w:color="auto" w:fill="FFFFFF"/>
        </w:rPr>
        <w:t>在全国属于老龄化程度较高的省市，低龄老年人增速较快，</w:t>
      </w:r>
      <w:r>
        <w:rPr>
          <w:rFonts w:hint="eastAsia" w:ascii="方正仿宋_GB2312" w:hAnsi="方正仿宋_GB2312" w:eastAsia="仿宋_GB2312" w:cs="方正仿宋_GB2312"/>
          <w:kern w:val="0"/>
        </w:rPr>
        <w:t>失能老年人占比持续攀升，老年人对健康、照护、参与和保障等方面的需求由基本满足向品质提升转变，家庭养老功能弱化，居家社区机构相协调、医养康养相结合的养老服务需求将持续增长。老龄事业发展和养老服务体系建设面临的新情况新任务更加突出。</w:t>
      </w:r>
    </w:p>
    <w:p w14:paraId="6341FB98">
      <w:pPr>
        <w:pStyle w:val="10"/>
        <w:widowControl/>
        <w:spacing w:after="0"/>
        <w:ind w:left="0" w:leftChars="0" w:firstLine="640"/>
        <w:rPr>
          <w:rFonts w:hint="eastAsia" w:ascii="方正仿宋_GB2312" w:hAnsi="方正仿宋_GB2312" w:eastAsia="仿宋_GB2312" w:cs="方正仿宋_GB2312"/>
          <w:kern w:val="0"/>
        </w:rPr>
      </w:pPr>
      <w:r>
        <w:rPr>
          <w:rFonts w:hint="eastAsia" w:ascii="方正仿宋_GB2312" w:hAnsi="方正仿宋_GB2312" w:eastAsia="仿宋_GB2312" w:cs="方正仿宋_GB2312"/>
          <w:kern w:val="0"/>
        </w:rPr>
        <w:t>从经济发展角度看，银发经济正加快成长为新的重要增长点，健康养老、智慧养老、适老化产品和服务等领域的产业链条不断延伸，需要深化服务业、制造业与数字经济的融合，为推动产业转型升级、培育银发经济发展提供更大发展空间。</w:t>
      </w:r>
    </w:p>
    <w:p w14:paraId="1E8B20C2">
      <w:pPr>
        <w:pStyle w:val="4"/>
        <w:widowControl/>
        <w:rPr>
          <w:rFonts w:hint="eastAsia" w:cs="Times New Roman"/>
          <w:kern w:val="0"/>
          <w:shd w:val="clear" w:color="auto" w:fill="FFFFFF"/>
        </w:rPr>
      </w:pPr>
      <w:bookmarkStart w:id="63" w:name="_Toc14339"/>
      <w:bookmarkStart w:id="64" w:name="_Toc26334"/>
      <w:bookmarkStart w:id="65" w:name="_Toc25054"/>
      <w:bookmarkStart w:id="66" w:name="_Toc24968"/>
      <w:r>
        <w:rPr>
          <w:rFonts w:hint="eastAsia" w:ascii="Times New Roman" w:hAnsi="Times New Roman" w:cs="Times New Roman"/>
          <w:kern w:val="0"/>
          <w:shd w:val="clear" w:color="auto" w:fill="FFFFFF"/>
        </w:rPr>
        <w:t>（二）我市民政工作形势分析和工作方向</w:t>
      </w:r>
      <w:bookmarkEnd w:id="63"/>
      <w:bookmarkEnd w:id="64"/>
      <w:bookmarkEnd w:id="65"/>
      <w:bookmarkEnd w:id="66"/>
    </w:p>
    <w:p w14:paraId="2DEA5F7B">
      <w:pPr>
        <w:widowControl/>
        <w:spacing w:line="560" w:lineRule="exact"/>
        <w:ind w:firstLine="640" w:firstLineChars="200"/>
        <w:rPr>
          <w:rFonts w:hint="eastAsia" w:ascii="方正仿宋_GB2312" w:hAnsi="方正仿宋_GB2312" w:eastAsia="仿宋_GB2312" w:cs="方正仿宋_GB2312"/>
          <w:color w:val="000000"/>
          <w:kern w:val="0"/>
          <w:sz w:val="32"/>
          <w:szCs w:val="32"/>
          <w:shd w:val="clear" w:color="auto" w:fill="FFFFFF"/>
        </w:rPr>
      </w:pPr>
      <w:r>
        <w:rPr>
          <w:rFonts w:hint="eastAsia" w:ascii="方正仿宋_GB2312" w:hAnsi="方正仿宋_GB2312" w:eastAsia="仿宋_GB2312" w:cs="方正仿宋_GB2312"/>
          <w:color w:val="000000"/>
          <w:kern w:val="0"/>
          <w:sz w:val="32"/>
          <w:szCs w:val="22"/>
        </w:rPr>
        <w:t>当前，民政事业发展面临现代化建设机遇期、深化改革攻坚期、民生需求转型期的新形势。</w:t>
      </w:r>
      <w:r>
        <w:rPr>
          <w:rFonts w:hint="eastAsia" w:ascii="方正仿宋_GB2312" w:hAnsi="方正仿宋_GB2312" w:eastAsia="仿宋_GB2312" w:cs="方正仿宋_GB2312"/>
          <w:color w:val="000000"/>
          <w:kern w:val="0"/>
          <w:sz w:val="32"/>
          <w:szCs w:val="32"/>
          <w:shd w:val="clear" w:color="auto" w:fill="FFFFFF"/>
        </w:rPr>
        <w:t>民政工作的内涵和外延都在发生深刻变化，民政服务对象进一步向全体居民转变，服务内容需要向“物质</w:t>
      </w:r>
      <w:r>
        <w:rPr>
          <w:rFonts w:hint="default" w:ascii="Times New Roman" w:hAnsi="Times New Roman" w:eastAsia="仿宋_GB2312" w:cs="Times New Roman"/>
          <w:color w:val="000000"/>
          <w:kern w:val="0"/>
          <w:sz w:val="32"/>
          <w:szCs w:val="32"/>
          <w:shd w:val="clear" w:color="auto" w:fill="FFFFFF"/>
        </w:rPr>
        <w:t>＋</w:t>
      </w:r>
      <w:r>
        <w:rPr>
          <w:rFonts w:hint="eastAsia" w:ascii="方正仿宋_GB2312" w:hAnsi="方正仿宋_GB2312" w:eastAsia="仿宋_GB2312" w:cs="方正仿宋_GB2312"/>
          <w:color w:val="000000"/>
          <w:kern w:val="0"/>
          <w:sz w:val="32"/>
          <w:szCs w:val="32"/>
          <w:shd w:val="clear" w:color="auto" w:fill="FFFFFF"/>
        </w:rPr>
        <w:t>服务”多元保障转变，服务方式需要向科技赋能、“政策找人”转变，服务机构进一步向政府、市场、社会协同发力转变，民政服务场景向人性化转变。我市基本民生供给还不够优质均衡，跨部门政策衔接和综合监管体系还不够健全，基层民政工作还不够扎实，与人民群众高品质生活期待还有差距。</w:t>
      </w:r>
    </w:p>
    <w:p w14:paraId="4A1B539E">
      <w:pPr>
        <w:widowControl/>
        <w:spacing w:line="560" w:lineRule="exact"/>
        <w:ind w:firstLine="640" w:firstLineChars="200"/>
        <w:rPr>
          <w:rFonts w:hint="eastAsia" w:ascii="方正仿宋_GB2312" w:hAnsi="方正仿宋_GB2312" w:eastAsia="仿宋_GB2312" w:cs="方正仿宋_GB2312"/>
          <w:color w:val="000000"/>
          <w:kern w:val="0"/>
          <w:sz w:val="32"/>
          <w:szCs w:val="32"/>
          <w:shd w:val="clear" w:color="auto" w:fill="FFFFFF"/>
        </w:rPr>
      </w:pPr>
      <w:r>
        <w:rPr>
          <w:rFonts w:hint="eastAsia" w:ascii="方正仿宋_GB2312" w:hAnsi="方正仿宋_GB2312" w:eastAsia="仿宋_GB2312" w:cs="方正仿宋_GB2312"/>
          <w:color w:val="000000"/>
          <w:kern w:val="0"/>
          <w:sz w:val="32"/>
          <w:szCs w:val="32"/>
          <w:shd w:val="clear" w:color="auto" w:fill="FFFFFF"/>
        </w:rPr>
        <w:t>全市民政系统必须深刻认识我市中国式现代化建设的新使命新任务和我市人口发展的新变化新特点，把握好发展机遇，持续深化民政改革，积极回应民生需求，朝着更高标准、更具内涵、更高效能、更加安全的方向，完善制度机制、提升队伍素质、创新服务手段，在老龄和养老服务、社会救助、社会福利、社会事务、社会治理等领域持续促进质的有效提升和量的合理增长，推动天津民政事业高质量发展。</w:t>
      </w:r>
    </w:p>
    <w:p w14:paraId="1F06AA20">
      <w:pPr>
        <w:widowControl/>
        <w:spacing w:line="560" w:lineRule="exact"/>
        <w:ind w:firstLine="640" w:firstLineChars="200"/>
        <w:rPr>
          <w:rFonts w:hint="eastAsia" w:ascii="方正仿宋_GB2312" w:hAnsi="方正仿宋_GB2312" w:eastAsia="仿宋_GB2312" w:cs="方正仿宋_GB2312"/>
          <w:color w:val="000000"/>
          <w:kern w:val="0"/>
          <w:sz w:val="32"/>
          <w:szCs w:val="32"/>
          <w:shd w:val="clear" w:color="auto" w:fill="FFFFFF"/>
        </w:rPr>
      </w:pPr>
    </w:p>
    <w:p w14:paraId="5806A18C">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cs="黑体"/>
          <w:kern w:val="0"/>
        </w:rPr>
      </w:pPr>
      <w:bookmarkStart w:id="67" w:name="_Toc16565"/>
      <w:bookmarkStart w:id="68" w:name="_Toc21325"/>
      <w:bookmarkStart w:id="69" w:name="_Toc231311699"/>
      <w:bookmarkStart w:id="70" w:name="_Toc14759"/>
      <w:bookmarkStart w:id="71" w:name="_Toc93"/>
      <w:bookmarkStart w:id="72" w:name="_Toc3441"/>
      <w:bookmarkStart w:id="73" w:name="_Toc21798"/>
      <w:bookmarkStart w:id="74" w:name="_Toc7140"/>
      <w:bookmarkStart w:id="75" w:name="_Toc27918"/>
      <w:r>
        <w:rPr>
          <w:rFonts w:hint="eastAsia" w:ascii="黑体" w:hAnsi="黑体" w:cs="黑体"/>
          <w:kern w:val="0"/>
        </w:rPr>
        <w:t>第三节  总体思路</w:t>
      </w:r>
      <w:bookmarkEnd w:id="67"/>
      <w:bookmarkEnd w:id="68"/>
      <w:bookmarkEnd w:id="69"/>
      <w:bookmarkEnd w:id="70"/>
      <w:bookmarkEnd w:id="71"/>
      <w:bookmarkEnd w:id="72"/>
      <w:bookmarkEnd w:id="73"/>
      <w:bookmarkEnd w:id="74"/>
      <w:bookmarkEnd w:id="75"/>
    </w:p>
    <w:p w14:paraId="00E60ED1">
      <w:pPr>
        <w:widowControl/>
        <w:spacing w:line="560" w:lineRule="exact"/>
        <w:ind w:firstLine="640" w:firstLineChars="200"/>
        <w:rPr>
          <w:rFonts w:hint="eastAsia" w:ascii="楷体" w:hAnsi="楷体" w:eastAsia="楷体" w:cs="楷体"/>
          <w:color w:val="000000"/>
          <w:kern w:val="0"/>
          <w:sz w:val="32"/>
          <w:szCs w:val="22"/>
        </w:rPr>
      </w:pPr>
    </w:p>
    <w:p w14:paraId="0C0F0389">
      <w:pPr>
        <w:widowControl/>
        <w:numPr>
          <w:ilvl w:val="0"/>
          <w:numId w:val="0"/>
        </w:numPr>
        <w:spacing w:line="560" w:lineRule="exact"/>
        <w:ind w:firstLine="640" w:firstLineChars="200"/>
        <w:rPr>
          <w:rFonts w:hint="eastAsia" w:ascii="楷体" w:hAnsi="楷体" w:eastAsia="楷体" w:cs="楷体"/>
          <w:color w:val="000000"/>
          <w:kern w:val="0"/>
          <w:sz w:val="32"/>
          <w:szCs w:val="22"/>
        </w:rPr>
      </w:pPr>
      <w:r>
        <w:rPr>
          <w:rFonts w:hint="eastAsia" w:ascii="楷体" w:hAnsi="楷体" w:eastAsia="楷体" w:cs="楷体"/>
          <w:color w:val="000000"/>
          <w:kern w:val="0"/>
          <w:sz w:val="32"/>
          <w:szCs w:val="22"/>
          <w:lang w:val="en-US" w:eastAsia="zh-CN" w:bidi="ar-SA"/>
        </w:rPr>
        <w:t>（一）</w:t>
      </w:r>
      <w:r>
        <w:rPr>
          <w:rFonts w:hint="eastAsia" w:ascii="楷体" w:hAnsi="楷体" w:eastAsia="楷体" w:cs="楷体"/>
          <w:color w:val="000000"/>
          <w:kern w:val="0"/>
          <w:sz w:val="32"/>
          <w:szCs w:val="22"/>
        </w:rPr>
        <w:t>指导思想</w:t>
      </w:r>
    </w:p>
    <w:p w14:paraId="6F582024">
      <w:pPr>
        <w:widowControl/>
        <w:numPr>
          <w:ilvl w:val="0"/>
          <w:numId w:val="0"/>
        </w:numPr>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方正仿宋_GB2312" w:hAnsi="方正仿宋_GB2312" w:eastAsia="仿宋_GB2312" w:cs="方正仿宋_GB2312"/>
          <w:color w:val="000000"/>
          <w:kern w:val="0"/>
          <w:sz w:val="32"/>
          <w:szCs w:val="22"/>
        </w:rPr>
        <w:t>以习近平新时代中国特色社会主义思想为指导，全面贯彻党的二十大和二十届历次全会精神，全面落实习近平总书记视察天津重要讲话精神和对天津工作一系列重要指示要求，完整准确全面贯彻新发展理念，坚持党对民政工作的全面领导，立足民政保基本、防风险、促发展的使命担当，以更好服务社会主义现代化大都市建设、共同打造中国式现代化建设先行区、示范区为主线，以民政事业高质量发展为主题，以不断满足人民日益增长的美好生活需要为目标，以全面深化改革为动力，扛好扛牢民政职责使命，加强普惠性、基础性、兜底性民生建设，推动天津民政事业在服务社会主义现代化大都市建设中展现新担当新作为。</w:t>
      </w:r>
    </w:p>
    <w:p w14:paraId="36E98660">
      <w:pPr>
        <w:widowControl/>
        <w:spacing w:line="560" w:lineRule="exact"/>
        <w:ind w:firstLine="640" w:firstLineChars="200"/>
        <w:rPr>
          <w:rFonts w:ascii="Times New Roman" w:hAnsi="Times New Roman" w:eastAsia="仿宋" w:cs="Times New Roman"/>
          <w:color w:val="000000"/>
          <w:kern w:val="0"/>
          <w:sz w:val="32"/>
          <w:szCs w:val="22"/>
          <w:shd w:val="clear" w:color="auto" w:fill="FFFFFF"/>
        </w:rPr>
      </w:pPr>
      <w:r>
        <w:rPr>
          <w:rFonts w:hint="eastAsia" w:ascii="楷体" w:hAnsi="楷体" w:eastAsia="楷体" w:cs="楷体"/>
          <w:color w:val="000000"/>
          <w:kern w:val="0"/>
          <w:sz w:val="32"/>
          <w:szCs w:val="22"/>
        </w:rPr>
        <w:t>（二）</w:t>
      </w:r>
      <w:r>
        <w:rPr>
          <w:rFonts w:hint="eastAsia" w:ascii="楷体" w:hAnsi="楷体" w:eastAsia="楷体" w:cs="楷体"/>
          <w:color w:val="000000"/>
          <w:kern w:val="0"/>
          <w:sz w:val="32"/>
          <w:szCs w:val="22"/>
          <w:shd w:val="clear" w:color="auto" w:fill="FFFFFF"/>
        </w:rPr>
        <w:t>基本原则</w:t>
      </w:r>
    </w:p>
    <w:p w14:paraId="06582A7B">
      <w:pPr>
        <w:widowControl w:val="0"/>
        <w:spacing w:line="560" w:lineRule="exact"/>
        <w:ind w:firstLine="656" w:firstLineChars="200"/>
        <w:rPr>
          <w:rFonts w:hint="eastAsia" w:ascii="方正仿宋_GB2312" w:hAnsi="方正仿宋_GB2312" w:eastAsia="仿宋_GB2312" w:cs="方正仿宋_GB2312"/>
          <w:strike/>
          <w:color w:val="000000"/>
          <w:kern w:val="0"/>
          <w:sz w:val="32"/>
          <w:szCs w:val="22"/>
        </w:rPr>
      </w:pPr>
      <w:r>
        <w:rPr>
          <w:rFonts w:hint="eastAsia" w:ascii="Times New Roman" w:hAnsi="Times New Roman" w:eastAsia="楷体" w:cs="Times New Roman"/>
          <w:color w:val="000000"/>
          <w:spacing w:val="4"/>
          <w:kern w:val="0"/>
          <w:sz w:val="32"/>
          <w:szCs w:val="32"/>
        </w:rPr>
        <w:t>——坚持党的全面领导。</w:t>
      </w:r>
      <w:r>
        <w:rPr>
          <w:rFonts w:hint="eastAsia" w:ascii="方正仿宋_GB2312" w:hAnsi="方正仿宋_GB2312" w:eastAsia="仿宋_GB2312" w:cs="方正仿宋_GB2312"/>
          <w:color w:val="000000"/>
          <w:kern w:val="0"/>
          <w:sz w:val="32"/>
          <w:szCs w:val="32"/>
        </w:rPr>
        <w:t>准确把握民政工作的政治属性，坚决维护党中央权威和集中统一领导，把党的领导贯穿民政事业发展各方面全过程，把党的路线方针政策转化为民政工作具体实践，为推进民政事业高质量发展提供根本政治保证。</w:t>
      </w:r>
    </w:p>
    <w:p w14:paraId="2FD992EC">
      <w:pPr>
        <w:widowControl w:val="0"/>
        <w:spacing w:line="560" w:lineRule="exact"/>
        <w:ind w:firstLine="656"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spacing w:val="4"/>
          <w:kern w:val="0"/>
          <w:sz w:val="32"/>
          <w:szCs w:val="32"/>
        </w:rPr>
        <w:t>——</w:t>
      </w:r>
      <w:r>
        <w:rPr>
          <w:rFonts w:hint="eastAsia" w:ascii="Times New Roman" w:hAnsi="Times New Roman" w:eastAsia="楷体" w:cs="Times New Roman"/>
          <w:color w:val="000000"/>
          <w:kern w:val="0"/>
          <w:sz w:val="32"/>
          <w:szCs w:val="32"/>
        </w:rPr>
        <w:t>坚持民生为大。</w:t>
      </w:r>
      <w:r>
        <w:rPr>
          <w:rFonts w:hint="eastAsia" w:ascii="方正仿宋_GB2312" w:hAnsi="方正仿宋_GB2312" w:eastAsia="仿宋_GB2312" w:cs="方正仿宋_GB2312"/>
          <w:color w:val="000000"/>
          <w:kern w:val="0"/>
          <w:sz w:val="32"/>
          <w:szCs w:val="22"/>
        </w:rPr>
        <w:t>始终站稳人民立场，尊重人民主体地位，维护人民根本利益，深刻理解民政工作的政治属性和人民属性，聚焦人民群众最关心最直接最现实的利益问题，注重在发展中保障和改善民生，确保民政事业发展与我市现代化进程同频共振，让现代化建设成果更多更公平惠及全市人民。</w:t>
      </w:r>
    </w:p>
    <w:p w14:paraId="7BD65E0F">
      <w:pPr>
        <w:widowControl/>
        <w:spacing w:line="560" w:lineRule="exact"/>
        <w:ind w:right="54" w:firstLine="656"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spacing w:val="4"/>
          <w:kern w:val="0"/>
          <w:sz w:val="32"/>
          <w:szCs w:val="32"/>
        </w:rPr>
        <w:t>——</w:t>
      </w:r>
      <w:r>
        <w:rPr>
          <w:rFonts w:hint="eastAsia" w:ascii="楷体" w:hAnsi="楷体" w:eastAsia="楷体" w:cs="仿宋"/>
          <w:color w:val="000000"/>
          <w:kern w:val="0"/>
          <w:sz w:val="32"/>
          <w:szCs w:val="22"/>
        </w:rPr>
        <w:t>坚持普惠性、基础性、兜底性</w:t>
      </w:r>
      <w:r>
        <w:rPr>
          <w:rFonts w:hint="eastAsia" w:ascii="Times New Roman" w:hAnsi="Times New Roman" w:eastAsia="楷体" w:cs="Times New Roman"/>
          <w:color w:val="000000"/>
          <w:spacing w:val="-3"/>
          <w:kern w:val="0"/>
          <w:sz w:val="32"/>
          <w:szCs w:val="32"/>
        </w:rPr>
        <w:t>。</w:t>
      </w:r>
      <w:r>
        <w:rPr>
          <w:rFonts w:hint="eastAsia" w:ascii="方正仿宋_GB2312" w:hAnsi="方正仿宋_GB2312" w:eastAsia="仿宋_GB2312" w:cs="方正仿宋_GB2312"/>
          <w:color w:val="000000"/>
          <w:kern w:val="0"/>
          <w:sz w:val="32"/>
          <w:szCs w:val="22"/>
        </w:rPr>
        <w:t>以普惠性民生建设为发展方向，有序推进民生保障由补缺向普惠发展，稳步推动民政服务由特定对象向全体居民拓展；以基础性民生建设为主要内容，不断完善民政基本公共服务体系，增加民政服务均衡性和可及性；以兜底性民生建设为基本职责，聚焦特殊群体，切实兜住兜准兜牢民生底线。</w:t>
      </w:r>
    </w:p>
    <w:p w14:paraId="6DDF18D1">
      <w:pPr>
        <w:widowControl/>
        <w:spacing w:line="560" w:lineRule="exact"/>
        <w:ind w:right="10" w:firstLine="656"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spacing w:val="4"/>
          <w:kern w:val="0"/>
          <w:sz w:val="32"/>
          <w:szCs w:val="32"/>
        </w:rPr>
        <w:t>——</w:t>
      </w:r>
      <w:r>
        <w:rPr>
          <w:rFonts w:hint="eastAsia" w:ascii="Times New Roman" w:hAnsi="Times New Roman" w:eastAsia="楷体" w:cs="Times New Roman"/>
          <w:color w:val="000000"/>
          <w:spacing w:val="5"/>
          <w:kern w:val="0"/>
          <w:sz w:val="32"/>
          <w:szCs w:val="32"/>
        </w:rPr>
        <w:t>坚持尽力而为</w:t>
      </w:r>
      <w:r>
        <w:rPr>
          <w:rFonts w:hint="eastAsia" w:ascii="Times New Roman" w:hAnsi="Times New Roman" w:eastAsia="楷体" w:cs="Times New Roman"/>
          <w:color w:val="000000"/>
          <w:spacing w:val="5"/>
          <w:kern w:val="0"/>
          <w:sz w:val="32"/>
          <w:szCs w:val="32"/>
          <w:lang w:eastAsia="zh-CN"/>
        </w:rPr>
        <w:t>、</w:t>
      </w:r>
      <w:r>
        <w:rPr>
          <w:rFonts w:hint="eastAsia" w:ascii="Times New Roman" w:hAnsi="Times New Roman" w:eastAsia="楷体" w:cs="Times New Roman"/>
          <w:color w:val="000000"/>
          <w:spacing w:val="5"/>
          <w:kern w:val="0"/>
          <w:sz w:val="32"/>
          <w:szCs w:val="32"/>
        </w:rPr>
        <w:t>量力而行。</w:t>
      </w:r>
      <w:r>
        <w:rPr>
          <w:rFonts w:hint="eastAsia" w:ascii="方正仿宋_GB2312" w:hAnsi="方正仿宋_GB2312" w:eastAsia="仿宋_GB2312" w:cs="方正仿宋_GB2312"/>
          <w:color w:val="000000"/>
          <w:kern w:val="0"/>
          <w:sz w:val="32"/>
          <w:szCs w:val="22"/>
        </w:rPr>
        <w:t>聚焦人民群众急难愁盼，既要主动作为、倾力投入，稳步增进民生福祉的同时，也要立足我市经济社会发展实际，科学确定保障水平，合理引导预期，避免过度承诺、盲目提标扩面。将投资于物与投资于人紧密结合，重点聚焦薄弱环节，优先解决“有没有”，接续谋划“优不优”，确保每一项民政政策落地见效、每一分钱都花在刀刃上，实现民生改善和经济发展良性互动。</w:t>
      </w:r>
    </w:p>
    <w:p w14:paraId="67E47A31">
      <w:pPr>
        <w:widowControl/>
        <w:spacing w:line="560" w:lineRule="exact"/>
        <w:ind w:right="10" w:firstLine="656" w:firstLineChars="200"/>
        <w:rPr>
          <w:rFonts w:ascii="Times New Roman" w:hAnsi="Times New Roman" w:eastAsia="仿宋" w:cs="Times New Roman"/>
          <w:color w:val="000000"/>
          <w:kern w:val="0"/>
          <w:sz w:val="32"/>
          <w:szCs w:val="22"/>
        </w:rPr>
      </w:pPr>
      <w:r>
        <w:rPr>
          <w:rFonts w:hint="eastAsia" w:ascii="Times New Roman" w:hAnsi="Times New Roman" w:eastAsia="楷体" w:cs="Times New Roman"/>
          <w:color w:val="000000"/>
          <w:spacing w:val="4"/>
          <w:kern w:val="0"/>
          <w:sz w:val="32"/>
          <w:szCs w:val="32"/>
        </w:rPr>
        <w:t>——</w:t>
      </w:r>
      <w:r>
        <w:rPr>
          <w:rFonts w:hint="eastAsia" w:ascii="Times New Roman" w:hAnsi="Times New Roman" w:eastAsia="楷体" w:cs="Times New Roman"/>
          <w:color w:val="000000"/>
          <w:spacing w:val="2"/>
          <w:kern w:val="0"/>
          <w:sz w:val="32"/>
          <w:szCs w:val="32"/>
        </w:rPr>
        <w:t>坚持全面深化民政改革。</w:t>
      </w:r>
      <w:r>
        <w:rPr>
          <w:rFonts w:hint="eastAsia" w:ascii="方正仿宋_GB2312" w:hAnsi="方正仿宋_GB2312" w:eastAsia="仿宋_GB2312" w:cs="方正仿宋_GB2312"/>
          <w:color w:val="000000"/>
          <w:kern w:val="0"/>
          <w:sz w:val="32"/>
          <w:szCs w:val="22"/>
        </w:rPr>
        <w:t>顺应时代变革和形势转变，以改革的思路、创新的办法，探索发展新机制，完善政策制度体系、服务保障体系、监督管理</w:t>
      </w:r>
      <w:r>
        <w:rPr>
          <w:rFonts w:hint="eastAsia" w:ascii="方正仿宋_GB2312" w:hAnsi="方正仿宋_GB2312" w:eastAsia="仿宋_GB2312" w:cs="方正仿宋_GB2312"/>
          <w:color w:val="000000"/>
          <w:kern w:val="0"/>
          <w:sz w:val="32"/>
          <w:szCs w:val="22"/>
          <w:lang w:eastAsia="zh-CN"/>
        </w:rPr>
        <w:t>体系</w:t>
      </w:r>
      <w:r>
        <w:rPr>
          <w:rFonts w:hint="eastAsia" w:ascii="方正仿宋_GB2312" w:hAnsi="方正仿宋_GB2312" w:eastAsia="仿宋_GB2312" w:cs="方正仿宋_GB2312"/>
          <w:color w:val="000000"/>
          <w:kern w:val="0"/>
          <w:sz w:val="32"/>
          <w:szCs w:val="22"/>
        </w:rPr>
        <w:t>、社会参与体系，将有为政府、有效市场、有情社会、有责家庭有机结合，推出一批均衡性可及性强的民生政策举措，不断释放活力，激发发展新动能。</w:t>
      </w:r>
    </w:p>
    <w:p w14:paraId="1F3C1867">
      <w:pPr>
        <w:widowControl/>
        <w:spacing w:line="560" w:lineRule="exact"/>
        <w:ind w:firstLine="648"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spacing w:val="2"/>
          <w:kern w:val="0"/>
          <w:sz w:val="32"/>
          <w:szCs w:val="32"/>
        </w:rPr>
        <w:t>——坚持统筹发展和安全。</w:t>
      </w:r>
      <w:r>
        <w:rPr>
          <w:rFonts w:hint="eastAsia" w:ascii="方正仿宋_GB2312" w:hAnsi="方正仿宋_GB2312" w:eastAsia="仿宋_GB2312" w:cs="方正仿宋_GB2312"/>
          <w:color w:val="000000"/>
          <w:kern w:val="0"/>
          <w:sz w:val="32"/>
          <w:szCs w:val="22"/>
        </w:rPr>
        <w:t>牢固树立安全发展理念，强化底线思维，常态化排查养老服务监管、社会组织管理、慈善公益、殡葬服务、网络数据舆情以及民政服务机构消防、食品、传染病防控等领域风险隐患。用好社会组织等载体，更好统筹社会力量、调节社会关系、规范社会行为。加强社会救助动态监测，织密扎牢兜底保障安全网，有效提高风险防范化解水平，以高水平安全保障高质量发展。</w:t>
      </w:r>
    </w:p>
    <w:p w14:paraId="23389ECB">
      <w:pPr>
        <w:widowControl/>
        <w:spacing w:line="560" w:lineRule="exact"/>
        <w:ind w:firstLine="640" w:firstLineChars="200"/>
        <w:rPr>
          <w:rFonts w:ascii="Times New Roman" w:hAnsi="Times New Roman" w:eastAsia="仿宋" w:cs="Times New Roman"/>
          <w:color w:val="000000"/>
          <w:kern w:val="0"/>
          <w:sz w:val="32"/>
          <w:szCs w:val="22"/>
        </w:rPr>
      </w:pPr>
    </w:p>
    <w:p w14:paraId="2E468A48">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cs="黑体"/>
          <w:kern w:val="0"/>
        </w:rPr>
      </w:pPr>
      <w:bookmarkStart w:id="76" w:name="_Toc231311700"/>
      <w:r>
        <w:rPr>
          <w:rFonts w:hint="eastAsia" w:ascii="黑体" w:hAnsi="黑体" w:cs="黑体"/>
          <w:kern w:val="0"/>
        </w:rPr>
        <w:t>第四节  发展目标</w:t>
      </w:r>
      <w:bookmarkEnd w:id="76"/>
    </w:p>
    <w:p w14:paraId="64A45AB9">
      <w:pPr>
        <w:widowControl/>
        <w:spacing w:line="560" w:lineRule="exact"/>
        <w:ind w:firstLine="0" w:firstLineChars="0"/>
        <w:jc w:val="center"/>
        <w:rPr>
          <w:rFonts w:hint="eastAsia" w:ascii="黑体" w:hAnsi="黑体" w:eastAsia="仿宋" w:cs="黑体"/>
          <w:color w:val="000000"/>
          <w:kern w:val="0"/>
          <w:sz w:val="32"/>
          <w:szCs w:val="22"/>
        </w:rPr>
      </w:pPr>
    </w:p>
    <w:p w14:paraId="7EC0768D">
      <w:pPr>
        <w:widowControl/>
        <w:spacing w:line="560" w:lineRule="exact"/>
        <w:ind w:firstLine="0" w:firstLineChars="0"/>
        <w:jc w:val="left"/>
        <w:rPr>
          <w:rFonts w:hint="eastAsia" w:ascii="方正仿宋_GB2312" w:hAnsi="方正仿宋_GB2312" w:eastAsia="仿宋_GB2312" w:cs="方正仿宋_GB2312"/>
          <w:color w:val="000000"/>
          <w:kern w:val="0"/>
          <w:sz w:val="32"/>
          <w:szCs w:val="22"/>
          <w:shd w:val="clear" w:color="auto" w:fill="FFFFFF"/>
        </w:rPr>
      </w:pPr>
      <w:r>
        <w:rPr>
          <w:rFonts w:hint="eastAsia" w:ascii="Times New Roman" w:hAnsi="Times New Roman" w:eastAsia="仿宋" w:cs="Times New Roman"/>
          <w:color w:val="000000"/>
          <w:kern w:val="0"/>
          <w:sz w:val="32"/>
          <w:szCs w:val="32"/>
          <w:shd w:val="clear" w:color="auto" w:fill="FFFFFF"/>
        </w:rPr>
        <w:t xml:space="preserve">    </w:t>
      </w:r>
      <w:r>
        <w:rPr>
          <w:rFonts w:hint="eastAsia" w:ascii="方正仿宋_GB2312" w:hAnsi="方正仿宋_GB2312" w:eastAsia="仿宋_GB2312" w:cs="方正仿宋_GB2312"/>
          <w:color w:val="000000"/>
          <w:kern w:val="0"/>
          <w:sz w:val="32"/>
          <w:szCs w:val="32"/>
          <w:shd w:val="clear" w:color="auto" w:fill="FFFFFF"/>
        </w:rPr>
        <w:t>到</w:t>
      </w:r>
      <w:r>
        <w:rPr>
          <w:rFonts w:ascii="Times New Roman" w:hAnsi="Times New Roman" w:eastAsia="仿宋_GB2312" w:cs="Times New Roman"/>
          <w:color w:val="000000"/>
          <w:kern w:val="0"/>
          <w:sz w:val="32"/>
          <w:szCs w:val="32"/>
          <w:shd w:val="clear" w:color="auto" w:fill="FFFFFF"/>
        </w:rPr>
        <w:t>2030</w:t>
      </w:r>
      <w:r>
        <w:rPr>
          <w:rFonts w:hint="eastAsia" w:ascii="方正仿宋_GB2312" w:hAnsi="方正仿宋_GB2312" w:eastAsia="仿宋_GB2312" w:cs="方正仿宋_GB2312"/>
          <w:color w:val="000000"/>
          <w:kern w:val="0"/>
          <w:sz w:val="32"/>
          <w:szCs w:val="32"/>
          <w:shd w:val="clear" w:color="auto" w:fill="FFFFFF"/>
        </w:rPr>
        <w:t>年，天津市民政事业发展的主要目标是：民政系统党的建设全面加强，政策制度体系、服务保障体系、监督管理体系、社会参与体系持续健全完善，在健全养老服务体系、增强社会救助质效、夯实社会福利基础、提升社会事务服务、推进社会治理创新等上不断加力提效，民政事业现代化建设、高质量发展迈出坚实步伐，取得实质性进展，</w:t>
      </w:r>
      <w:r>
        <w:rPr>
          <w:rFonts w:hint="eastAsia" w:ascii="方正仿宋_GB2312" w:hAnsi="方正仿宋_GB2312" w:eastAsia="仿宋_GB2312" w:cs="方正仿宋_GB2312"/>
          <w:color w:val="000000"/>
          <w:kern w:val="0"/>
          <w:sz w:val="32"/>
          <w:szCs w:val="22"/>
        </w:rPr>
        <w:t>实现经济发展和民生改善良性循环</w:t>
      </w:r>
      <w:r>
        <w:rPr>
          <w:rFonts w:hint="eastAsia" w:ascii="方正仿宋_GB2312" w:hAnsi="方正仿宋_GB2312" w:eastAsia="仿宋_GB2312" w:cs="方正仿宋_GB2312"/>
          <w:color w:val="000000"/>
          <w:kern w:val="0"/>
          <w:sz w:val="32"/>
          <w:szCs w:val="32"/>
          <w:shd w:val="clear" w:color="auto" w:fill="FFFFFF"/>
        </w:rPr>
        <w:t>。</w:t>
      </w:r>
    </w:p>
    <w:p w14:paraId="33509EEB">
      <w:pPr>
        <w:widowControl/>
        <w:spacing w:line="560" w:lineRule="exact"/>
        <w:ind w:firstLine="640" w:firstLineChars="200"/>
        <w:rPr>
          <w:rFonts w:hint="eastAsia" w:ascii="方正仿宋_GB2312" w:hAnsi="方正仿宋_GB2312" w:eastAsia="仿宋_GB2312" w:cs="方正仿宋_GB2312"/>
          <w:color w:val="000000"/>
          <w:kern w:val="0"/>
          <w:sz w:val="32"/>
          <w:szCs w:val="32"/>
        </w:rPr>
      </w:pPr>
      <w:r>
        <w:rPr>
          <w:rFonts w:hint="eastAsia" w:ascii="Times New Roman" w:hAnsi="Times New Roman" w:eastAsia="楷体" w:cs="Times New Roman"/>
          <w:color w:val="000000"/>
          <w:kern w:val="0"/>
          <w:sz w:val="32"/>
          <w:szCs w:val="22"/>
          <w:shd w:val="clear" w:color="auto" w:fill="FFFFFF"/>
        </w:rPr>
        <w:t>——为老服务更加优质均衡。</w:t>
      </w:r>
      <w:r>
        <w:rPr>
          <w:rFonts w:hint="eastAsia" w:ascii="方正仿宋_GB2312" w:hAnsi="方正仿宋_GB2312" w:eastAsia="仿宋_GB2312" w:cs="方正仿宋_GB2312"/>
          <w:color w:val="000000"/>
          <w:kern w:val="0"/>
          <w:sz w:val="32"/>
          <w:szCs w:val="32"/>
        </w:rPr>
        <w:t>实施积极应对人口老龄化国家战略机制更加健全，多元协同的老龄工作体系更加完善，老龄产业加速发展，老年友好社会建设取得明显成效。养老服务改革向纵深发展，以居家为基础、社区为依托、机构为专业支撑、医养相结合的养老服务供给格局持续优化。养老服务事业发展政府主导作用更好发挥，分级分类、普惠可及、覆盖城乡、可持续发展的养老服务体系不断健全，统筹城乡的养老服务网络更加完善，基本养老服务供给不断优化，养老事业和养老产业发展活力进一步激发，银发经济潜力有效挖掘，京津冀养老服务项目和资源对接、政策和标准等衔接互认机制更加顺畅，养老服务能力和水平明显提升。</w:t>
      </w:r>
    </w:p>
    <w:p w14:paraId="0440F7CF">
      <w:pPr>
        <w:widowControl/>
        <w:spacing w:line="560" w:lineRule="exact"/>
        <w:ind w:firstLine="640" w:firstLineChars="200"/>
        <w:rPr>
          <w:rFonts w:hint="eastAsia" w:ascii="方正仿宋_GB2312" w:hAnsi="方正仿宋_GB2312" w:eastAsia="仿宋_GB2312" w:cs="方正仿宋_GB2312"/>
          <w:color w:val="000000"/>
          <w:kern w:val="0"/>
          <w:sz w:val="32"/>
          <w:szCs w:val="32"/>
        </w:rPr>
      </w:pPr>
      <w:r>
        <w:rPr>
          <w:rStyle w:val="15"/>
          <w:rFonts w:hint="eastAsia" w:ascii="Times New Roman" w:hAnsi="Times New Roman" w:eastAsia="楷体" w:cs="Times New Roman"/>
          <w:b w:val="0"/>
          <w:bCs w:val="0"/>
          <w:color w:val="000000"/>
          <w:kern w:val="0"/>
          <w:sz w:val="32"/>
          <w:szCs w:val="32"/>
        </w:rPr>
        <w:t>——社会救助更加精准有力。</w:t>
      </w:r>
      <w:r>
        <w:rPr>
          <w:rFonts w:hint="eastAsia" w:ascii="方正仿宋_GB2312" w:hAnsi="方正仿宋_GB2312" w:eastAsia="仿宋_GB2312" w:cs="方正仿宋_GB2312"/>
          <w:color w:val="000000"/>
          <w:kern w:val="0"/>
          <w:sz w:val="32"/>
          <w:szCs w:val="32"/>
        </w:rPr>
        <w:t>分层分类的救助体系不断完善，监督检查长效机制更加健全，社会力量参与程度持续提升，管理服务更加便民惠民，保基本、防风险、促发展作用有效发挥，民生底线更加兜住兜准兜牢。社会救助对象动态监测水平进一步提升，社会救助对象精准识别能力显著增强，社会救助闭环帮扶机制持续健全。</w:t>
      </w:r>
      <w:r>
        <w:rPr>
          <w:rFonts w:hint="eastAsia" w:ascii="方正仿宋_GB2312" w:hAnsi="方正仿宋_GB2312" w:eastAsia="仿宋_GB2312" w:cs="方正仿宋_GB2312"/>
          <w:color w:val="000000"/>
          <w:kern w:val="0"/>
          <w:sz w:val="32"/>
          <w:szCs w:val="32"/>
          <w:lang w:eastAsia="zh-CN"/>
        </w:rPr>
        <w:t>生活无着的</w:t>
      </w:r>
      <w:r>
        <w:rPr>
          <w:rFonts w:hint="eastAsia" w:ascii="方正仿宋_GB2312" w:hAnsi="方正仿宋_GB2312" w:eastAsia="仿宋_GB2312" w:cs="方正仿宋_GB2312"/>
          <w:color w:val="000000"/>
          <w:kern w:val="0"/>
          <w:sz w:val="32"/>
          <w:szCs w:val="32"/>
        </w:rPr>
        <w:t>流</w:t>
      </w:r>
      <w:r>
        <w:rPr>
          <w:rFonts w:hint="eastAsia" w:ascii="方正仿宋_GB2312" w:hAnsi="方正仿宋_GB2312" w:eastAsia="仿宋_GB2312" w:cs="方正仿宋_GB2312"/>
          <w:color w:val="000000"/>
          <w:kern w:val="0"/>
          <w:sz w:val="32"/>
          <w:szCs w:val="32"/>
          <w:lang w:eastAsia="zh-CN"/>
        </w:rPr>
        <w:t>散人员</w:t>
      </w:r>
      <w:r>
        <w:rPr>
          <w:rFonts w:hint="eastAsia" w:ascii="方正仿宋_GB2312" w:hAnsi="方正仿宋_GB2312" w:eastAsia="仿宋_GB2312" w:cs="方正仿宋_GB2312"/>
          <w:color w:val="000000"/>
          <w:kern w:val="0"/>
          <w:sz w:val="32"/>
          <w:szCs w:val="32"/>
        </w:rPr>
        <w:t>救助管理服务水平持续提升，区域一体化工作机制更加健全，救助管理机构使用效能不断提质，救助管理服务由生存性救助向发展性救助转型升级。</w:t>
      </w:r>
    </w:p>
    <w:p w14:paraId="1682E481">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5"/>
          <w:rFonts w:hint="eastAsia" w:ascii="Times New Roman" w:hAnsi="Times New Roman" w:eastAsia="楷体" w:cs="Times New Roman"/>
          <w:b w:val="0"/>
          <w:bCs w:val="0"/>
          <w:color w:val="000000"/>
          <w:kern w:val="0"/>
          <w:sz w:val="32"/>
          <w:szCs w:val="32"/>
        </w:rPr>
        <w:t>——社会福利更加普惠丰富。</w:t>
      </w:r>
      <w:r>
        <w:rPr>
          <w:rFonts w:hint="eastAsia" w:ascii="方正仿宋_GB2312" w:hAnsi="方正仿宋_GB2312" w:eastAsia="仿宋_GB2312" w:cs="方正仿宋_GB2312"/>
          <w:color w:val="000000"/>
          <w:kern w:val="0"/>
          <w:sz w:val="32"/>
          <w:szCs w:val="22"/>
        </w:rPr>
        <w:t>社会福利保障品质水平加速提高。儿童福利和权益保障更加精准。残疾人福利政策体系不断完善，精神障碍社区康复服务持续推进，康复辅具产业发展壮大。</w:t>
      </w:r>
    </w:p>
    <w:p w14:paraId="3E36A80E">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5"/>
          <w:rFonts w:hint="eastAsia" w:ascii="Times New Roman" w:hAnsi="Times New Roman" w:eastAsia="楷体" w:cs="Times New Roman"/>
          <w:b w:val="0"/>
          <w:bCs w:val="0"/>
          <w:color w:val="000000"/>
          <w:kern w:val="0"/>
          <w:sz w:val="32"/>
          <w:szCs w:val="32"/>
        </w:rPr>
        <w:t>——社会事务更加规范高效。</w:t>
      </w:r>
      <w:r>
        <w:rPr>
          <w:rFonts w:hint="eastAsia" w:ascii="方正仿宋_GB2312" w:hAnsi="方正仿宋_GB2312" w:eastAsia="仿宋_GB2312" w:cs="方正仿宋_GB2312"/>
          <w:color w:val="000000"/>
          <w:kern w:val="0"/>
          <w:sz w:val="32"/>
          <w:szCs w:val="32"/>
        </w:rPr>
        <w:t>婚姻登记服务不断优化，</w:t>
      </w:r>
      <w:r>
        <w:rPr>
          <w:rFonts w:hint="eastAsia" w:ascii="方正仿宋_GB2312" w:hAnsi="方正仿宋_GB2312" w:eastAsia="仿宋_GB2312" w:cs="方正仿宋_GB2312"/>
          <w:color w:val="000000"/>
          <w:kern w:val="0"/>
          <w:sz w:val="32"/>
          <w:szCs w:val="22"/>
        </w:rPr>
        <w:t>婚姻登记机关硬件设施建设水平持续提升，</w:t>
      </w:r>
      <w:r>
        <w:rPr>
          <w:rFonts w:hint="eastAsia" w:ascii="方正仿宋_GB2312" w:hAnsi="方正仿宋_GB2312" w:eastAsia="仿宋_GB2312" w:cs="方正仿宋_GB2312"/>
          <w:color w:val="000000"/>
          <w:kern w:val="0"/>
          <w:sz w:val="32"/>
          <w:szCs w:val="32"/>
        </w:rPr>
        <w:t>婚姻家庭辅导服务体系更加健全，婚俗改革深入推进。</w:t>
      </w:r>
      <w:r>
        <w:rPr>
          <w:rFonts w:hint="eastAsia" w:ascii="方正仿宋_GB2312" w:hAnsi="方正仿宋_GB2312" w:eastAsia="仿宋_GB2312" w:cs="方正仿宋_GB2312"/>
          <w:color w:val="000000"/>
          <w:kern w:val="0"/>
          <w:sz w:val="32"/>
          <w:szCs w:val="32"/>
          <w:highlight w:val="none"/>
        </w:rPr>
        <w:t>殡葬</w:t>
      </w:r>
      <w:r>
        <w:rPr>
          <w:rFonts w:hint="eastAsia" w:ascii="方正仿宋_GB2312" w:hAnsi="方正仿宋_GB2312" w:eastAsia="仿宋_GB2312" w:cs="方正仿宋_GB2312"/>
          <w:color w:val="000000"/>
          <w:kern w:val="0"/>
          <w:sz w:val="32"/>
          <w:szCs w:val="32"/>
          <w:highlight w:val="none"/>
          <w:lang w:val="en-US" w:eastAsia="zh-CN"/>
        </w:rPr>
        <w:t>服务保障和依法治理水平持续提升，</w:t>
      </w:r>
      <w:r>
        <w:rPr>
          <w:rFonts w:hint="eastAsia" w:ascii="方正仿宋_GB2312" w:hAnsi="方正仿宋_GB2312" w:eastAsia="仿宋_GB2312" w:cs="方正仿宋_GB2312"/>
          <w:color w:val="000000"/>
          <w:kern w:val="0"/>
          <w:sz w:val="32"/>
          <w:szCs w:val="32"/>
        </w:rPr>
        <w:t>以公益惠民为根基、文明节俭为导向、绿色生态为路径的现代殡葬治理体系进一步构建，</w:t>
      </w:r>
      <w:r>
        <w:rPr>
          <w:rFonts w:hint="eastAsia" w:ascii="方正仿宋_GB2312" w:hAnsi="方正仿宋_GB2312" w:eastAsia="仿宋_GB2312" w:cs="方正仿宋_GB2312"/>
          <w:color w:val="000000"/>
          <w:kern w:val="0"/>
          <w:sz w:val="32"/>
          <w:szCs w:val="22"/>
        </w:rPr>
        <w:t>精细化、个性化、多样化的民生诉求得到充分响应，人民群众对美好生活的向往得到更好满足。</w:t>
      </w:r>
    </w:p>
    <w:p w14:paraId="758C8DE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 w:cs="Times New Roman"/>
          <w:color w:val="000000"/>
          <w:kern w:val="0"/>
          <w:sz w:val="32"/>
          <w:szCs w:val="22"/>
        </w:rPr>
      </w:pPr>
      <w:r>
        <w:rPr>
          <w:rStyle w:val="15"/>
          <w:rFonts w:hint="eastAsia" w:ascii="Times New Roman" w:hAnsi="Times New Roman" w:eastAsia="楷体" w:cs="Times New Roman"/>
          <w:b w:val="0"/>
          <w:bCs w:val="0"/>
          <w:color w:val="000000"/>
          <w:kern w:val="0"/>
          <w:sz w:val="32"/>
          <w:szCs w:val="32"/>
        </w:rPr>
        <w:t>——社会治理更加和谐有序。</w:t>
      </w:r>
      <w:r>
        <w:rPr>
          <w:rFonts w:hint="eastAsia" w:ascii="方正仿宋_GB2312" w:hAnsi="方正仿宋_GB2312" w:eastAsia="仿宋_GB2312" w:cs="方正仿宋_GB2312"/>
          <w:color w:val="000000"/>
          <w:kern w:val="0"/>
          <w:sz w:val="32"/>
          <w:szCs w:val="32"/>
        </w:rPr>
        <w:t>社会组织党建引领作用进一步强化，结构合理、规模适度、功能完善、运作规范、作用显著的现代社会组织发展格局加快形成。慈善工作管理体系更加完善，“人人慈善”的氛围更加浓厚。</w:t>
      </w:r>
      <w:r>
        <w:rPr>
          <w:rFonts w:hint="eastAsia" w:ascii="方正仿宋_GB2312" w:hAnsi="方正仿宋_GB2312" w:eastAsia="仿宋_GB2312" w:cs="方正仿宋_GB2312"/>
          <w:color w:val="000000"/>
          <w:kern w:val="0"/>
          <w:sz w:val="32"/>
          <w:szCs w:val="22"/>
          <w:lang w:val="en-US" w:eastAsia="zh-CN" w:bidi="ar-SA"/>
        </w:rPr>
        <w:t>立足福彩公益属性，从严管控资金使用，以“扶老、助残、救孤、济困”赋能民生治理的作用进一步发挥。</w:t>
      </w:r>
      <w:r>
        <w:rPr>
          <w:rFonts w:hint="eastAsia" w:ascii="方正仿宋_GB2312" w:hAnsi="方正仿宋_GB2312" w:eastAsia="仿宋_GB2312" w:cs="方正仿宋_GB2312"/>
          <w:color w:val="000000"/>
          <w:kern w:val="0"/>
          <w:sz w:val="32"/>
          <w:szCs w:val="32"/>
        </w:rPr>
        <w:t>行政区划在</w:t>
      </w:r>
      <w:r>
        <w:rPr>
          <w:rFonts w:hint="eastAsia" w:ascii="方正仿宋_GB2312" w:hAnsi="方正仿宋_GB2312" w:eastAsia="仿宋_GB2312" w:cs="方正仿宋_GB2312"/>
          <w:color w:val="000000"/>
          <w:kern w:val="0"/>
          <w:sz w:val="32"/>
          <w:szCs w:val="22"/>
        </w:rPr>
        <w:t>推进区域协调发展、新型城镇化建设和社会治理能力现代化中的功能进一步强化。民政领域安全管理体系更加健全，安全风险防范化解能力进一步提升。</w:t>
      </w:r>
    </w:p>
    <w:p w14:paraId="7F8FB998">
      <w:pPr>
        <w:widowControl/>
        <w:spacing w:line="560" w:lineRule="exact"/>
        <w:ind w:firstLine="640" w:firstLineChars="200"/>
        <w:rPr>
          <w:rFonts w:ascii="Times New Roman" w:hAnsi="Times New Roman" w:eastAsia="仿宋" w:cs="Times New Roman"/>
          <w:color w:val="000000"/>
          <w:kern w:val="0"/>
          <w:sz w:val="32"/>
          <w:szCs w:val="22"/>
        </w:rPr>
      </w:pPr>
    </w:p>
    <w:tbl>
      <w:tblPr>
        <w:tblStyle w:val="13"/>
        <w:tblpPr w:leftFromText="180" w:rightFromText="180" w:vertAnchor="text" w:horzAnchor="page" w:tblpX="1314" w:tblpY="-5571"/>
        <w:tblOverlap w:val="never"/>
        <w:tblW w:w="8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507"/>
        <w:gridCol w:w="3132"/>
        <w:gridCol w:w="741"/>
        <w:gridCol w:w="1215"/>
        <w:gridCol w:w="1261"/>
        <w:gridCol w:w="1470"/>
      </w:tblGrid>
      <w:tr w14:paraId="4C7F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exact"/>
          <w:tblHeader/>
        </w:trPr>
        <w:tc>
          <w:tcPr>
            <w:tcW w:w="8908" w:type="dxa"/>
            <w:gridSpan w:val="7"/>
            <w:tcBorders>
              <w:top w:val="nil"/>
              <w:left w:val="nil"/>
              <w:right w:val="nil"/>
            </w:tcBorders>
            <w:noWrap w:val="0"/>
            <w:vAlign w:val="center"/>
          </w:tcPr>
          <w:p w14:paraId="2BF20E9B">
            <w:pPr>
              <w:widowControl/>
              <w:spacing w:line="560" w:lineRule="exact"/>
              <w:ind w:firstLine="0" w:firstLineChars="0"/>
              <w:jc w:val="center"/>
              <w:rPr>
                <w:rFonts w:ascii="Times New Roman" w:hAnsi="Times New Roman" w:eastAsia="黑体" w:cs="Times New Roman"/>
                <w:color w:val="000000"/>
                <w:kern w:val="2"/>
                <w:sz w:val="32"/>
                <w:szCs w:val="32"/>
              </w:rPr>
            </w:pPr>
            <w:r>
              <w:rPr>
                <w:rFonts w:hint="eastAsia" w:ascii="Times New Roman" w:hAnsi="Times New Roman" w:eastAsia="黑体" w:cs="Times New Roman"/>
                <w:color w:val="000000"/>
                <w:kern w:val="2"/>
                <w:sz w:val="28"/>
                <w:szCs w:val="28"/>
              </w:rPr>
              <w:t xml:space="preserve">                                                            </w:t>
            </w:r>
            <w:r>
              <w:rPr>
                <w:rFonts w:hint="eastAsia" w:ascii="Times New Roman" w:hAnsi="Times New Roman" w:eastAsia="黑体" w:cs="Times New Roman"/>
                <w:color w:val="000000"/>
                <w:kern w:val="2"/>
                <w:sz w:val="32"/>
                <w:szCs w:val="32"/>
              </w:rPr>
              <w:t>“十五五”时期天津市民政事业主要发展指标</w:t>
            </w:r>
          </w:p>
          <w:p w14:paraId="1136767B">
            <w:pPr>
              <w:widowControl/>
              <w:spacing w:line="560" w:lineRule="exact"/>
              <w:ind w:firstLine="0" w:firstLineChars="0"/>
              <w:jc w:val="center"/>
              <w:rPr>
                <w:rFonts w:ascii="Times New Roman" w:hAnsi="Times New Roman" w:eastAsia="黑体" w:cs="Times New Roman"/>
                <w:color w:val="000000"/>
                <w:kern w:val="2"/>
                <w:sz w:val="28"/>
                <w:szCs w:val="28"/>
              </w:rPr>
            </w:pPr>
          </w:p>
          <w:p w14:paraId="38DE0913">
            <w:pPr>
              <w:widowControl/>
              <w:spacing w:line="560" w:lineRule="exact"/>
              <w:ind w:firstLine="0" w:firstLineChars="0"/>
              <w:jc w:val="center"/>
              <w:rPr>
                <w:rFonts w:ascii="Times New Roman" w:hAnsi="Times New Roman" w:eastAsia="黑体" w:cs="Times New Roman"/>
                <w:color w:val="000000"/>
                <w:kern w:val="2"/>
                <w:sz w:val="28"/>
                <w:szCs w:val="28"/>
              </w:rPr>
            </w:pPr>
          </w:p>
        </w:tc>
      </w:tr>
      <w:tr w14:paraId="0BE8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exact"/>
          <w:tblHeader/>
        </w:trPr>
        <w:tc>
          <w:tcPr>
            <w:tcW w:w="582" w:type="dxa"/>
            <w:noWrap w:val="0"/>
            <w:vAlign w:val="center"/>
          </w:tcPr>
          <w:p w14:paraId="4A5BC6C6">
            <w:pPr>
              <w:widowControl/>
              <w:adjustRightInd w:val="0"/>
              <w:spacing w:before="100" w:beforeAutospacing="1" w:after="100" w:afterAutospacing="1" w:line="560" w:lineRule="exact"/>
              <w:ind w:firstLine="0" w:firstLineChars="0"/>
              <w:rPr>
                <w:rFonts w:ascii="Times New Roman" w:hAnsi="Times New Roman" w:eastAsia="仿宋" w:cs="Times New Roman"/>
                <w:b/>
                <w:bCs/>
                <w:color w:val="000000"/>
                <w:kern w:val="0"/>
                <w:sz w:val="21"/>
                <w:szCs w:val="21"/>
              </w:rPr>
            </w:pPr>
            <w:r>
              <w:rPr>
                <w:rFonts w:hint="eastAsia" w:ascii="Times New Roman" w:hAnsi="Times New Roman" w:eastAsia="仿宋" w:cs="Times New Roman"/>
                <w:b/>
                <w:bCs/>
                <w:color w:val="000000"/>
                <w:kern w:val="0"/>
                <w:sz w:val="21"/>
                <w:szCs w:val="21"/>
              </w:rPr>
              <w:t>领域</w:t>
            </w:r>
          </w:p>
        </w:tc>
        <w:tc>
          <w:tcPr>
            <w:tcW w:w="507" w:type="dxa"/>
            <w:noWrap w:val="0"/>
            <w:vAlign w:val="center"/>
          </w:tcPr>
          <w:p w14:paraId="6834C4CD">
            <w:pPr>
              <w:widowControl/>
              <w:adjustRightInd w:val="0"/>
              <w:spacing w:before="100" w:beforeAutospacing="1" w:after="100" w:afterAutospacing="1" w:line="560" w:lineRule="exact"/>
              <w:ind w:firstLine="0" w:firstLineChars="0"/>
              <w:jc w:val="center"/>
              <w:rPr>
                <w:rFonts w:ascii="Times New Roman" w:hAnsi="Times New Roman" w:eastAsia="仿宋" w:cs="Times New Roman"/>
                <w:b/>
                <w:bCs/>
                <w:color w:val="000000"/>
                <w:kern w:val="0"/>
                <w:sz w:val="21"/>
                <w:szCs w:val="21"/>
              </w:rPr>
            </w:pPr>
            <w:r>
              <w:rPr>
                <w:rFonts w:hint="eastAsia" w:ascii="Times New Roman" w:hAnsi="Times New Roman" w:eastAsia="仿宋" w:cs="Times New Roman"/>
                <w:b/>
                <w:bCs/>
                <w:color w:val="000000"/>
                <w:kern w:val="0"/>
                <w:sz w:val="21"/>
                <w:szCs w:val="21"/>
              </w:rPr>
              <w:t>序号</w:t>
            </w:r>
          </w:p>
        </w:tc>
        <w:tc>
          <w:tcPr>
            <w:tcW w:w="3132" w:type="dxa"/>
            <w:noWrap w:val="0"/>
            <w:vAlign w:val="center"/>
          </w:tcPr>
          <w:p w14:paraId="5C10E3DE">
            <w:pPr>
              <w:widowControl/>
              <w:adjustRightInd w:val="0"/>
              <w:spacing w:before="100" w:beforeAutospacing="1" w:after="100" w:afterAutospacing="1" w:line="560" w:lineRule="exact"/>
              <w:ind w:firstLine="0" w:firstLineChars="0"/>
              <w:jc w:val="center"/>
              <w:rPr>
                <w:rFonts w:ascii="Times New Roman" w:hAnsi="Times New Roman" w:eastAsia="仿宋" w:cs="Times New Roman"/>
                <w:b/>
                <w:bCs/>
                <w:color w:val="000000"/>
                <w:kern w:val="0"/>
                <w:sz w:val="21"/>
                <w:szCs w:val="21"/>
              </w:rPr>
            </w:pPr>
            <w:r>
              <w:rPr>
                <w:rFonts w:hint="eastAsia" w:ascii="Times New Roman" w:hAnsi="Times New Roman" w:eastAsia="仿宋" w:cs="Times New Roman"/>
                <w:b/>
                <w:bCs/>
                <w:color w:val="000000"/>
                <w:kern w:val="0"/>
                <w:sz w:val="21"/>
                <w:szCs w:val="21"/>
              </w:rPr>
              <w:t>主要指标</w:t>
            </w:r>
          </w:p>
        </w:tc>
        <w:tc>
          <w:tcPr>
            <w:tcW w:w="741" w:type="dxa"/>
            <w:noWrap w:val="0"/>
            <w:vAlign w:val="center"/>
          </w:tcPr>
          <w:p w14:paraId="01B6AAA8">
            <w:pPr>
              <w:widowControl/>
              <w:adjustRightInd w:val="0"/>
              <w:spacing w:before="100" w:beforeAutospacing="1" w:after="100" w:afterAutospacing="1" w:line="560" w:lineRule="exact"/>
              <w:ind w:firstLine="0" w:firstLineChars="0"/>
              <w:jc w:val="center"/>
              <w:rPr>
                <w:rFonts w:ascii="Times New Roman" w:hAnsi="Times New Roman" w:eastAsia="仿宋" w:cs="Times New Roman"/>
                <w:b/>
                <w:bCs/>
                <w:color w:val="000000"/>
                <w:kern w:val="0"/>
                <w:sz w:val="21"/>
                <w:szCs w:val="21"/>
              </w:rPr>
            </w:pPr>
            <w:r>
              <w:rPr>
                <w:rFonts w:hint="eastAsia" w:ascii="Times New Roman" w:hAnsi="Times New Roman" w:eastAsia="仿宋" w:cs="Times New Roman"/>
                <w:b/>
                <w:bCs/>
                <w:color w:val="000000"/>
                <w:kern w:val="0"/>
                <w:sz w:val="21"/>
                <w:szCs w:val="21"/>
              </w:rPr>
              <w:t>单位</w:t>
            </w:r>
          </w:p>
        </w:tc>
        <w:tc>
          <w:tcPr>
            <w:tcW w:w="1215" w:type="dxa"/>
            <w:noWrap w:val="0"/>
            <w:vAlign w:val="center"/>
          </w:tcPr>
          <w:p w14:paraId="4EE52510">
            <w:pPr>
              <w:widowControl/>
              <w:spacing w:before="100" w:beforeAutospacing="1" w:after="100" w:afterAutospacing="1" w:line="560" w:lineRule="exact"/>
              <w:ind w:firstLine="0" w:firstLineChars="0"/>
              <w:jc w:val="center"/>
              <w:rPr>
                <w:rFonts w:ascii="Times New Roman" w:hAnsi="Times New Roman" w:eastAsia="仿宋" w:cs="Times New Roman"/>
                <w:b/>
                <w:bCs/>
                <w:color w:val="000000"/>
                <w:kern w:val="0"/>
                <w:sz w:val="21"/>
                <w:szCs w:val="21"/>
              </w:rPr>
            </w:pPr>
            <w:r>
              <w:rPr>
                <w:rFonts w:ascii="Times New Roman" w:hAnsi="Times New Roman" w:eastAsia="仿宋" w:cs="Times New Roman"/>
                <w:b/>
                <w:bCs/>
                <w:color w:val="000000"/>
                <w:kern w:val="0"/>
                <w:sz w:val="21"/>
                <w:szCs w:val="21"/>
              </w:rPr>
              <w:t>2025</w:t>
            </w:r>
            <w:r>
              <w:rPr>
                <w:rFonts w:hint="eastAsia" w:ascii="Times New Roman" w:hAnsi="Times New Roman" w:eastAsia="仿宋" w:cs="Times New Roman"/>
                <w:b/>
                <w:bCs/>
                <w:color w:val="000000"/>
                <w:kern w:val="0"/>
                <w:sz w:val="21"/>
                <w:szCs w:val="21"/>
              </w:rPr>
              <w:t>年</w:t>
            </w:r>
          </w:p>
        </w:tc>
        <w:tc>
          <w:tcPr>
            <w:tcW w:w="1261" w:type="dxa"/>
            <w:noWrap w:val="0"/>
            <w:vAlign w:val="center"/>
          </w:tcPr>
          <w:p w14:paraId="148871B8">
            <w:pPr>
              <w:widowControl/>
              <w:spacing w:before="100" w:beforeAutospacing="1" w:after="100" w:afterAutospacing="1" w:line="560" w:lineRule="exact"/>
              <w:ind w:firstLine="0" w:firstLineChars="0"/>
              <w:jc w:val="center"/>
              <w:rPr>
                <w:rFonts w:ascii="Times New Roman" w:hAnsi="Times New Roman" w:eastAsia="仿宋" w:cs="Times New Roman"/>
                <w:b/>
                <w:bCs/>
                <w:color w:val="000000"/>
                <w:kern w:val="0"/>
                <w:sz w:val="21"/>
                <w:szCs w:val="21"/>
              </w:rPr>
            </w:pPr>
            <w:r>
              <w:rPr>
                <w:rFonts w:ascii="Times New Roman" w:hAnsi="Times New Roman" w:eastAsia="仿宋" w:cs="Times New Roman"/>
                <w:b/>
                <w:bCs/>
                <w:color w:val="000000"/>
                <w:kern w:val="0"/>
                <w:sz w:val="21"/>
                <w:szCs w:val="21"/>
              </w:rPr>
              <w:t>2030</w:t>
            </w:r>
            <w:r>
              <w:rPr>
                <w:rFonts w:hint="eastAsia" w:ascii="Times New Roman" w:hAnsi="Times New Roman" w:eastAsia="仿宋" w:cs="Times New Roman"/>
                <w:b/>
                <w:bCs/>
                <w:color w:val="000000"/>
                <w:kern w:val="0"/>
                <w:sz w:val="21"/>
                <w:szCs w:val="21"/>
              </w:rPr>
              <w:t>年</w:t>
            </w:r>
          </w:p>
        </w:tc>
        <w:tc>
          <w:tcPr>
            <w:tcW w:w="1470" w:type="dxa"/>
            <w:noWrap w:val="0"/>
            <w:vAlign w:val="center"/>
          </w:tcPr>
          <w:p w14:paraId="7C2F5698">
            <w:pPr>
              <w:widowControl/>
              <w:adjustRightInd w:val="0"/>
              <w:spacing w:before="100" w:beforeAutospacing="1" w:after="100" w:afterAutospacing="1" w:line="560" w:lineRule="exact"/>
              <w:ind w:firstLine="0" w:firstLineChars="0"/>
              <w:jc w:val="center"/>
              <w:rPr>
                <w:rFonts w:ascii="Times New Roman" w:hAnsi="Times New Roman" w:eastAsia="仿宋" w:cs="Times New Roman"/>
                <w:b/>
                <w:bCs/>
                <w:color w:val="000000"/>
                <w:kern w:val="0"/>
                <w:sz w:val="21"/>
                <w:szCs w:val="21"/>
              </w:rPr>
            </w:pPr>
            <w:r>
              <w:rPr>
                <w:rFonts w:hint="eastAsia" w:ascii="Times New Roman" w:hAnsi="Times New Roman" w:eastAsia="仿宋" w:cs="Times New Roman"/>
                <w:b/>
                <w:bCs/>
                <w:color w:val="000000"/>
                <w:kern w:val="0"/>
                <w:sz w:val="21"/>
                <w:szCs w:val="21"/>
              </w:rPr>
              <w:t>指标属性</w:t>
            </w:r>
          </w:p>
        </w:tc>
      </w:tr>
      <w:tr w14:paraId="1B4F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tblHeader/>
        </w:trPr>
        <w:tc>
          <w:tcPr>
            <w:tcW w:w="582" w:type="dxa"/>
            <w:vMerge w:val="restart"/>
            <w:noWrap w:val="0"/>
            <w:vAlign w:val="center"/>
          </w:tcPr>
          <w:p w14:paraId="3414E62C">
            <w:pPr>
              <w:widowControl w:val="0"/>
              <w:spacing w:line="560" w:lineRule="exact"/>
              <w:ind w:firstLine="0" w:firstLineChars="0"/>
              <w:jc w:val="center"/>
              <w:rPr>
                <w:rFonts w:ascii="Times New Roman" w:hAnsi="Times New Roman" w:eastAsia="仿宋" w:cs="Times New Roman"/>
                <w:b/>
                <w:bCs/>
                <w:color w:val="000000"/>
                <w:kern w:val="2"/>
                <w:sz w:val="21"/>
                <w:szCs w:val="21"/>
              </w:rPr>
            </w:pPr>
            <w:r>
              <w:rPr>
                <w:rFonts w:hint="eastAsia" w:ascii="Times New Roman" w:hAnsi="Times New Roman" w:eastAsia="仿宋" w:cs="Times New Roman"/>
                <w:b/>
                <w:bCs/>
                <w:color w:val="000000"/>
                <w:kern w:val="2"/>
                <w:sz w:val="21"/>
                <w:szCs w:val="21"/>
              </w:rPr>
              <w:t>老龄事业和养老</w:t>
            </w:r>
          </w:p>
          <w:p w14:paraId="12F83082">
            <w:pPr>
              <w:widowControl w:val="0"/>
              <w:spacing w:line="560" w:lineRule="exact"/>
              <w:ind w:firstLine="0" w:firstLineChars="0"/>
              <w:jc w:val="center"/>
              <w:rPr>
                <w:rFonts w:ascii="Times New Roman" w:hAnsi="Times New Roman" w:eastAsia="仿宋" w:cs="Times New Roman"/>
                <w:b/>
                <w:bCs/>
                <w:color w:val="000000"/>
                <w:kern w:val="2"/>
                <w:sz w:val="21"/>
                <w:szCs w:val="21"/>
              </w:rPr>
            </w:pPr>
            <w:r>
              <w:rPr>
                <w:rFonts w:hint="eastAsia" w:ascii="Times New Roman" w:hAnsi="Times New Roman" w:eastAsia="仿宋" w:cs="Times New Roman"/>
                <w:b/>
                <w:bCs/>
                <w:color w:val="000000"/>
                <w:kern w:val="2"/>
                <w:sz w:val="21"/>
                <w:szCs w:val="21"/>
              </w:rPr>
              <w:t>服务</w:t>
            </w:r>
          </w:p>
          <w:p w14:paraId="26AE4B0A">
            <w:pPr>
              <w:widowControl w:val="0"/>
              <w:adjustRightInd w:val="0"/>
              <w:snapToGrid w:val="0"/>
              <w:spacing w:line="560" w:lineRule="exact"/>
              <w:ind w:firstLine="0" w:firstLineChars="0"/>
              <w:jc w:val="center"/>
              <w:rPr>
                <w:rFonts w:ascii="Times New Roman" w:hAnsi="Times New Roman" w:eastAsia="仿宋" w:cs="Times New Roman"/>
                <w:color w:val="000000"/>
                <w:kern w:val="2"/>
                <w:sz w:val="21"/>
                <w:szCs w:val="21"/>
              </w:rPr>
            </w:pPr>
          </w:p>
        </w:tc>
        <w:tc>
          <w:tcPr>
            <w:tcW w:w="507" w:type="dxa"/>
            <w:noWrap w:val="0"/>
            <w:vAlign w:val="center"/>
          </w:tcPr>
          <w:p w14:paraId="6B470BAD">
            <w:pPr>
              <w:widowControl w:val="0"/>
              <w:spacing w:line="560" w:lineRule="exact"/>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1</w:t>
            </w:r>
          </w:p>
        </w:tc>
        <w:tc>
          <w:tcPr>
            <w:tcW w:w="3132" w:type="dxa"/>
            <w:noWrap w:val="0"/>
            <w:vAlign w:val="center"/>
          </w:tcPr>
          <w:p w14:paraId="260BD931">
            <w:pPr>
              <w:widowControl w:val="0"/>
              <w:spacing w:line="240" w:lineRule="auto"/>
              <w:ind w:firstLine="0" w:firstLineChars="0"/>
              <w:jc w:val="left"/>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养老机构护理型床位占比</w:t>
            </w:r>
          </w:p>
        </w:tc>
        <w:tc>
          <w:tcPr>
            <w:tcW w:w="741" w:type="dxa"/>
            <w:noWrap w:val="0"/>
            <w:vAlign w:val="center"/>
          </w:tcPr>
          <w:p w14:paraId="6F1091E5">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19C27C4D">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68.6</w:t>
            </w:r>
          </w:p>
        </w:tc>
        <w:tc>
          <w:tcPr>
            <w:tcW w:w="1261" w:type="dxa"/>
            <w:noWrap w:val="0"/>
            <w:vAlign w:val="center"/>
          </w:tcPr>
          <w:p w14:paraId="55C274D5">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75</w:t>
            </w:r>
          </w:p>
        </w:tc>
        <w:tc>
          <w:tcPr>
            <w:tcW w:w="1470" w:type="dxa"/>
            <w:noWrap w:val="0"/>
            <w:vAlign w:val="center"/>
          </w:tcPr>
          <w:p w14:paraId="0ACCDBD0">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预期性</w:t>
            </w:r>
            <w:r>
              <w:rPr>
                <w:rFonts w:ascii="Times New Roman" w:hAnsi="Times New Roman" w:eastAsia="仿宋" w:cs="Times New Roman"/>
                <w:color w:val="000000"/>
                <w:kern w:val="2"/>
                <w:sz w:val="21"/>
                <w:szCs w:val="21"/>
              </w:rPr>
              <w:t xml:space="preserve"> </w:t>
            </w:r>
          </w:p>
        </w:tc>
      </w:tr>
      <w:tr w14:paraId="7F90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exact"/>
          <w:tblHeader/>
        </w:trPr>
        <w:tc>
          <w:tcPr>
            <w:tcW w:w="582" w:type="dxa"/>
            <w:vMerge w:val="continue"/>
            <w:noWrap w:val="0"/>
            <w:vAlign w:val="center"/>
          </w:tcPr>
          <w:p w14:paraId="021EA511">
            <w:pPr>
              <w:widowControl w:val="0"/>
              <w:adjustRightInd w:val="0"/>
              <w:snapToGrid w:val="0"/>
              <w:spacing w:line="560" w:lineRule="exact"/>
              <w:ind w:firstLine="0" w:firstLineChars="0"/>
              <w:jc w:val="center"/>
              <w:rPr>
                <w:rFonts w:ascii="Times New Roman" w:hAnsi="Times New Roman" w:eastAsia="仿宋" w:cs="Times New Roman"/>
                <w:color w:val="000000"/>
                <w:kern w:val="2"/>
                <w:sz w:val="21"/>
                <w:szCs w:val="21"/>
              </w:rPr>
            </w:pPr>
          </w:p>
        </w:tc>
        <w:tc>
          <w:tcPr>
            <w:tcW w:w="507" w:type="dxa"/>
            <w:noWrap w:val="0"/>
            <w:vAlign w:val="center"/>
          </w:tcPr>
          <w:p w14:paraId="081E25A1">
            <w:pPr>
              <w:widowControl w:val="0"/>
              <w:spacing w:line="560" w:lineRule="exact"/>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2</w:t>
            </w:r>
          </w:p>
        </w:tc>
        <w:tc>
          <w:tcPr>
            <w:tcW w:w="3132" w:type="dxa"/>
            <w:noWrap w:val="0"/>
            <w:vAlign w:val="center"/>
          </w:tcPr>
          <w:p w14:paraId="3A720B2F">
            <w:pPr>
              <w:widowControl w:val="0"/>
              <w:spacing w:line="240" w:lineRule="auto"/>
              <w:ind w:firstLine="0" w:firstLineChars="0"/>
              <w:jc w:val="left"/>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养老机构中取得职业技能等级证书的养老护理员占比</w:t>
            </w:r>
          </w:p>
        </w:tc>
        <w:tc>
          <w:tcPr>
            <w:tcW w:w="741" w:type="dxa"/>
            <w:noWrap w:val="0"/>
            <w:vAlign w:val="center"/>
          </w:tcPr>
          <w:p w14:paraId="57B77297">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5BBB599A">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bCs/>
                <w:color w:val="000000"/>
                <w:kern w:val="2"/>
                <w:sz w:val="21"/>
                <w:szCs w:val="21"/>
              </w:rPr>
              <w:t>63.1</w:t>
            </w:r>
          </w:p>
        </w:tc>
        <w:tc>
          <w:tcPr>
            <w:tcW w:w="1261" w:type="dxa"/>
            <w:noWrap w:val="0"/>
            <w:vAlign w:val="center"/>
          </w:tcPr>
          <w:p w14:paraId="3FDB457C">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70</w:t>
            </w:r>
          </w:p>
        </w:tc>
        <w:tc>
          <w:tcPr>
            <w:tcW w:w="1470" w:type="dxa"/>
            <w:noWrap w:val="0"/>
            <w:vAlign w:val="center"/>
          </w:tcPr>
          <w:p w14:paraId="0692000B">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预期性</w:t>
            </w:r>
          </w:p>
        </w:tc>
      </w:tr>
      <w:tr w14:paraId="496D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tblHeader/>
        </w:trPr>
        <w:tc>
          <w:tcPr>
            <w:tcW w:w="582" w:type="dxa"/>
            <w:vMerge w:val="continue"/>
            <w:noWrap w:val="0"/>
            <w:vAlign w:val="center"/>
          </w:tcPr>
          <w:p w14:paraId="424DA9B1">
            <w:pPr>
              <w:widowControl w:val="0"/>
              <w:adjustRightInd w:val="0"/>
              <w:snapToGrid w:val="0"/>
              <w:spacing w:line="560" w:lineRule="exact"/>
              <w:ind w:firstLine="0" w:firstLineChars="0"/>
              <w:jc w:val="center"/>
              <w:rPr>
                <w:rFonts w:ascii="Times New Roman" w:hAnsi="Times New Roman" w:eastAsia="仿宋" w:cs="Times New Roman"/>
                <w:color w:val="000000"/>
                <w:kern w:val="2"/>
                <w:sz w:val="21"/>
                <w:szCs w:val="21"/>
              </w:rPr>
            </w:pPr>
          </w:p>
        </w:tc>
        <w:tc>
          <w:tcPr>
            <w:tcW w:w="507" w:type="dxa"/>
            <w:noWrap w:val="0"/>
            <w:vAlign w:val="center"/>
          </w:tcPr>
          <w:p w14:paraId="46137E93">
            <w:pPr>
              <w:widowControl w:val="0"/>
              <w:spacing w:line="560" w:lineRule="exact"/>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3</w:t>
            </w:r>
          </w:p>
        </w:tc>
        <w:tc>
          <w:tcPr>
            <w:tcW w:w="3132" w:type="dxa"/>
            <w:noWrap w:val="0"/>
            <w:vAlign w:val="center"/>
          </w:tcPr>
          <w:p w14:paraId="4B1EC5FA">
            <w:pPr>
              <w:widowControl w:val="0"/>
              <w:spacing w:line="240" w:lineRule="auto"/>
              <w:ind w:firstLine="0" w:firstLineChars="0"/>
              <w:jc w:val="left"/>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lang w:val="en-US" w:eastAsia="zh-CN"/>
              </w:rPr>
              <w:t>市辖区</w:t>
            </w:r>
            <w:r>
              <w:rPr>
                <w:rFonts w:hint="eastAsia" w:ascii="Times New Roman" w:hAnsi="Times New Roman" w:eastAsia="仿宋" w:cs="Times New Roman"/>
                <w:color w:val="000000"/>
                <w:kern w:val="2"/>
                <w:sz w:val="21"/>
                <w:szCs w:val="21"/>
              </w:rPr>
              <w:t>综合养老服务管理平台覆盖率</w:t>
            </w:r>
          </w:p>
        </w:tc>
        <w:tc>
          <w:tcPr>
            <w:tcW w:w="741" w:type="dxa"/>
            <w:noWrap w:val="0"/>
            <w:vAlign w:val="center"/>
          </w:tcPr>
          <w:p w14:paraId="7B85E221">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5C5678B5">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hint="eastAsia" w:ascii="Times New Roman" w:hAnsi="Times New Roman" w:eastAsia="仿宋" w:cs="Times New Roman"/>
                <w:bCs/>
                <w:color w:val="000000"/>
                <w:kern w:val="2"/>
                <w:sz w:val="21"/>
                <w:szCs w:val="21"/>
              </w:rPr>
              <w:t>——</w:t>
            </w:r>
          </w:p>
        </w:tc>
        <w:tc>
          <w:tcPr>
            <w:tcW w:w="1261" w:type="dxa"/>
            <w:noWrap w:val="0"/>
            <w:vAlign w:val="center"/>
          </w:tcPr>
          <w:p w14:paraId="151338AA">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8</w:t>
            </w:r>
            <w:r>
              <w:rPr>
                <w:rFonts w:hint="eastAsia" w:ascii="Times New Roman" w:hAnsi="Times New Roman" w:eastAsia="仿宋" w:cs="Times New Roman"/>
                <w:color w:val="000000"/>
                <w:kern w:val="2"/>
                <w:sz w:val="21"/>
                <w:szCs w:val="21"/>
                <w:lang w:val="en-US" w:eastAsia="zh-CN"/>
              </w:rPr>
              <w:t>5</w:t>
            </w:r>
          </w:p>
        </w:tc>
        <w:tc>
          <w:tcPr>
            <w:tcW w:w="1470" w:type="dxa"/>
            <w:noWrap w:val="0"/>
            <w:vAlign w:val="center"/>
          </w:tcPr>
          <w:p w14:paraId="627EDA62">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预期性</w:t>
            </w:r>
          </w:p>
        </w:tc>
      </w:tr>
      <w:tr w14:paraId="24F3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tblHeader/>
        </w:trPr>
        <w:tc>
          <w:tcPr>
            <w:tcW w:w="582" w:type="dxa"/>
            <w:vMerge w:val="continue"/>
            <w:noWrap w:val="0"/>
            <w:vAlign w:val="center"/>
          </w:tcPr>
          <w:p w14:paraId="4647B6E0">
            <w:pPr>
              <w:widowControl w:val="0"/>
              <w:adjustRightInd w:val="0"/>
              <w:snapToGrid w:val="0"/>
              <w:spacing w:line="560" w:lineRule="exact"/>
              <w:ind w:firstLine="0" w:firstLineChars="0"/>
              <w:jc w:val="center"/>
              <w:rPr>
                <w:rFonts w:ascii="Times New Roman" w:hAnsi="Times New Roman" w:eastAsia="仿宋" w:cs="Times New Roman"/>
                <w:color w:val="000000"/>
                <w:kern w:val="2"/>
                <w:sz w:val="21"/>
                <w:szCs w:val="21"/>
              </w:rPr>
            </w:pPr>
          </w:p>
        </w:tc>
        <w:tc>
          <w:tcPr>
            <w:tcW w:w="507" w:type="dxa"/>
            <w:noWrap w:val="0"/>
            <w:vAlign w:val="center"/>
          </w:tcPr>
          <w:p w14:paraId="25FDD82C">
            <w:pPr>
              <w:widowControl w:val="0"/>
              <w:spacing w:line="560" w:lineRule="exact"/>
              <w:ind w:firstLine="0" w:firstLineChars="0"/>
              <w:jc w:val="center"/>
              <w:rPr>
                <w:rFonts w:ascii="Times New Roman" w:hAnsi="Times New Roman" w:eastAsia="仿宋" w:cs="Times New Roman"/>
                <w:color w:val="000000"/>
                <w:spacing w:val="1"/>
                <w:kern w:val="2"/>
                <w:sz w:val="21"/>
                <w:szCs w:val="21"/>
              </w:rPr>
            </w:pPr>
            <w:r>
              <w:rPr>
                <w:rFonts w:ascii="Times New Roman" w:hAnsi="Times New Roman" w:eastAsia="仿宋" w:cs="Times New Roman"/>
                <w:color w:val="000000"/>
                <w:spacing w:val="1"/>
                <w:kern w:val="2"/>
                <w:sz w:val="21"/>
                <w:szCs w:val="21"/>
              </w:rPr>
              <w:t>4</w:t>
            </w:r>
          </w:p>
        </w:tc>
        <w:tc>
          <w:tcPr>
            <w:tcW w:w="3132" w:type="dxa"/>
            <w:noWrap w:val="0"/>
            <w:vAlign w:val="center"/>
          </w:tcPr>
          <w:p w14:paraId="14CEDD8B">
            <w:pPr>
              <w:widowControl w:val="0"/>
              <w:spacing w:line="240" w:lineRule="auto"/>
              <w:ind w:firstLine="0" w:firstLineChars="0"/>
              <w:jc w:val="left"/>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社区养老服务</w:t>
            </w:r>
            <w:r>
              <w:rPr>
                <w:rFonts w:hint="eastAsia" w:ascii="Times New Roman" w:hAnsi="Times New Roman" w:eastAsia="仿宋" w:cs="Times New Roman"/>
                <w:color w:val="000000"/>
                <w:kern w:val="2"/>
                <w:sz w:val="21"/>
                <w:szCs w:val="21"/>
                <w:lang w:val="en-US" w:eastAsia="zh-CN"/>
              </w:rPr>
              <w:t>机构和</w:t>
            </w:r>
            <w:r>
              <w:rPr>
                <w:rFonts w:hint="eastAsia" w:ascii="Times New Roman" w:hAnsi="Times New Roman" w:eastAsia="仿宋" w:cs="Times New Roman"/>
                <w:color w:val="000000"/>
                <w:kern w:val="2"/>
                <w:sz w:val="21"/>
                <w:szCs w:val="21"/>
              </w:rPr>
              <w:t>设施覆盖率</w:t>
            </w:r>
          </w:p>
        </w:tc>
        <w:tc>
          <w:tcPr>
            <w:tcW w:w="741" w:type="dxa"/>
            <w:noWrap w:val="0"/>
            <w:vAlign w:val="center"/>
          </w:tcPr>
          <w:p w14:paraId="4BF26A5D">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7B4C70BC">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bCs/>
                <w:color w:val="000000"/>
                <w:kern w:val="2"/>
                <w:sz w:val="21"/>
                <w:szCs w:val="21"/>
              </w:rPr>
              <w:t>54</w:t>
            </w:r>
          </w:p>
        </w:tc>
        <w:tc>
          <w:tcPr>
            <w:tcW w:w="1261" w:type="dxa"/>
            <w:noWrap w:val="0"/>
            <w:vAlign w:val="center"/>
          </w:tcPr>
          <w:p w14:paraId="6BD4B8B8">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80</w:t>
            </w:r>
          </w:p>
        </w:tc>
        <w:tc>
          <w:tcPr>
            <w:tcW w:w="1470" w:type="dxa"/>
            <w:noWrap w:val="0"/>
            <w:vAlign w:val="center"/>
          </w:tcPr>
          <w:p w14:paraId="539E8A99">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预期性</w:t>
            </w:r>
          </w:p>
        </w:tc>
      </w:tr>
      <w:tr w14:paraId="04D5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exact"/>
          <w:tblHeader/>
        </w:trPr>
        <w:tc>
          <w:tcPr>
            <w:tcW w:w="582" w:type="dxa"/>
            <w:vMerge w:val="continue"/>
            <w:noWrap w:val="0"/>
            <w:vAlign w:val="center"/>
          </w:tcPr>
          <w:p w14:paraId="4AC95CB8">
            <w:pPr>
              <w:widowControl w:val="0"/>
              <w:adjustRightInd w:val="0"/>
              <w:snapToGrid w:val="0"/>
              <w:spacing w:line="560" w:lineRule="exact"/>
              <w:ind w:firstLine="0" w:firstLineChars="0"/>
              <w:jc w:val="center"/>
              <w:rPr>
                <w:rFonts w:ascii="Times New Roman" w:hAnsi="Times New Roman" w:eastAsia="仿宋" w:cs="Times New Roman"/>
                <w:color w:val="000000"/>
                <w:kern w:val="2"/>
                <w:sz w:val="21"/>
                <w:szCs w:val="21"/>
              </w:rPr>
            </w:pPr>
          </w:p>
        </w:tc>
        <w:tc>
          <w:tcPr>
            <w:tcW w:w="507" w:type="dxa"/>
            <w:noWrap w:val="0"/>
            <w:vAlign w:val="center"/>
          </w:tcPr>
          <w:p w14:paraId="117ED739">
            <w:pPr>
              <w:widowControl w:val="0"/>
              <w:spacing w:line="560" w:lineRule="exact"/>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5</w:t>
            </w:r>
          </w:p>
        </w:tc>
        <w:tc>
          <w:tcPr>
            <w:tcW w:w="3132" w:type="dxa"/>
            <w:noWrap w:val="0"/>
            <w:vAlign w:val="center"/>
          </w:tcPr>
          <w:p w14:paraId="2BB3475C">
            <w:pPr>
              <w:widowControl w:val="0"/>
              <w:spacing w:line="240" w:lineRule="auto"/>
              <w:ind w:firstLine="0" w:firstLineChars="0"/>
              <w:jc w:val="left"/>
              <w:rPr>
                <w:rFonts w:ascii="Times New Roman" w:hAnsi="Times New Roman" w:eastAsia="仿宋" w:cs="Times New Roman"/>
                <w:color w:val="000000"/>
                <w:spacing w:val="1"/>
                <w:kern w:val="2"/>
                <w:sz w:val="21"/>
                <w:szCs w:val="21"/>
              </w:rPr>
            </w:pPr>
            <w:r>
              <w:rPr>
                <w:rFonts w:hint="eastAsia" w:ascii="Times New Roman" w:hAnsi="Times New Roman" w:eastAsia="仿宋" w:cs="Times New Roman"/>
                <w:color w:val="000000"/>
                <w:spacing w:val="1"/>
                <w:kern w:val="2"/>
                <w:sz w:val="21"/>
                <w:szCs w:val="21"/>
              </w:rPr>
              <w:t>老年人社会活动参与率</w:t>
            </w:r>
          </w:p>
        </w:tc>
        <w:tc>
          <w:tcPr>
            <w:tcW w:w="741" w:type="dxa"/>
            <w:noWrap w:val="0"/>
            <w:vAlign w:val="center"/>
          </w:tcPr>
          <w:p w14:paraId="687456A0">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5581BAA6">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hint="eastAsia" w:ascii="Times New Roman" w:hAnsi="Times New Roman" w:eastAsia="仿宋" w:cs="Times New Roman"/>
                <w:bCs/>
                <w:color w:val="000000"/>
                <w:kern w:val="2"/>
                <w:sz w:val="21"/>
                <w:szCs w:val="21"/>
              </w:rPr>
              <w:t>——</w:t>
            </w:r>
          </w:p>
        </w:tc>
        <w:tc>
          <w:tcPr>
            <w:tcW w:w="1261" w:type="dxa"/>
            <w:noWrap w:val="0"/>
            <w:vAlign w:val="center"/>
          </w:tcPr>
          <w:p w14:paraId="40954AE4">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6</w:t>
            </w:r>
            <w:r>
              <w:rPr>
                <w:rFonts w:hint="eastAsia" w:ascii="Times New Roman" w:hAnsi="Times New Roman" w:eastAsia="仿宋" w:cs="Times New Roman"/>
                <w:color w:val="000000"/>
                <w:kern w:val="2"/>
                <w:sz w:val="21"/>
                <w:szCs w:val="21"/>
                <w:lang w:val="en-US" w:eastAsia="zh-CN"/>
              </w:rPr>
              <w:t>5</w:t>
            </w:r>
          </w:p>
        </w:tc>
        <w:tc>
          <w:tcPr>
            <w:tcW w:w="1470" w:type="dxa"/>
            <w:noWrap w:val="0"/>
            <w:vAlign w:val="center"/>
          </w:tcPr>
          <w:p w14:paraId="7195EBA8">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预期性</w:t>
            </w:r>
          </w:p>
        </w:tc>
      </w:tr>
      <w:tr w14:paraId="43FF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exact"/>
          <w:tblHeader/>
        </w:trPr>
        <w:tc>
          <w:tcPr>
            <w:tcW w:w="582" w:type="dxa"/>
            <w:vMerge w:val="continue"/>
            <w:noWrap w:val="0"/>
            <w:vAlign w:val="center"/>
          </w:tcPr>
          <w:p w14:paraId="2206CECE">
            <w:pPr>
              <w:widowControl w:val="0"/>
              <w:adjustRightInd w:val="0"/>
              <w:snapToGrid w:val="0"/>
              <w:spacing w:line="560" w:lineRule="exact"/>
              <w:ind w:firstLine="0" w:firstLineChars="0"/>
              <w:jc w:val="center"/>
              <w:rPr>
                <w:rFonts w:ascii="Times New Roman" w:hAnsi="Times New Roman" w:eastAsia="仿宋" w:cs="Times New Roman"/>
                <w:color w:val="000000"/>
                <w:kern w:val="2"/>
                <w:sz w:val="21"/>
                <w:szCs w:val="21"/>
              </w:rPr>
            </w:pPr>
          </w:p>
        </w:tc>
        <w:tc>
          <w:tcPr>
            <w:tcW w:w="507" w:type="dxa"/>
            <w:noWrap w:val="0"/>
            <w:vAlign w:val="center"/>
          </w:tcPr>
          <w:p w14:paraId="3E0FF411">
            <w:pPr>
              <w:widowControl w:val="0"/>
              <w:spacing w:line="560" w:lineRule="exact"/>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6</w:t>
            </w:r>
          </w:p>
        </w:tc>
        <w:tc>
          <w:tcPr>
            <w:tcW w:w="3132" w:type="dxa"/>
            <w:noWrap w:val="0"/>
            <w:vAlign w:val="center"/>
          </w:tcPr>
          <w:p w14:paraId="7FAD5B6B">
            <w:pPr>
              <w:widowControl w:val="0"/>
              <w:spacing w:line="240" w:lineRule="auto"/>
              <w:ind w:firstLine="0" w:firstLineChars="0"/>
              <w:jc w:val="left"/>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乡镇（街道）范围具备综合功能的养老综合体覆盖率</w:t>
            </w:r>
          </w:p>
        </w:tc>
        <w:tc>
          <w:tcPr>
            <w:tcW w:w="741" w:type="dxa"/>
            <w:noWrap w:val="0"/>
            <w:vAlign w:val="center"/>
          </w:tcPr>
          <w:p w14:paraId="380C2BE1">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65CC4A2E">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bCs/>
                <w:color w:val="000000"/>
                <w:kern w:val="2"/>
                <w:sz w:val="21"/>
                <w:szCs w:val="21"/>
              </w:rPr>
              <w:t>72</w:t>
            </w:r>
          </w:p>
        </w:tc>
        <w:tc>
          <w:tcPr>
            <w:tcW w:w="1261" w:type="dxa"/>
            <w:noWrap w:val="0"/>
            <w:vAlign w:val="center"/>
          </w:tcPr>
          <w:p w14:paraId="098BF22C">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80</w:t>
            </w:r>
          </w:p>
        </w:tc>
        <w:tc>
          <w:tcPr>
            <w:tcW w:w="1470" w:type="dxa"/>
            <w:noWrap w:val="0"/>
            <w:vAlign w:val="center"/>
          </w:tcPr>
          <w:p w14:paraId="5BB8DF75">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预期性</w:t>
            </w:r>
          </w:p>
        </w:tc>
      </w:tr>
      <w:tr w14:paraId="1285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blHeader/>
        </w:trPr>
        <w:tc>
          <w:tcPr>
            <w:tcW w:w="582" w:type="dxa"/>
            <w:vMerge w:val="continue"/>
            <w:noWrap w:val="0"/>
            <w:vAlign w:val="center"/>
          </w:tcPr>
          <w:p w14:paraId="7461AD92">
            <w:pPr>
              <w:widowControl w:val="0"/>
              <w:adjustRightInd w:val="0"/>
              <w:snapToGrid w:val="0"/>
              <w:spacing w:line="560" w:lineRule="exact"/>
              <w:ind w:firstLine="0" w:firstLineChars="0"/>
              <w:jc w:val="center"/>
              <w:rPr>
                <w:rFonts w:ascii="Times New Roman" w:hAnsi="Times New Roman" w:eastAsia="仿宋" w:cs="Times New Roman"/>
                <w:color w:val="000000"/>
                <w:kern w:val="2"/>
                <w:sz w:val="21"/>
                <w:szCs w:val="21"/>
              </w:rPr>
            </w:pPr>
          </w:p>
        </w:tc>
        <w:tc>
          <w:tcPr>
            <w:tcW w:w="507" w:type="dxa"/>
            <w:noWrap w:val="0"/>
            <w:vAlign w:val="center"/>
          </w:tcPr>
          <w:p w14:paraId="59E9E21C">
            <w:pPr>
              <w:widowControl w:val="0"/>
              <w:spacing w:line="560" w:lineRule="exact"/>
              <w:ind w:firstLine="0" w:firstLineChars="0"/>
              <w:jc w:val="center"/>
              <w:rPr>
                <w:rFonts w:ascii="Times New Roman" w:hAnsi="Times New Roman" w:eastAsia="仿宋" w:cs="Times New Roman"/>
                <w:color w:val="000000"/>
                <w:spacing w:val="1"/>
                <w:kern w:val="2"/>
                <w:sz w:val="21"/>
                <w:szCs w:val="21"/>
              </w:rPr>
            </w:pPr>
            <w:r>
              <w:rPr>
                <w:rFonts w:hint="eastAsia" w:ascii="Times New Roman" w:hAnsi="Times New Roman" w:eastAsia="仿宋" w:cs="Times New Roman"/>
                <w:color w:val="000000"/>
                <w:spacing w:val="1"/>
                <w:kern w:val="2"/>
                <w:sz w:val="21"/>
                <w:szCs w:val="21"/>
              </w:rPr>
              <w:t>7</w:t>
            </w:r>
          </w:p>
        </w:tc>
        <w:tc>
          <w:tcPr>
            <w:tcW w:w="3132" w:type="dxa"/>
            <w:noWrap w:val="0"/>
            <w:vAlign w:val="center"/>
          </w:tcPr>
          <w:p w14:paraId="20D7A5EC">
            <w:pPr>
              <w:widowControl w:val="0"/>
              <w:spacing w:line="240" w:lineRule="auto"/>
              <w:ind w:firstLine="0" w:firstLineChars="0"/>
              <w:jc w:val="left"/>
              <w:rPr>
                <w:rFonts w:ascii="Times New Roman" w:hAnsi="Times New Roman" w:eastAsia="仿宋" w:cs="Times New Roman"/>
                <w:bCs/>
                <w:color w:val="000000"/>
                <w:kern w:val="2"/>
                <w:sz w:val="21"/>
                <w:szCs w:val="21"/>
              </w:rPr>
            </w:pPr>
            <w:r>
              <w:rPr>
                <w:rFonts w:hint="eastAsia" w:ascii="Times New Roman" w:hAnsi="Times New Roman" w:eastAsia="仿宋" w:cs="Times New Roman"/>
                <w:bCs/>
                <w:color w:val="000000"/>
                <w:kern w:val="2"/>
                <w:sz w:val="21"/>
                <w:szCs w:val="21"/>
              </w:rPr>
              <w:t>基层老年协会覆盖率</w:t>
            </w:r>
          </w:p>
        </w:tc>
        <w:tc>
          <w:tcPr>
            <w:tcW w:w="741" w:type="dxa"/>
            <w:noWrap w:val="0"/>
            <w:vAlign w:val="center"/>
          </w:tcPr>
          <w:p w14:paraId="44968999">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bCs/>
                <w:color w:val="000000"/>
                <w:kern w:val="2"/>
                <w:sz w:val="21"/>
                <w:szCs w:val="21"/>
              </w:rPr>
              <w:t>%</w:t>
            </w:r>
          </w:p>
        </w:tc>
        <w:tc>
          <w:tcPr>
            <w:tcW w:w="1215" w:type="dxa"/>
            <w:noWrap w:val="0"/>
            <w:vAlign w:val="center"/>
          </w:tcPr>
          <w:p w14:paraId="32E6D4D8">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bCs/>
                <w:color w:val="000000"/>
                <w:kern w:val="2"/>
                <w:sz w:val="21"/>
                <w:szCs w:val="21"/>
              </w:rPr>
              <w:t>40</w:t>
            </w:r>
          </w:p>
        </w:tc>
        <w:tc>
          <w:tcPr>
            <w:tcW w:w="1261" w:type="dxa"/>
            <w:noWrap w:val="0"/>
            <w:vAlign w:val="center"/>
          </w:tcPr>
          <w:p w14:paraId="33A16A68">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bCs/>
                <w:color w:val="000000"/>
                <w:kern w:val="2"/>
                <w:sz w:val="21"/>
                <w:szCs w:val="21"/>
              </w:rPr>
              <w:t>80</w:t>
            </w:r>
          </w:p>
        </w:tc>
        <w:tc>
          <w:tcPr>
            <w:tcW w:w="1470" w:type="dxa"/>
            <w:noWrap w:val="0"/>
            <w:vAlign w:val="center"/>
          </w:tcPr>
          <w:p w14:paraId="51653DE1">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hint="eastAsia" w:ascii="Times New Roman" w:hAnsi="Times New Roman" w:eastAsia="仿宋" w:cs="Times New Roman"/>
                <w:bCs/>
                <w:color w:val="000000"/>
                <w:kern w:val="2"/>
                <w:sz w:val="21"/>
                <w:szCs w:val="21"/>
              </w:rPr>
              <w:t>预期性</w:t>
            </w:r>
          </w:p>
        </w:tc>
      </w:tr>
      <w:tr w14:paraId="6740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exact"/>
          <w:tblHeader/>
        </w:trPr>
        <w:tc>
          <w:tcPr>
            <w:tcW w:w="582" w:type="dxa"/>
            <w:vMerge w:val="restart"/>
            <w:noWrap w:val="0"/>
            <w:vAlign w:val="center"/>
          </w:tcPr>
          <w:p w14:paraId="7B260DFA">
            <w:pPr>
              <w:widowControl w:val="0"/>
              <w:adjustRightInd w:val="0"/>
              <w:snapToGrid w:val="0"/>
              <w:spacing w:line="560" w:lineRule="exact"/>
              <w:ind w:firstLine="0" w:firstLineChars="0"/>
              <w:jc w:val="center"/>
              <w:rPr>
                <w:rFonts w:ascii="Times New Roman" w:hAnsi="Times New Roman" w:eastAsia="仿宋" w:cs="Times New Roman"/>
                <w:b/>
                <w:bCs/>
                <w:color w:val="000000"/>
                <w:kern w:val="2"/>
                <w:sz w:val="21"/>
                <w:szCs w:val="21"/>
              </w:rPr>
            </w:pPr>
            <w:r>
              <w:rPr>
                <w:rFonts w:hint="eastAsia" w:ascii="Times New Roman" w:hAnsi="Times New Roman" w:eastAsia="仿宋" w:cs="Times New Roman"/>
                <w:b/>
                <w:bCs/>
                <w:color w:val="000000"/>
                <w:kern w:val="2"/>
                <w:sz w:val="21"/>
                <w:szCs w:val="21"/>
              </w:rPr>
              <w:t>社会</w:t>
            </w:r>
          </w:p>
          <w:p w14:paraId="057756E5">
            <w:pPr>
              <w:widowControl w:val="0"/>
              <w:adjustRightInd w:val="0"/>
              <w:snapToGrid w:val="0"/>
              <w:spacing w:line="560" w:lineRule="exact"/>
              <w:ind w:firstLine="0" w:firstLineChars="0"/>
              <w:jc w:val="center"/>
              <w:rPr>
                <w:rFonts w:ascii="Times New Roman" w:hAnsi="Times New Roman" w:eastAsia="仿宋" w:cs="Times New Roman"/>
                <w:b/>
                <w:bCs/>
                <w:color w:val="000000"/>
                <w:kern w:val="2"/>
                <w:sz w:val="21"/>
                <w:szCs w:val="21"/>
              </w:rPr>
            </w:pPr>
            <w:r>
              <w:rPr>
                <w:rFonts w:hint="eastAsia" w:ascii="Times New Roman" w:hAnsi="Times New Roman" w:eastAsia="仿宋" w:cs="Times New Roman"/>
                <w:b/>
                <w:bCs/>
                <w:color w:val="000000"/>
                <w:kern w:val="2"/>
                <w:sz w:val="21"/>
                <w:szCs w:val="21"/>
              </w:rPr>
              <w:t>救助</w:t>
            </w:r>
          </w:p>
          <w:p w14:paraId="450780B6">
            <w:pPr>
              <w:widowControl w:val="0"/>
              <w:spacing w:line="240" w:lineRule="auto"/>
              <w:ind w:firstLine="0" w:firstLineChars="0"/>
              <w:jc w:val="center"/>
              <w:rPr>
                <w:rFonts w:ascii="Times New Roman" w:hAnsi="Times New Roman" w:eastAsia="仿宋" w:cs="Times New Roman"/>
                <w:color w:val="000000"/>
                <w:kern w:val="2"/>
                <w:sz w:val="21"/>
                <w:szCs w:val="21"/>
              </w:rPr>
            </w:pPr>
          </w:p>
          <w:p w14:paraId="5E86C147">
            <w:pPr>
              <w:widowControl w:val="0"/>
              <w:adjustRightInd w:val="0"/>
              <w:snapToGrid w:val="0"/>
              <w:spacing w:line="560" w:lineRule="exact"/>
              <w:ind w:firstLine="0" w:firstLineChars="0"/>
              <w:jc w:val="center"/>
              <w:rPr>
                <w:rFonts w:ascii="Times New Roman" w:hAnsi="Times New Roman" w:eastAsia="仿宋" w:cs="Times New Roman"/>
                <w:color w:val="000000"/>
                <w:kern w:val="2"/>
                <w:sz w:val="21"/>
                <w:szCs w:val="21"/>
              </w:rPr>
            </w:pPr>
          </w:p>
        </w:tc>
        <w:tc>
          <w:tcPr>
            <w:tcW w:w="507" w:type="dxa"/>
            <w:noWrap w:val="0"/>
            <w:vAlign w:val="center"/>
          </w:tcPr>
          <w:p w14:paraId="3376DA24">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spacing w:val="1"/>
                <w:kern w:val="2"/>
                <w:sz w:val="21"/>
                <w:szCs w:val="21"/>
              </w:rPr>
              <w:t>8</w:t>
            </w:r>
          </w:p>
        </w:tc>
        <w:tc>
          <w:tcPr>
            <w:tcW w:w="3132" w:type="dxa"/>
            <w:noWrap w:val="0"/>
            <w:vAlign w:val="center"/>
          </w:tcPr>
          <w:p w14:paraId="4D741968">
            <w:pPr>
              <w:widowControl w:val="0"/>
              <w:spacing w:line="240" w:lineRule="auto"/>
              <w:ind w:firstLine="0" w:firstLineChars="0"/>
              <w:jc w:val="left"/>
              <w:rPr>
                <w:rFonts w:ascii="Times New Roman" w:hAnsi="Times New Roman" w:eastAsia="仿宋" w:cs="Times New Roman"/>
                <w:color w:val="000000"/>
                <w:spacing w:val="1"/>
                <w:kern w:val="2"/>
                <w:sz w:val="21"/>
                <w:szCs w:val="21"/>
              </w:rPr>
            </w:pPr>
            <w:r>
              <w:rPr>
                <w:rFonts w:hint="eastAsia" w:ascii="Times New Roman" w:hAnsi="Times New Roman" w:eastAsia="仿宋" w:cs="Times New Roman"/>
                <w:color w:val="000000"/>
                <w:kern w:val="2"/>
                <w:sz w:val="21"/>
                <w:szCs w:val="21"/>
              </w:rPr>
              <w:t>有集中供养意愿的特困人员集中供养率</w:t>
            </w:r>
          </w:p>
        </w:tc>
        <w:tc>
          <w:tcPr>
            <w:tcW w:w="741" w:type="dxa"/>
            <w:noWrap w:val="0"/>
            <w:vAlign w:val="center"/>
          </w:tcPr>
          <w:p w14:paraId="127F2C96">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21449784">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bCs/>
                <w:color w:val="000000"/>
                <w:kern w:val="2"/>
                <w:sz w:val="21"/>
                <w:szCs w:val="21"/>
              </w:rPr>
              <w:t>100</w:t>
            </w:r>
          </w:p>
        </w:tc>
        <w:tc>
          <w:tcPr>
            <w:tcW w:w="1261" w:type="dxa"/>
            <w:noWrap w:val="0"/>
            <w:vAlign w:val="center"/>
          </w:tcPr>
          <w:p w14:paraId="33C60F5A">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100</w:t>
            </w:r>
          </w:p>
        </w:tc>
        <w:tc>
          <w:tcPr>
            <w:tcW w:w="1470" w:type="dxa"/>
            <w:noWrap w:val="0"/>
            <w:vAlign w:val="center"/>
          </w:tcPr>
          <w:p w14:paraId="49275B07">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预期性</w:t>
            </w:r>
          </w:p>
        </w:tc>
      </w:tr>
      <w:tr w14:paraId="1756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tblHeader/>
        </w:trPr>
        <w:tc>
          <w:tcPr>
            <w:tcW w:w="582" w:type="dxa"/>
            <w:vMerge w:val="continue"/>
            <w:noWrap w:val="0"/>
            <w:vAlign w:val="center"/>
          </w:tcPr>
          <w:p w14:paraId="400C1D20">
            <w:pPr>
              <w:widowControl w:val="0"/>
              <w:adjustRightInd w:val="0"/>
              <w:snapToGrid w:val="0"/>
              <w:spacing w:line="560" w:lineRule="exact"/>
              <w:ind w:firstLine="0" w:firstLineChars="0"/>
              <w:jc w:val="center"/>
              <w:rPr>
                <w:rFonts w:ascii="Times New Roman" w:hAnsi="Times New Roman" w:eastAsia="仿宋" w:cs="Times New Roman"/>
                <w:color w:val="000000"/>
                <w:kern w:val="2"/>
                <w:sz w:val="21"/>
                <w:szCs w:val="21"/>
              </w:rPr>
            </w:pPr>
          </w:p>
        </w:tc>
        <w:tc>
          <w:tcPr>
            <w:tcW w:w="507" w:type="dxa"/>
            <w:noWrap w:val="0"/>
            <w:vAlign w:val="center"/>
          </w:tcPr>
          <w:p w14:paraId="777F67A1">
            <w:pPr>
              <w:widowControl w:val="0"/>
              <w:spacing w:line="560" w:lineRule="exact"/>
              <w:ind w:firstLine="0" w:firstLineChars="0"/>
              <w:jc w:val="center"/>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9</w:t>
            </w:r>
          </w:p>
        </w:tc>
        <w:tc>
          <w:tcPr>
            <w:tcW w:w="3132" w:type="dxa"/>
            <w:noWrap w:val="0"/>
            <w:vAlign w:val="center"/>
          </w:tcPr>
          <w:p w14:paraId="556E81F1">
            <w:pPr>
              <w:widowControl w:val="0"/>
              <w:spacing w:line="240" w:lineRule="auto"/>
              <w:ind w:firstLine="0" w:firstLineChars="0"/>
              <w:jc w:val="left"/>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城乡低保标准占上年度我市居民消费支出比例</w:t>
            </w:r>
          </w:p>
        </w:tc>
        <w:tc>
          <w:tcPr>
            <w:tcW w:w="741" w:type="dxa"/>
            <w:noWrap w:val="0"/>
            <w:vAlign w:val="center"/>
          </w:tcPr>
          <w:p w14:paraId="514E88AD">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025E159D">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34.24</w:t>
            </w:r>
          </w:p>
        </w:tc>
        <w:tc>
          <w:tcPr>
            <w:tcW w:w="1261" w:type="dxa"/>
            <w:noWrap w:val="0"/>
            <w:vAlign w:val="center"/>
          </w:tcPr>
          <w:p w14:paraId="3B330719">
            <w:pPr>
              <w:widowControl w:val="0"/>
              <w:spacing w:line="240" w:lineRule="auto"/>
              <w:ind w:firstLine="0" w:firstLineChars="0"/>
              <w:jc w:val="center"/>
              <w:rPr>
                <w:rFonts w:hint="eastAsia" w:ascii="Times New Roman" w:hAnsi="Times New Roman" w:eastAsia="仿宋" w:cs="Times New Roman"/>
                <w:bCs/>
                <w:color w:val="000000"/>
                <w:kern w:val="2"/>
                <w:sz w:val="21"/>
                <w:szCs w:val="21"/>
                <w:lang w:val="en-US" w:eastAsia="zh-CN"/>
              </w:rPr>
            </w:pPr>
            <w:r>
              <w:rPr>
                <w:rFonts w:hint="eastAsia" w:ascii="Times New Roman" w:hAnsi="Times New Roman" w:eastAsia="仿宋" w:cs="Times New Roman"/>
                <w:bCs/>
                <w:color w:val="000000"/>
                <w:kern w:val="2"/>
                <w:sz w:val="21"/>
                <w:szCs w:val="21"/>
                <w:lang w:val="en-US" w:eastAsia="zh-CN"/>
              </w:rPr>
              <w:t>保持稳定</w:t>
            </w:r>
          </w:p>
        </w:tc>
        <w:tc>
          <w:tcPr>
            <w:tcW w:w="1470" w:type="dxa"/>
            <w:noWrap w:val="0"/>
            <w:vAlign w:val="center"/>
          </w:tcPr>
          <w:p w14:paraId="176C80F1">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预期性</w:t>
            </w:r>
          </w:p>
        </w:tc>
      </w:tr>
      <w:tr w14:paraId="6852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exact"/>
          <w:tblHeader/>
        </w:trPr>
        <w:tc>
          <w:tcPr>
            <w:tcW w:w="582" w:type="dxa"/>
            <w:vMerge w:val="continue"/>
            <w:noWrap w:val="0"/>
            <w:vAlign w:val="center"/>
          </w:tcPr>
          <w:p w14:paraId="041AC379">
            <w:pPr>
              <w:widowControl w:val="0"/>
              <w:adjustRightInd w:val="0"/>
              <w:snapToGrid w:val="0"/>
              <w:spacing w:line="560" w:lineRule="exact"/>
              <w:ind w:firstLine="0" w:firstLineChars="0"/>
              <w:jc w:val="center"/>
              <w:rPr>
                <w:rFonts w:ascii="Times New Roman" w:hAnsi="Times New Roman" w:eastAsia="仿宋" w:cs="Times New Roman"/>
                <w:color w:val="000000"/>
                <w:kern w:val="2"/>
                <w:sz w:val="21"/>
                <w:szCs w:val="21"/>
              </w:rPr>
            </w:pPr>
          </w:p>
        </w:tc>
        <w:tc>
          <w:tcPr>
            <w:tcW w:w="507" w:type="dxa"/>
            <w:noWrap w:val="0"/>
            <w:vAlign w:val="center"/>
          </w:tcPr>
          <w:p w14:paraId="22D05A4E">
            <w:pPr>
              <w:widowControl w:val="0"/>
              <w:spacing w:line="560" w:lineRule="exact"/>
              <w:ind w:firstLine="0" w:firstLineChars="0"/>
              <w:jc w:val="center"/>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10</w:t>
            </w:r>
          </w:p>
        </w:tc>
        <w:tc>
          <w:tcPr>
            <w:tcW w:w="3132" w:type="dxa"/>
            <w:noWrap w:val="0"/>
            <w:vAlign w:val="center"/>
          </w:tcPr>
          <w:p w14:paraId="7C61B60D">
            <w:pPr>
              <w:widowControl w:val="0"/>
              <w:spacing w:line="240" w:lineRule="auto"/>
              <w:ind w:firstLine="0" w:firstLineChars="0"/>
              <w:jc w:val="left"/>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查明身份信息流</w:t>
            </w:r>
            <w:r>
              <w:rPr>
                <w:rFonts w:hint="eastAsia" w:ascii="Times New Roman" w:hAnsi="Times New Roman" w:eastAsia="仿宋" w:cs="Times New Roman"/>
                <w:color w:val="000000"/>
                <w:kern w:val="2"/>
                <w:sz w:val="21"/>
                <w:szCs w:val="21"/>
                <w:lang w:eastAsia="zh-CN"/>
              </w:rPr>
              <w:t>散</w:t>
            </w:r>
            <w:r>
              <w:rPr>
                <w:rFonts w:hint="eastAsia" w:ascii="Times New Roman" w:hAnsi="Times New Roman" w:eastAsia="仿宋" w:cs="Times New Roman"/>
                <w:color w:val="000000"/>
                <w:kern w:val="2"/>
                <w:sz w:val="21"/>
                <w:szCs w:val="21"/>
              </w:rPr>
              <w:t>受助人员接送返回率</w:t>
            </w:r>
          </w:p>
        </w:tc>
        <w:tc>
          <w:tcPr>
            <w:tcW w:w="741" w:type="dxa"/>
            <w:noWrap w:val="0"/>
            <w:vAlign w:val="center"/>
          </w:tcPr>
          <w:p w14:paraId="638400E4">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7C209134">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100</w:t>
            </w:r>
          </w:p>
        </w:tc>
        <w:tc>
          <w:tcPr>
            <w:tcW w:w="1261" w:type="dxa"/>
            <w:noWrap w:val="0"/>
            <w:vAlign w:val="center"/>
          </w:tcPr>
          <w:p w14:paraId="7C4C863F">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100</w:t>
            </w:r>
          </w:p>
        </w:tc>
        <w:tc>
          <w:tcPr>
            <w:tcW w:w="1470" w:type="dxa"/>
            <w:noWrap w:val="0"/>
            <w:vAlign w:val="center"/>
          </w:tcPr>
          <w:p w14:paraId="5E950038">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预期性</w:t>
            </w:r>
          </w:p>
        </w:tc>
      </w:tr>
      <w:tr w14:paraId="4B3A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blHeader/>
        </w:trPr>
        <w:tc>
          <w:tcPr>
            <w:tcW w:w="582" w:type="dxa"/>
            <w:vMerge w:val="restart"/>
            <w:noWrap w:val="0"/>
            <w:vAlign w:val="center"/>
          </w:tcPr>
          <w:p w14:paraId="03EC80A3">
            <w:pPr>
              <w:widowControl w:val="0"/>
              <w:adjustRightInd w:val="0"/>
              <w:snapToGrid w:val="0"/>
              <w:spacing w:line="560" w:lineRule="exact"/>
              <w:ind w:firstLine="0" w:firstLineChars="0"/>
              <w:jc w:val="center"/>
              <w:rPr>
                <w:rFonts w:ascii="Times New Roman" w:hAnsi="Times New Roman" w:eastAsia="仿宋" w:cs="Times New Roman"/>
                <w:b/>
                <w:bCs/>
                <w:color w:val="000000"/>
                <w:kern w:val="2"/>
                <w:sz w:val="21"/>
                <w:szCs w:val="21"/>
              </w:rPr>
            </w:pPr>
            <w:r>
              <w:rPr>
                <w:rFonts w:hint="eastAsia" w:ascii="Times New Roman" w:hAnsi="Times New Roman" w:eastAsia="仿宋" w:cs="Times New Roman"/>
                <w:b/>
                <w:bCs/>
                <w:color w:val="000000"/>
                <w:kern w:val="2"/>
                <w:sz w:val="21"/>
                <w:szCs w:val="21"/>
              </w:rPr>
              <w:t>社会</w:t>
            </w:r>
          </w:p>
          <w:p w14:paraId="1DCCE26A">
            <w:pPr>
              <w:widowControl w:val="0"/>
              <w:adjustRightInd w:val="0"/>
              <w:snapToGrid w:val="0"/>
              <w:spacing w:line="560" w:lineRule="exact"/>
              <w:ind w:firstLine="0" w:firstLineChars="0"/>
              <w:jc w:val="center"/>
              <w:rPr>
                <w:rFonts w:ascii="Times New Roman" w:hAnsi="Times New Roman" w:eastAsia="仿宋" w:cs="Times New Roman"/>
                <w:b/>
                <w:bCs/>
                <w:color w:val="000000"/>
                <w:kern w:val="2"/>
                <w:sz w:val="21"/>
                <w:szCs w:val="21"/>
              </w:rPr>
            </w:pPr>
            <w:r>
              <w:rPr>
                <w:rFonts w:hint="eastAsia" w:ascii="Times New Roman" w:hAnsi="Times New Roman" w:eastAsia="仿宋" w:cs="Times New Roman"/>
                <w:b/>
                <w:bCs/>
                <w:color w:val="000000"/>
                <w:kern w:val="2"/>
                <w:sz w:val="21"/>
                <w:szCs w:val="21"/>
              </w:rPr>
              <w:t>福利</w:t>
            </w:r>
          </w:p>
        </w:tc>
        <w:tc>
          <w:tcPr>
            <w:tcW w:w="507" w:type="dxa"/>
            <w:noWrap w:val="0"/>
            <w:vAlign w:val="center"/>
          </w:tcPr>
          <w:p w14:paraId="727A3C6C">
            <w:pPr>
              <w:widowControl w:val="0"/>
              <w:spacing w:line="560" w:lineRule="exact"/>
              <w:ind w:firstLine="0" w:firstLineChars="0"/>
              <w:jc w:val="center"/>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11</w:t>
            </w:r>
          </w:p>
        </w:tc>
        <w:tc>
          <w:tcPr>
            <w:tcW w:w="3132" w:type="dxa"/>
            <w:noWrap w:val="0"/>
            <w:vAlign w:val="center"/>
          </w:tcPr>
          <w:p w14:paraId="7F845365">
            <w:pPr>
              <w:widowControl w:val="0"/>
              <w:spacing w:line="240" w:lineRule="auto"/>
              <w:ind w:firstLine="0" w:firstLineChars="0"/>
              <w:jc w:val="left"/>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精神障碍社区康复服务区级覆盖率</w:t>
            </w:r>
          </w:p>
        </w:tc>
        <w:tc>
          <w:tcPr>
            <w:tcW w:w="741" w:type="dxa"/>
            <w:noWrap w:val="0"/>
            <w:vAlign w:val="center"/>
          </w:tcPr>
          <w:p w14:paraId="0141911C">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4A3FABA9">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100</w:t>
            </w:r>
          </w:p>
        </w:tc>
        <w:tc>
          <w:tcPr>
            <w:tcW w:w="1261" w:type="dxa"/>
            <w:noWrap w:val="0"/>
            <w:vAlign w:val="center"/>
          </w:tcPr>
          <w:p w14:paraId="46ABDE29">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100</w:t>
            </w:r>
          </w:p>
        </w:tc>
        <w:tc>
          <w:tcPr>
            <w:tcW w:w="1470" w:type="dxa"/>
            <w:noWrap w:val="0"/>
            <w:vAlign w:val="center"/>
          </w:tcPr>
          <w:p w14:paraId="1B476B28">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预期性</w:t>
            </w:r>
          </w:p>
        </w:tc>
      </w:tr>
      <w:tr w14:paraId="5B60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exact"/>
          <w:tblHeader/>
        </w:trPr>
        <w:tc>
          <w:tcPr>
            <w:tcW w:w="582" w:type="dxa"/>
            <w:vMerge w:val="continue"/>
            <w:noWrap w:val="0"/>
            <w:vAlign w:val="center"/>
          </w:tcPr>
          <w:p w14:paraId="6B9EDB53">
            <w:pPr>
              <w:widowControl w:val="0"/>
              <w:adjustRightInd w:val="0"/>
              <w:snapToGrid w:val="0"/>
              <w:spacing w:line="560" w:lineRule="exact"/>
              <w:ind w:firstLine="0" w:firstLineChars="0"/>
              <w:jc w:val="center"/>
              <w:rPr>
                <w:rFonts w:ascii="Times New Roman" w:hAnsi="Times New Roman" w:eastAsia="仿宋" w:cs="Times New Roman"/>
                <w:b/>
                <w:bCs/>
                <w:color w:val="000000"/>
                <w:kern w:val="2"/>
                <w:sz w:val="21"/>
                <w:szCs w:val="21"/>
              </w:rPr>
            </w:pPr>
          </w:p>
        </w:tc>
        <w:tc>
          <w:tcPr>
            <w:tcW w:w="507" w:type="dxa"/>
            <w:noWrap w:val="0"/>
            <w:vAlign w:val="center"/>
          </w:tcPr>
          <w:p w14:paraId="1A07A239">
            <w:pPr>
              <w:widowControl w:val="0"/>
              <w:spacing w:line="560" w:lineRule="exact"/>
              <w:ind w:firstLine="0" w:firstLineChars="0"/>
              <w:jc w:val="center"/>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12</w:t>
            </w:r>
          </w:p>
        </w:tc>
        <w:tc>
          <w:tcPr>
            <w:tcW w:w="3132" w:type="dxa"/>
            <w:noWrap w:val="0"/>
            <w:vAlign w:val="center"/>
          </w:tcPr>
          <w:p w14:paraId="56C95A43">
            <w:pPr>
              <w:widowControl w:val="0"/>
              <w:spacing w:line="240" w:lineRule="auto"/>
              <w:ind w:firstLine="0" w:firstLineChars="0"/>
              <w:jc w:val="left"/>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困难残疾人生活补贴和重度残疾人护理补贴覆盖率</w:t>
            </w:r>
          </w:p>
        </w:tc>
        <w:tc>
          <w:tcPr>
            <w:tcW w:w="741" w:type="dxa"/>
            <w:noWrap w:val="0"/>
            <w:vAlign w:val="center"/>
          </w:tcPr>
          <w:p w14:paraId="0C16556A">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503D8C56">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100</w:t>
            </w:r>
          </w:p>
        </w:tc>
        <w:tc>
          <w:tcPr>
            <w:tcW w:w="1261" w:type="dxa"/>
            <w:noWrap w:val="0"/>
            <w:vAlign w:val="center"/>
          </w:tcPr>
          <w:p w14:paraId="53296B02">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100</w:t>
            </w:r>
          </w:p>
        </w:tc>
        <w:tc>
          <w:tcPr>
            <w:tcW w:w="1470" w:type="dxa"/>
            <w:noWrap w:val="0"/>
            <w:vAlign w:val="center"/>
          </w:tcPr>
          <w:p w14:paraId="038C7B95">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约束性</w:t>
            </w:r>
          </w:p>
        </w:tc>
      </w:tr>
      <w:tr w14:paraId="370F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tblHeader/>
        </w:trPr>
        <w:tc>
          <w:tcPr>
            <w:tcW w:w="582" w:type="dxa"/>
            <w:vMerge w:val="continue"/>
            <w:noWrap w:val="0"/>
            <w:vAlign w:val="center"/>
          </w:tcPr>
          <w:p w14:paraId="1B92AD7E">
            <w:pPr>
              <w:widowControl w:val="0"/>
              <w:adjustRightInd w:val="0"/>
              <w:snapToGrid w:val="0"/>
              <w:spacing w:line="560" w:lineRule="exact"/>
              <w:ind w:firstLine="0" w:firstLineChars="0"/>
              <w:rPr>
                <w:rFonts w:ascii="Times New Roman" w:hAnsi="Times New Roman" w:eastAsia="仿宋" w:cs="Times New Roman"/>
                <w:b/>
                <w:bCs/>
                <w:color w:val="000000"/>
                <w:kern w:val="2"/>
                <w:sz w:val="21"/>
                <w:szCs w:val="21"/>
              </w:rPr>
            </w:pPr>
          </w:p>
        </w:tc>
        <w:tc>
          <w:tcPr>
            <w:tcW w:w="507" w:type="dxa"/>
            <w:noWrap w:val="0"/>
            <w:vAlign w:val="center"/>
          </w:tcPr>
          <w:p w14:paraId="74BEEA95">
            <w:pPr>
              <w:widowControl w:val="0"/>
              <w:spacing w:line="560" w:lineRule="exact"/>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1</w:t>
            </w:r>
            <w:r>
              <w:rPr>
                <w:rFonts w:hint="eastAsia" w:ascii="Times New Roman" w:hAnsi="Times New Roman" w:eastAsia="仿宋" w:cs="Times New Roman"/>
                <w:color w:val="000000"/>
                <w:kern w:val="2"/>
                <w:sz w:val="21"/>
                <w:szCs w:val="21"/>
              </w:rPr>
              <w:t>3</w:t>
            </w:r>
          </w:p>
        </w:tc>
        <w:tc>
          <w:tcPr>
            <w:tcW w:w="3132" w:type="dxa"/>
            <w:noWrap w:val="0"/>
            <w:vAlign w:val="center"/>
          </w:tcPr>
          <w:p w14:paraId="3C5267D5">
            <w:pPr>
              <w:widowControl w:val="0"/>
              <w:spacing w:line="240" w:lineRule="auto"/>
              <w:ind w:firstLine="0" w:firstLineChars="0"/>
              <w:jc w:val="left"/>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孤儿等困境儿童基本生活保障覆盖率</w:t>
            </w:r>
          </w:p>
        </w:tc>
        <w:tc>
          <w:tcPr>
            <w:tcW w:w="741" w:type="dxa"/>
            <w:noWrap w:val="0"/>
            <w:vAlign w:val="center"/>
          </w:tcPr>
          <w:p w14:paraId="2F100B52">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5114185D">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100</w:t>
            </w:r>
          </w:p>
        </w:tc>
        <w:tc>
          <w:tcPr>
            <w:tcW w:w="1261" w:type="dxa"/>
            <w:noWrap w:val="0"/>
            <w:vAlign w:val="center"/>
          </w:tcPr>
          <w:p w14:paraId="062E4A3D">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100</w:t>
            </w:r>
          </w:p>
        </w:tc>
        <w:tc>
          <w:tcPr>
            <w:tcW w:w="1470" w:type="dxa"/>
            <w:noWrap w:val="0"/>
            <w:vAlign w:val="center"/>
          </w:tcPr>
          <w:p w14:paraId="0E634843">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约束性</w:t>
            </w:r>
          </w:p>
        </w:tc>
      </w:tr>
      <w:tr w14:paraId="55EC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exact"/>
          <w:tblHeader/>
        </w:trPr>
        <w:tc>
          <w:tcPr>
            <w:tcW w:w="582" w:type="dxa"/>
            <w:vMerge w:val="continue"/>
            <w:noWrap w:val="0"/>
            <w:vAlign w:val="center"/>
          </w:tcPr>
          <w:p w14:paraId="2556949A">
            <w:pPr>
              <w:widowControl w:val="0"/>
              <w:adjustRightInd w:val="0"/>
              <w:snapToGrid w:val="0"/>
              <w:spacing w:line="560" w:lineRule="exact"/>
              <w:ind w:firstLine="0" w:firstLineChars="0"/>
              <w:rPr>
                <w:rFonts w:ascii="Times New Roman" w:hAnsi="Times New Roman" w:eastAsia="仿宋" w:cs="Times New Roman"/>
                <w:b/>
                <w:bCs/>
                <w:color w:val="000000"/>
                <w:kern w:val="2"/>
                <w:sz w:val="21"/>
                <w:szCs w:val="21"/>
              </w:rPr>
            </w:pPr>
          </w:p>
        </w:tc>
        <w:tc>
          <w:tcPr>
            <w:tcW w:w="507" w:type="dxa"/>
            <w:noWrap w:val="0"/>
            <w:vAlign w:val="center"/>
          </w:tcPr>
          <w:p w14:paraId="45A4DB0A">
            <w:pPr>
              <w:widowControl w:val="0"/>
              <w:spacing w:line="560" w:lineRule="exact"/>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1</w:t>
            </w:r>
            <w:r>
              <w:rPr>
                <w:rFonts w:hint="eastAsia" w:ascii="Times New Roman" w:hAnsi="Times New Roman" w:eastAsia="仿宋" w:cs="Times New Roman"/>
                <w:color w:val="000000"/>
                <w:kern w:val="2"/>
                <w:sz w:val="21"/>
                <w:szCs w:val="21"/>
              </w:rPr>
              <w:t>4</w:t>
            </w:r>
          </w:p>
        </w:tc>
        <w:tc>
          <w:tcPr>
            <w:tcW w:w="3132" w:type="dxa"/>
            <w:noWrap w:val="0"/>
            <w:vAlign w:val="center"/>
          </w:tcPr>
          <w:p w14:paraId="673CCE42">
            <w:pPr>
              <w:widowControl w:val="0"/>
              <w:spacing w:line="240" w:lineRule="auto"/>
              <w:ind w:firstLine="0" w:firstLineChars="0"/>
              <w:jc w:val="left"/>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儿童福利机构“开门办院”率</w:t>
            </w:r>
          </w:p>
        </w:tc>
        <w:tc>
          <w:tcPr>
            <w:tcW w:w="741" w:type="dxa"/>
            <w:noWrap w:val="0"/>
            <w:vAlign w:val="center"/>
          </w:tcPr>
          <w:p w14:paraId="608F5AA1">
            <w:pPr>
              <w:widowControl w:val="0"/>
              <w:spacing w:line="240" w:lineRule="auto"/>
              <w:ind w:firstLine="210" w:firstLineChars="10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52E51063">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50</w:t>
            </w:r>
          </w:p>
        </w:tc>
        <w:tc>
          <w:tcPr>
            <w:tcW w:w="1261" w:type="dxa"/>
            <w:noWrap w:val="0"/>
            <w:vAlign w:val="center"/>
          </w:tcPr>
          <w:p w14:paraId="6C75FC75">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100</w:t>
            </w:r>
          </w:p>
        </w:tc>
        <w:tc>
          <w:tcPr>
            <w:tcW w:w="1470" w:type="dxa"/>
            <w:noWrap w:val="0"/>
            <w:vAlign w:val="center"/>
          </w:tcPr>
          <w:p w14:paraId="6F0CE76F">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预期性</w:t>
            </w:r>
          </w:p>
        </w:tc>
      </w:tr>
      <w:tr w14:paraId="2604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exact"/>
          <w:tblHeader/>
        </w:trPr>
        <w:tc>
          <w:tcPr>
            <w:tcW w:w="582" w:type="dxa"/>
            <w:vMerge w:val="restart"/>
            <w:noWrap w:val="0"/>
            <w:vAlign w:val="center"/>
          </w:tcPr>
          <w:p w14:paraId="210CDF6A">
            <w:pPr>
              <w:widowControl w:val="0"/>
              <w:adjustRightInd w:val="0"/>
              <w:snapToGrid w:val="0"/>
              <w:spacing w:line="560" w:lineRule="exact"/>
              <w:ind w:firstLine="0" w:firstLineChars="0"/>
              <w:jc w:val="center"/>
              <w:rPr>
                <w:rFonts w:ascii="Times New Roman" w:hAnsi="Times New Roman" w:eastAsia="仿宋" w:cs="Times New Roman"/>
                <w:b/>
                <w:bCs/>
                <w:color w:val="000000"/>
                <w:kern w:val="2"/>
                <w:sz w:val="21"/>
                <w:szCs w:val="21"/>
              </w:rPr>
            </w:pPr>
            <w:r>
              <w:rPr>
                <w:rFonts w:hint="eastAsia" w:ascii="Times New Roman" w:hAnsi="Times New Roman" w:eastAsia="仿宋" w:cs="Times New Roman"/>
                <w:b/>
                <w:bCs/>
                <w:color w:val="000000"/>
                <w:kern w:val="2"/>
                <w:sz w:val="21"/>
                <w:szCs w:val="21"/>
              </w:rPr>
              <w:t>社会</w:t>
            </w:r>
          </w:p>
          <w:p w14:paraId="0D94A542">
            <w:pPr>
              <w:widowControl w:val="0"/>
              <w:adjustRightInd w:val="0"/>
              <w:snapToGrid w:val="0"/>
              <w:spacing w:line="560" w:lineRule="exact"/>
              <w:ind w:firstLine="0" w:firstLineChars="0"/>
              <w:jc w:val="center"/>
              <w:rPr>
                <w:rFonts w:ascii="Times New Roman" w:hAnsi="Times New Roman" w:eastAsia="仿宋" w:cs="Times New Roman"/>
                <w:b/>
                <w:bCs/>
                <w:color w:val="000000"/>
                <w:kern w:val="2"/>
                <w:sz w:val="21"/>
                <w:szCs w:val="21"/>
              </w:rPr>
            </w:pPr>
            <w:r>
              <w:rPr>
                <w:rFonts w:hint="eastAsia" w:ascii="Times New Roman" w:hAnsi="Times New Roman" w:eastAsia="仿宋" w:cs="Times New Roman"/>
                <w:b/>
                <w:bCs/>
                <w:color w:val="000000"/>
                <w:kern w:val="2"/>
                <w:sz w:val="21"/>
                <w:szCs w:val="21"/>
              </w:rPr>
              <w:t>事务</w:t>
            </w:r>
          </w:p>
        </w:tc>
        <w:tc>
          <w:tcPr>
            <w:tcW w:w="507" w:type="dxa"/>
            <w:noWrap w:val="0"/>
            <w:vAlign w:val="center"/>
          </w:tcPr>
          <w:p w14:paraId="0934784E">
            <w:pPr>
              <w:widowControl w:val="0"/>
              <w:spacing w:line="560" w:lineRule="exact"/>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1</w:t>
            </w:r>
            <w:r>
              <w:rPr>
                <w:rFonts w:hint="eastAsia" w:ascii="Times New Roman" w:hAnsi="Times New Roman" w:eastAsia="仿宋" w:cs="Times New Roman"/>
                <w:color w:val="000000"/>
                <w:kern w:val="2"/>
                <w:sz w:val="21"/>
                <w:szCs w:val="21"/>
              </w:rPr>
              <w:t>5</w:t>
            </w:r>
          </w:p>
        </w:tc>
        <w:tc>
          <w:tcPr>
            <w:tcW w:w="3132" w:type="dxa"/>
            <w:noWrap w:val="0"/>
            <w:vAlign w:val="center"/>
          </w:tcPr>
          <w:p w14:paraId="5F9FC6D0">
            <w:pPr>
              <w:widowControl w:val="0"/>
              <w:spacing w:line="240" w:lineRule="auto"/>
              <w:ind w:firstLine="0" w:firstLineChars="0"/>
              <w:jc w:val="left"/>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涉农区公益性安葬（放）设施覆盖率</w:t>
            </w:r>
          </w:p>
        </w:tc>
        <w:tc>
          <w:tcPr>
            <w:tcW w:w="741" w:type="dxa"/>
            <w:noWrap w:val="0"/>
            <w:vAlign w:val="center"/>
          </w:tcPr>
          <w:p w14:paraId="65DDA63B">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25B19C1C">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100</w:t>
            </w:r>
          </w:p>
        </w:tc>
        <w:tc>
          <w:tcPr>
            <w:tcW w:w="1261" w:type="dxa"/>
            <w:noWrap w:val="0"/>
            <w:vAlign w:val="center"/>
          </w:tcPr>
          <w:p w14:paraId="740E908F">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color w:val="000000"/>
                <w:kern w:val="2"/>
                <w:sz w:val="21"/>
                <w:szCs w:val="21"/>
              </w:rPr>
              <w:t>100</w:t>
            </w:r>
          </w:p>
        </w:tc>
        <w:tc>
          <w:tcPr>
            <w:tcW w:w="1470" w:type="dxa"/>
            <w:noWrap w:val="0"/>
            <w:vAlign w:val="center"/>
          </w:tcPr>
          <w:p w14:paraId="26FB7701">
            <w:pPr>
              <w:widowControl w:val="0"/>
              <w:spacing w:line="240" w:lineRule="auto"/>
              <w:ind w:firstLine="0" w:firstLineChars="0"/>
              <w:jc w:val="center"/>
              <w:rPr>
                <w:rFonts w:ascii="Times New Roman" w:hAnsi="Times New Roman" w:eastAsia="仿宋" w:cs="Times New Roman"/>
                <w:bCs/>
                <w:color w:val="000000"/>
                <w:kern w:val="2"/>
                <w:sz w:val="21"/>
                <w:szCs w:val="21"/>
              </w:rPr>
            </w:pPr>
            <w:r>
              <w:rPr>
                <w:rFonts w:hint="eastAsia" w:ascii="Times New Roman" w:hAnsi="Times New Roman" w:eastAsia="仿宋" w:cs="Times New Roman"/>
                <w:color w:val="000000"/>
                <w:kern w:val="2"/>
                <w:sz w:val="21"/>
                <w:szCs w:val="21"/>
              </w:rPr>
              <w:t>预期性</w:t>
            </w:r>
          </w:p>
        </w:tc>
      </w:tr>
      <w:tr w14:paraId="7646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exact"/>
          <w:tblHeader/>
        </w:trPr>
        <w:tc>
          <w:tcPr>
            <w:tcW w:w="582" w:type="dxa"/>
            <w:vMerge w:val="continue"/>
            <w:noWrap w:val="0"/>
            <w:vAlign w:val="center"/>
          </w:tcPr>
          <w:p w14:paraId="01CDEF7E">
            <w:pPr>
              <w:widowControl w:val="0"/>
              <w:adjustRightInd w:val="0"/>
              <w:snapToGrid w:val="0"/>
              <w:spacing w:line="560" w:lineRule="exact"/>
              <w:ind w:firstLine="0" w:firstLineChars="0"/>
              <w:jc w:val="center"/>
              <w:rPr>
                <w:rFonts w:ascii="Times New Roman" w:hAnsi="Times New Roman" w:eastAsia="仿宋" w:cs="Times New Roman"/>
                <w:b/>
                <w:bCs/>
                <w:color w:val="000000"/>
                <w:kern w:val="2"/>
                <w:sz w:val="21"/>
                <w:szCs w:val="21"/>
              </w:rPr>
            </w:pPr>
          </w:p>
        </w:tc>
        <w:tc>
          <w:tcPr>
            <w:tcW w:w="507" w:type="dxa"/>
            <w:noWrap w:val="0"/>
            <w:vAlign w:val="center"/>
          </w:tcPr>
          <w:p w14:paraId="50824D22">
            <w:pPr>
              <w:widowControl w:val="0"/>
              <w:spacing w:line="560" w:lineRule="exact"/>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1</w:t>
            </w:r>
            <w:r>
              <w:rPr>
                <w:rFonts w:hint="eastAsia" w:ascii="Times New Roman" w:hAnsi="Times New Roman" w:eastAsia="仿宋" w:cs="Times New Roman"/>
                <w:color w:val="000000"/>
                <w:kern w:val="2"/>
                <w:sz w:val="21"/>
                <w:szCs w:val="21"/>
              </w:rPr>
              <w:t>6</w:t>
            </w:r>
          </w:p>
        </w:tc>
        <w:tc>
          <w:tcPr>
            <w:tcW w:w="3132" w:type="dxa"/>
            <w:noWrap w:val="0"/>
            <w:vAlign w:val="center"/>
          </w:tcPr>
          <w:p w14:paraId="50D98D2B">
            <w:pPr>
              <w:widowControl w:val="0"/>
              <w:spacing w:line="240" w:lineRule="auto"/>
              <w:ind w:firstLine="0" w:firstLineChars="0"/>
              <w:jc w:val="left"/>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建设标准达到国家</w:t>
            </w:r>
            <w:r>
              <w:rPr>
                <w:rFonts w:ascii="Times New Roman" w:hAnsi="Times New Roman" w:eastAsia="仿宋" w:cs="Times New Roman"/>
                <w:color w:val="000000"/>
                <w:kern w:val="2"/>
                <w:sz w:val="21"/>
                <w:szCs w:val="21"/>
              </w:rPr>
              <w:t>3A</w:t>
            </w:r>
            <w:r>
              <w:rPr>
                <w:rFonts w:hint="eastAsia" w:ascii="Times New Roman" w:hAnsi="Times New Roman" w:eastAsia="仿宋" w:cs="Times New Roman"/>
                <w:color w:val="000000"/>
                <w:kern w:val="2"/>
                <w:sz w:val="21"/>
                <w:szCs w:val="21"/>
              </w:rPr>
              <w:t>级及以上婚姻登记机关占比</w:t>
            </w:r>
          </w:p>
        </w:tc>
        <w:tc>
          <w:tcPr>
            <w:tcW w:w="741" w:type="dxa"/>
            <w:noWrap w:val="0"/>
            <w:vAlign w:val="center"/>
          </w:tcPr>
          <w:p w14:paraId="60778E37">
            <w:pPr>
              <w:widowControl w:val="0"/>
              <w:spacing w:line="240" w:lineRule="auto"/>
              <w:ind w:firstLine="0" w:firstLineChars="0"/>
              <w:jc w:val="center"/>
              <w:rPr>
                <w:rFonts w:ascii="Times New Roman" w:hAnsi="Times New Roman" w:eastAsia="仿宋" w:cs="Times New Roman"/>
                <w:strike/>
                <w:color w:val="000000"/>
                <w:kern w:val="2"/>
                <w:sz w:val="21"/>
                <w:szCs w:val="21"/>
              </w:rPr>
            </w:pPr>
            <w:r>
              <w:rPr>
                <w:rFonts w:ascii="Times New Roman" w:hAnsi="Times New Roman" w:eastAsia="仿宋" w:cs="Times New Roman"/>
                <w:color w:val="000000"/>
                <w:kern w:val="2"/>
                <w:sz w:val="21"/>
                <w:szCs w:val="21"/>
              </w:rPr>
              <w:t>%</w:t>
            </w:r>
          </w:p>
        </w:tc>
        <w:tc>
          <w:tcPr>
            <w:tcW w:w="1215" w:type="dxa"/>
            <w:noWrap w:val="0"/>
            <w:vAlign w:val="center"/>
          </w:tcPr>
          <w:p w14:paraId="6167A783">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68.4</w:t>
            </w:r>
          </w:p>
        </w:tc>
        <w:tc>
          <w:tcPr>
            <w:tcW w:w="1261" w:type="dxa"/>
            <w:noWrap w:val="0"/>
            <w:vAlign w:val="center"/>
          </w:tcPr>
          <w:p w14:paraId="18EE15FE">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100</w:t>
            </w:r>
          </w:p>
        </w:tc>
        <w:tc>
          <w:tcPr>
            <w:tcW w:w="1470" w:type="dxa"/>
            <w:noWrap w:val="0"/>
            <w:vAlign w:val="center"/>
          </w:tcPr>
          <w:p w14:paraId="5479E820">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预期性</w:t>
            </w:r>
          </w:p>
        </w:tc>
      </w:tr>
      <w:tr w14:paraId="283D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exact"/>
          <w:tblHeader/>
        </w:trPr>
        <w:tc>
          <w:tcPr>
            <w:tcW w:w="582" w:type="dxa"/>
            <w:noWrap w:val="0"/>
            <w:vAlign w:val="center"/>
          </w:tcPr>
          <w:p w14:paraId="3548C597">
            <w:pPr>
              <w:widowControl w:val="0"/>
              <w:adjustRightInd w:val="0"/>
              <w:snapToGrid w:val="0"/>
              <w:spacing w:line="560" w:lineRule="exact"/>
              <w:ind w:firstLine="0" w:firstLineChars="0"/>
              <w:jc w:val="center"/>
              <w:rPr>
                <w:rFonts w:ascii="Times New Roman" w:hAnsi="Times New Roman" w:eastAsia="仿宋" w:cs="Times New Roman"/>
                <w:b/>
                <w:bCs/>
                <w:color w:val="000000"/>
                <w:kern w:val="2"/>
                <w:sz w:val="21"/>
                <w:szCs w:val="21"/>
              </w:rPr>
            </w:pPr>
            <w:r>
              <w:rPr>
                <w:rFonts w:hint="eastAsia" w:ascii="Times New Roman" w:hAnsi="Times New Roman" w:eastAsia="仿宋" w:cs="Times New Roman"/>
                <w:b/>
                <w:bCs/>
                <w:color w:val="000000"/>
                <w:kern w:val="2"/>
                <w:sz w:val="21"/>
                <w:szCs w:val="21"/>
              </w:rPr>
              <w:t>社会</w:t>
            </w:r>
          </w:p>
          <w:p w14:paraId="2B6F85D3">
            <w:pPr>
              <w:widowControl w:val="0"/>
              <w:adjustRightInd w:val="0"/>
              <w:snapToGrid w:val="0"/>
              <w:spacing w:line="560" w:lineRule="exact"/>
              <w:ind w:firstLine="0" w:firstLineChars="0"/>
              <w:jc w:val="center"/>
              <w:rPr>
                <w:rFonts w:ascii="Times New Roman" w:hAnsi="Times New Roman" w:eastAsia="仿宋" w:cs="Times New Roman"/>
                <w:b/>
                <w:bCs/>
                <w:color w:val="000000"/>
                <w:kern w:val="2"/>
                <w:sz w:val="21"/>
                <w:szCs w:val="21"/>
              </w:rPr>
            </w:pPr>
            <w:r>
              <w:rPr>
                <w:rFonts w:hint="eastAsia" w:ascii="Times New Roman" w:hAnsi="Times New Roman" w:eastAsia="仿宋" w:cs="Times New Roman"/>
                <w:b/>
                <w:bCs/>
                <w:color w:val="000000"/>
                <w:kern w:val="2"/>
                <w:sz w:val="21"/>
                <w:szCs w:val="21"/>
              </w:rPr>
              <w:t>治理</w:t>
            </w:r>
          </w:p>
        </w:tc>
        <w:tc>
          <w:tcPr>
            <w:tcW w:w="507" w:type="dxa"/>
            <w:noWrap w:val="0"/>
            <w:vAlign w:val="center"/>
          </w:tcPr>
          <w:p w14:paraId="2C778BD8">
            <w:pPr>
              <w:widowControl w:val="0"/>
              <w:spacing w:line="560" w:lineRule="exact"/>
              <w:ind w:firstLine="0" w:firstLineChars="0"/>
              <w:jc w:val="center"/>
              <w:rPr>
                <w:rFonts w:ascii="Times New Roman" w:hAnsi="Times New Roman" w:eastAsia="仿宋" w:cs="Times New Roman"/>
                <w:bCs/>
                <w:color w:val="000000"/>
                <w:kern w:val="2"/>
                <w:sz w:val="21"/>
                <w:szCs w:val="21"/>
              </w:rPr>
            </w:pPr>
            <w:r>
              <w:rPr>
                <w:rFonts w:ascii="Times New Roman" w:hAnsi="Times New Roman" w:eastAsia="仿宋" w:cs="Times New Roman"/>
                <w:bCs/>
                <w:color w:val="000000"/>
                <w:kern w:val="2"/>
                <w:sz w:val="21"/>
                <w:szCs w:val="21"/>
              </w:rPr>
              <w:t>1</w:t>
            </w:r>
            <w:r>
              <w:rPr>
                <w:rFonts w:hint="eastAsia" w:ascii="Times New Roman" w:hAnsi="Times New Roman" w:eastAsia="仿宋" w:cs="Times New Roman"/>
                <w:bCs/>
                <w:color w:val="000000"/>
                <w:kern w:val="2"/>
                <w:sz w:val="21"/>
                <w:szCs w:val="21"/>
              </w:rPr>
              <w:t>7</w:t>
            </w:r>
          </w:p>
          <w:p w14:paraId="3B60B223">
            <w:pPr>
              <w:widowControl w:val="0"/>
              <w:spacing w:line="240" w:lineRule="auto"/>
              <w:ind w:firstLine="0" w:firstLineChars="0"/>
              <w:jc w:val="center"/>
              <w:rPr>
                <w:rFonts w:ascii="Times New Roman" w:hAnsi="Times New Roman" w:eastAsia="方正仿宋_GB2312" w:cs="Times New Roman"/>
                <w:color w:val="000000"/>
                <w:kern w:val="2"/>
                <w:sz w:val="21"/>
                <w:szCs w:val="21"/>
              </w:rPr>
            </w:pPr>
          </w:p>
        </w:tc>
        <w:tc>
          <w:tcPr>
            <w:tcW w:w="3132" w:type="dxa"/>
            <w:noWrap w:val="0"/>
            <w:vAlign w:val="center"/>
          </w:tcPr>
          <w:p w14:paraId="7F7D286B">
            <w:pPr>
              <w:widowControl w:val="0"/>
              <w:spacing w:line="240" w:lineRule="auto"/>
              <w:ind w:firstLine="0" w:firstLineChars="0"/>
              <w:jc w:val="left"/>
              <w:rPr>
                <w:rFonts w:ascii="Times New Roman" w:hAnsi="Times New Roman" w:eastAsia="仿宋" w:cs="Times New Roman"/>
                <w:bCs/>
                <w:color w:val="000000"/>
                <w:kern w:val="2"/>
                <w:sz w:val="21"/>
                <w:szCs w:val="21"/>
              </w:rPr>
            </w:pPr>
            <w:r>
              <w:rPr>
                <w:rFonts w:hint="eastAsia" w:ascii="Times New Roman" w:hAnsi="Times New Roman" w:eastAsia="仿宋" w:cs="Times New Roman"/>
                <w:bCs/>
                <w:color w:val="000000"/>
                <w:kern w:val="2"/>
                <w:sz w:val="21"/>
                <w:szCs w:val="21"/>
              </w:rPr>
              <w:t>无不良信用信息记录的社会组织占比</w:t>
            </w:r>
          </w:p>
          <w:p w14:paraId="7862E6EE">
            <w:pPr>
              <w:widowControl w:val="0"/>
              <w:spacing w:line="240" w:lineRule="auto"/>
              <w:ind w:firstLine="0" w:firstLineChars="0"/>
              <w:jc w:val="center"/>
              <w:rPr>
                <w:rFonts w:ascii="Times New Roman" w:hAnsi="Times New Roman" w:eastAsia="方正仿宋_GB2312" w:cs="Times New Roman"/>
                <w:color w:val="000000"/>
                <w:kern w:val="2"/>
                <w:sz w:val="21"/>
                <w:szCs w:val="21"/>
              </w:rPr>
            </w:pPr>
          </w:p>
        </w:tc>
        <w:tc>
          <w:tcPr>
            <w:tcW w:w="741" w:type="dxa"/>
            <w:noWrap w:val="0"/>
            <w:vAlign w:val="center"/>
          </w:tcPr>
          <w:p w14:paraId="540B66A5">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w:t>
            </w:r>
          </w:p>
          <w:p w14:paraId="313A0C3D">
            <w:pPr>
              <w:widowControl w:val="0"/>
              <w:spacing w:line="240" w:lineRule="auto"/>
              <w:ind w:firstLine="0" w:firstLineChars="0"/>
              <w:jc w:val="center"/>
              <w:rPr>
                <w:rFonts w:ascii="Times New Roman" w:hAnsi="Times New Roman" w:eastAsia="方正仿宋_GB2312" w:cs="Times New Roman"/>
                <w:color w:val="000000"/>
                <w:kern w:val="2"/>
                <w:sz w:val="21"/>
                <w:szCs w:val="21"/>
              </w:rPr>
            </w:pPr>
          </w:p>
        </w:tc>
        <w:tc>
          <w:tcPr>
            <w:tcW w:w="1215" w:type="dxa"/>
            <w:noWrap w:val="0"/>
            <w:vAlign w:val="center"/>
          </w:tcPr>
          <w:p w14:paraId="23D0B18B">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ascii="Times New Roman" w:hAnsi="Times New Roman" w:eastAsia="仿宋" w:cs="Times New Roman"/>
                <w:color w:val="000000"/>
                <w:kern w:val="2"/>
                <w:sz w:val="21"/>
                <w:szCs w:val="21"/>
              </w:rPr>
              <w:t>80</w:t>
            </w:r>
          </w:p>
          <w:p w14:paraId="6077AF7D">
            <w:pPr>
              <w:widowControl w:val="0"/>
              <w:spacing w:line="240" w:lineRule="auto"/>
              <w:ind w:firstLine="0" w:firstLineChars="0"/>
              <w:jc w:val="center"/>
              <w:rPr>
                <w:rFonts w:ascii="Times New Roman" w:hAnsi="Times New Roman" w:eastAsia="方正仿宋_GB2312" w:cs="Times New Roman"/>
                <w:color w:val="000000"/>
                <w:kern w:val="2"/>
                <w:sz w:val="21"/>
                <w:szCs w:val="21"/>
              </w:rPr>
            </w:pPr>
          </w:p>
        </w:tc>
        <w:tc>
          <w:tcPr>
            <w:tcW w:w="1261" w:type="dxa"/>
            <w:noWrap w:val="0"/>
            <w:vAlign w:val="center"/>
          </w:tcPr>
          <w:p w14:paraId="6F6EEF68">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w:t>
            </w:r>
            <w:r>
              <w:rPr>
                <w:rFonts w:ascii="Times New Roman" w:hAnsi="Times New Roman" w:eastAsia="仿宋" w:cs="Times New Roman"/>
                <w:color w:val="000000"/>
                <w:kern w:val="2"/>
                <w:sz w:val="21"/>
                <w:szCs w:val="21"/>
              </w:rPr>
              <w:t>93</w:t>
            </w:r>
          </w:p>
          <w:p w14:paraId="22DBE4B1">
            <w:pPr>
              <w:widowControl w:val="0"/>
              <w:spacing w:line="240" w:lineRule="auto"/>
              <w:ind w:firstLine="0" w:firstLineChars="0"/>
              <w:jc w:val="center"/>
              <w:rPr>
                <w:rFonts w:ascii="Times New Roman" w:hAnsi="Times New Roman" w:eastAsia="方正仿宋_GB2312" w:cs="Times New Roman"/>
                <w:color w:val="000000"/>
                <w:kern w:val="2"/>
                <w:sz w:val="21"/>
                <w:szCs w:val="21"/>
              </w:rPr>
            </w:pPr>
          </w:p>
        </w:tc>
        <w:tc>
          <w:tcPr>
            <w:tcW w:w="1470" w:type="dxa"/>
            <w:noWrap w:val="0"/>
            <w:vAlign w:val="center"/>
          </w:tcPr>
          <w:p w14:paraId="572D7AA6">
            <w:pPr>
              <w:widowControl w:val="0"/>
              <w:spacing w:line="240" w:lineRule="auto"/>
              <w:ind w:firstLine="0" w:firstLineChars="0"/>
              <w:jc w:val="center"/>
              <w:rPr>
                <w:rFonts w:ascii="Times New Roman" w:hAnsi="Times New Roman" w:eastAsia="仿宋" w:cs="Times New Roman"/>
                <w:color w:val="000000"/>
                <w:kern w:val="2"/>
                <w:sz w:val="21"/>
                <w:szCs w:val="21"/>
              </w:rPr>
            </w:pPr>
            <w:r>
              <w:rPr>
                <w:rFonts w:hint="eastAsia" w:ascii="Times New Roman" w:hAnsi="Times New Roman" w:eastAsia="仿宋" w:cs="Times New Roman"/>
                <w:color w:val="000000"/>
                <w:kern w:val="2"/>
                <w:sz w:val="21"/>
                <w:szCs w:val="21"/>
              </w:rPr>
              <w:t>预期性</w:t>
            </w:r>
          </w:p>
          <w:p w14:paraId="6E2C03B0">
            <w:pPr>
              <w:widowControl w:val="0"/>
              <w:spacing w:line="240" w:lineRule="auto"/>
              <w:ind w:firstLine="0" w:firstLineChars="0"/>
              <w:jc w:val="center"/>
              <w:rPr>
                <w:rFonts w:ascii="Times New Roman" w:hAnsi="Times New Roman" w:eastAsia="方正仿宋_GB2312" w:cs="Times New Roman"/>
                <w:color w:val="000000"/>
                <w:kern w:val="2"/>
                <w:sz w:val="21"/>
                <w:szCs w:val="21"/>
              </w:rPr>
            </w:pPr>
          </w:p>
        </w:tc>
      </w:tr>
    </w:tbl>
    <w:p w14:paraId="40C5130B">
      <w:pPr>
        <w:widowControl w:val="0"/>
        <w:spacing w:line="240" w:lineRule="auto"/>
        <w:ind w:firstLine="0" w:firstLineChars="0"/>
        <w:rPr>
          <w:rFonts w:ascii="Times New Roman" w:hAnsi="Times New Roman" w:eastAsia="仿宋_GB2312" w:cs="Times New Roman"/>
          <w:color w:val="000000"/>
          <w:kern w:val="2"/>
          <w:sz w:val="32"/>
          <w:szCs w:val="24"/>
        </w:rPr>
      </w:pPr>
    </w:p>
    <w:p w14:paraId="16594225">
      <w:pPr>
        <w:widowControl/>
        <w:spacing w:line="240" w:lineRule="auto"/>
        <w:ind w:firstLine="0" w:firstLineChars="0"/>
        <w:jc w:val="left"/>
        <w:rPr>
          <w:rFonts w:ascii="Times New Roman" w:hAnsi="Times New Roman" w:eastAsia="仿宋" w:cs="Times New Roman"/>
          <w:color w:val="000000"/>
          <w:kern w:val="0"/>
          <w:sz w:val="32"/>
          <w:szCs w:val="22"/>
        </w:rPr>
      </w:pPr>
      <w:r>
        <w:rPr>
          <w:rFonts w:ascii="Times New Roman" w:hAnsi="Times New Roman" w:eastAsia="仿宋" w:cs="Times New Roman"/>
          <w:color w:val="000000"/>
          <w:kern w:val="0"/>
          <w:sz w:val="32"/>
          <w:szCs w:val="22"/>
        </w:rPr>
        <w:br w:type="page"/>
      </w:r>
    </w:p>
    <w:p w14:paraId="18CD11A2">
      <w:pPr>
        <w:pStyle w:val="2"/>
        <w:keepNext/>
        <w:keepLines w:val="0"/>
        <w:pageBreakBefore w:val="0"/>
        <w:widowControl/>
        <w:kinsoku/>
        <w:wordWrap/>
        <w:overflowPunct/>
        <w:topLinePunct w:val="0"/>
        <w:autoSpaceDE/>
        <w:autoSpaceDN/>
        <w:bidi w:val="0"/>
        <w:adjustRightInd/>
        <w:snapToGrid/>
        <w:spacing w:before="0" w:after="0" w:line="560" w:lineRule="exact"/>
        <w:textAlignment w:val="auto"/>
        <w:rPr>
          <w:rFonts w:hint="eastAsia" w:hAnsi="方正小标宋简体" w:cs="方正小标宋简体"/>
          <w:kern w:val="0"/>
          <w:szCs w:val="32"/>
        </w:rPr>
      </w:pPr>
      <w:bookmarkStart w:id="77" w:name="_Toc231311701"/>
      <w:bookmarkStart w:id="78" w:name="_Toc12243"/>
      <w:bookmarkStart w:id="79" w:name="_Toc4586"/>
      <w:bookmarkStart w:id="80" w:name="_Toc15955"/>
      <w:bookmarkStart w:id="81" w:name="_Toc32205"/>
      <w:bookmarkStart w:id="82" w:name="_Toc24697"/>
      <w:bookmarkStart w:id="83" w:name="_Toc17270"/>
      <w:r>
        <w:rPr>
          <w:rFonts w:hint="eastAsia" w:hAnsi="方正小标宋简体" w:cs="方正小标宋简体"/>
          <w:kern w:val="0"/>
          <w:szCs w:val="32"/>
        </w:rPr>
        <w:t xml:space="preserve">第二章 </w:t>
      </w:r>
      <w:r>
        <w:rPr>
          <w:rFonts w:hint="eastAsia" w:hAnsi="方正小标宋简体" w:cs="方正小标宋简体"/>
          <w:kern w:val="0"/>
          <w:szCs w:val="32"/>
          <w:lang w:val="en-US" w:eastAsia="zh-CN"/>
        </w:rPr>
        <w:t>擦亮</w:t>
      </w:r>
      <w:r>
        <w:rPr>
          <w:rFonts w:hint="eastAsia" w:hAnsi="方正小标宋简体" w:cs="方正小标宋简体"/>
          <w:kern w:val="0"/>
          <w:szCs w:val="32"/>
        </w:rPr>
        <w:t>“津牌养老”服务品牌，推动</w:t>
      </w:r>
    </w:p>
    <w:p w14:paraId="6733FCE3">
      <w:pPr>
        <w:pStyle w:val="2"/>
        <w:keepNext/>
        <w:keepLines w:val="0"/>
        <w:pageBreakBefore w:val="0"/>
        <w:widowControl/>
        <w:kinsoku/>
        <w:wordWrap/>
        <w:overflowPunct/>
        <w:topLinePunct w:val="0"/>
        <w:autoSpaceDE/>
        <w:autoSpaceDN/>
        <w:bidi w:val="0"/>
        <w:adjustRightInd/>
        <w:snapToGrid/>
        <w:spacing w:before="0" w:after="0" w:line="560" w:lineRule="exact"/>
        <w:textAlignment w:val="auto"/>
        <w:rPr>
          <w:rFonts w:hint="eastAsia" w:hAnsi="方正小标宋简体" w:cs="方正小标宋简体"/>
          <w:kern w:val="0"/>
          <w:szCs w:val="32"/>
        </w:rPr>
      </w:pPr>
      <w:r>
        <w:rPr>
          <w:rFonts w:hint="eastAsia" w:hAnsi="方正小标宋简体" w:cs="方正小标宋简体"/>
          <w:kern w:val="0"/>
          <w:szCs w:val="32"/>
        </w:rPr>
        <w:t>老龄事业和养老服务高质量发展</w:t>
      </w:r>
      <w:bookmarkEnd w:id="77"/>
    </w:p>
    <w:p w14:paraId="628332DA">
      <w:pPr>
        <w:widowControl/>
        <w:spacing w:line="560" w:lineRule="exact"/>
        <w:ind w:firstLine="640" w:firstLineChars="200"/>
        <w:rPr>
          <w:rFonts w:ascii="Times New Roman" w:hAnsi="Times New Roman" w:eastAsia="仿宋" w:cs="Times New Roman"/>
          <w:color w:val="000000"/>
          <w:kern w:val="0"/>
          <w:sz w:val="32"/>
          <w:szCs w:val="22"/>
          <w:highlight w:val="yellow"/>
        </w:rPr>
      </w:pPr>
    </w:p>
    <w:p w14:paraId="1D40282F">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方正仿宋_GB2312" w:hAnsi="方正仿宋_GB2312" w:eastAsia="仿宋_GB2312" w:cs="方正仿宋_GB2312"/>
          <w:color w:val="000000"/>
          <w:kern w:val="0"/>
          <w:sz w:val="32"/>
          <w:szCs w:val="22"/>
        </w:rPr>
        <w:t>深入实施积极应对人口老龄化国家战略，</w:t>
      </w:r>
      <w:r>
        <w:rPr>
          <w:rFonts w:hint="eastAsia" w:ascii="方正仿宋_GB2312" w:hAnsi="方正仿宋_GB2312" w:eastAsia="仿宋_GB2312" w:cs="方正仿宋_GB2312"/>
          <w:color w:val="000000"/>
          <w:kern w:val="0"/>
          <w:sz w:val="32"/>
          <w:szCs w:val="22"/>
          <w:lang w:val="en-US" w:eastAsia="zh-CN"/>
        </w:rPr>
        <w:t>擦亮</w:t>
      </w:r>
      <w:r>
        <w:rPr>
          <w:rFonts w:hint="eastAsia" w:ascii="方正仿宋_GB2312" w:hAnsi="方正仿宋_GB2312" w:eastAsia="仿宋_GB2312" w:cs="方正仿宋_GB2312"/>
          <w:color w:val="000000"/>
          <w:kern w:val="0"/>
          <w:sz w:val="32"/>
          <w:szCs w:val="22"/>
        </w:rPr>
        <w:t>“津牌养老”服务品牌，健全普惠多元的养老服务体系。坚持事业引领与产业赋能协同，释放银发经济潜力，推动供给由“保基本”向“高品质”跃升，满足多样化生活需求。</w:t>
      </w:r>
    </w:p>
    <w:p w14:paraId="55010F9C">
      <w:pPr>
        <w:widowControl/>
        <w:spacing w:line="560" w:lineRule="exact"/>
        <w:ind w:firstLine="0" w:firstLineChars="0"/>
        <w:rPr>
          <w:rFonts w:ascii="Times New Roman" w:hAnsi="Times New Roman" w:eastAsia="仿宋" w:cs="Times New Roman"/>
          <w:color w:val="000000"/>
          <w:kern w:val="0"/>
          <w:sz w:val="32"/>
          <w:szCs w:val="22"/>
          <w:highlight w:val="yellow"/>
        </w:rPr>
      </w:pPr>
    </w:p>
    <w:p w14:paraId="638EE939">
      <w:pPr>
        <w:pStyle w:val="3"/>
        <w:keepNext/>
        <w:keepLines w:val="0"/>
        <w:pageBreakBefore w:val="0"/>
        <w:widowControl/>
        <w:kinsoku/>
        <w:wordWrap/>
        <w:overflowPunct/>
        <w:topLinePunct w:val="0"/>
        <w:autoSpaceDE/>
        <w:autoSpaceDN/>
        <w:bidi w:val="0"/>
        <w:adjustRightInd/>
        <w:snapToGrid/>
        <w:spacing w:before="0" w:after="0"/>
        <w:jc w:val="center"/>
        <w:textAlignment w:val="auto"/>
        <w:rPr>
          <w:rFonts w:hint="eastAsia" w:ascii="黑体" w:hAnsi="黑体" w:cs="黑体"/>
          <w:kern w:val="0"/>
          <w:szCs w:val="32"/>
        </w:rPr>
      </w:pPr>
      <w:bookmarkStart w:id="84" w:name="_Toc231311702"/>
      <w:r>
        <w:rPr>
          <w:rFonts w:hint="eastAsia" w:ascii="黑体" w:hAnsi="黑体" w:cs="黑体"/>
          <w:kern w:val="0"/>
          <w:szCs w:val="32"/>
        </w:rPr>
        <w:t xml:space="preserve">第一节 </w:t>
      </w:r>
      <w:r>
        <w:rPr>
          <w:rFonts w:cs="Times New Roman"/>
          <w:kern w:val="0"/>
        </w:rPr>
        <w:t xml:space="preserve"> </w:t>
      </w:r>
      <w:bookmarkEnd w:id="78"/>
      <w:bookmarkEnd w:id="79"/>
      <w:r>
        <w:rPr>
          <w:rFonts w:hint="eastAsia" w:ascii="黑体" w:hAnsi="黑体" w:cs="黑体"/>
          <w:kern w:val="0"/>
          <w:szCs w:val="32"/>
        </w:rPr>
        <w:t>积极应对人口老龄化国家战略，共建老年友好型社会</w:t>
      </w:r>
      <w:bookmarkEnd w:id="80"/>
      <w:bookmarkEnd w:id="81"/>
      <w:bookmarkEnd w:id="82"/>
      <w:bookmarkEnd w:id="83"/>
      <w:bookmarkEnd w:id="84"/>
    </w:p>
    <w:p w14:paraId="0FA3D54F">
      <w:pPr>
        <w:widowControl/>
        <w:numPr>
          <w:ilvl w:val="0"/>
          <w:numId w:val="0"/>
        </w:numPr>
        <w:spacing w:line="560" w:lineRule="exact"/>
        <w:ind w:firstLine="640" w:firstLineChars="200"/>
        <w:rPr>
          <w:rFonts w:hint="eastAsia" w:ascii="黑体" w:hAnsi="黑体" w:eastAsia="仿宋" w:cs="黑体"/>
          <w:color w:val="000000"/>
          <w:kern w:val="0"/>
          <w:sz w:val="32"/>
          <w:szCs w:val="32"/>
        </w:rPr>
      </w:pPr>
    </w:p>
    <w:p w14:paraId="0D15C497">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1.统筹推动老龄事业高质量发展。</w:t>
      </w:r>
      <w:r>
        <w:rPr>
          <w:rFonts w:hint="eastAsia" w:ascii="方正仿宋_GB2312" w:hAnsi="方正仿宋_GB2312" w:eastAsia="仿宋_GB2312" w:cs="方正仿宋_GB2312"/>
          <w:color w:val="000000"/>
          <w:kern w:val="0"/>
          <w:sz w:val="32"/>
          <w:szCs w:val="22"/>
        </w:rPr>
        <w:t>围绕实施积极应对人口老龄化国家战略，贯彻落实积极老龄观、健康老龄化理念，发挥老龄委、老龄办职能作用，健全完善老龄政策体系，着力增强老龄工作制度体系的整体性、协同性，开展为老年人办实事活动，推动工作重心下移、资源下沉，形成上下贯通、左右协同、齐抓共管的老龄工作格局，推动老龄事业高质量发展。加强老年人口状况、老龄事业发展统计调查。扎实推进基层老年协会建设，提升基层老年协会规范化建设水平，发挥好基层老年协会作用。</w:t>
      </w:r>
    </w:p>
    <w:p w14:paraId="661843BB">
      <w:pPr>
        <w:widowControl/>
        <w:tabs>
          <w:tab w:val="left" w:pos="8320"/>
        </w:tabs>
        <w:spacing w:before="4" w:line="560" w:lineRule="exact"/>
        <w:ind w:left="23" w:right="-11"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2.保障老年人合法权益。</w:t>
      </w:r>
      <w:r>
        <w:rPr>
          <w:rFonts w:hint="eastAsia" w:ascii="方正仿宋_GB2312" w:hAnsi="方正仿宋_GB2312" w:eastAsia="仿宋_GB2312" w:cs="方正仿宋_GB2312"/>
          <w:color w:val="000000"/>
          <w:kern w:val="0"/>
          <w:sz w:val="32"/>
          <w:szCs w:val="22"/>
          <w:lang w:eastAsia="zh-CN"/>
        </w:rPr>
        <w:t>推动</w:t>
      </w:r>
      <w:r>
        <w:rPr>
          <w:rFonts w:hint="eastAsia" w:ascii="方正仿宋_GB2312" w:hAnsi="方正仿宋_GB2312" w:eastAsia="仿宋_GB2312" w:cs="方正仿宋_GB2312"/>
          <w:color w:val="000000"/>
          <w:kern w:val="0"/>
          <w:sz w:val="32"/>
          <w:szCs w:val="22"/>
        </w:rPr>
        <w:t>修订《天津市</w:t>
      </w:r>
      <w:r>
        <w:rPr>
          <w:rFonts w:hint="eastAsia" w:ascii="方正仿宋_GB2312" w:hAnsi="方正仿宋_GB2312" w:eastAsia="仿宋_GB2312" w:cs="方正仿宋_GB2312"/>
          <w:color w:val="000000"/>
          <w:kern w:val="0"/>
          <w:sz w:val="32"/>
          <w:szCs w:val="22"/>
          <w:lang w:val="en-US" w:eastAsia="zh-CN"/>
        </w:rPr>
        <w:t>实施</w:t>
      </w:r>
      <w:r>
        <w:rPr>
          <w:rFonts w:hint="eastAsia" w:ascii="方正仿宋_GB2312" w:hAnsi="方正仿宋_GB2312" w:eastAsia="仿宋_GB2312" w:cs="方正仿宋_GB2312"/>
          <w:color w:val="000000"/>
          <w:kern w:val="0"/>
          <w:sz w:val="32"/>
          <w:szCs w:val="22"/>
        </w:rPr>
        <w:t>〈中华人民共和国老年人权益保障法〉办法》。推动健全老年人权益保障机制，协调做好涉老矛盾纠纷预警、排查、化解等工作，优化老年人公共法律服务供给，依法打击侵害老年人人身和财产权益违法犯罪行为。建立健全老年人意定监护实施机制，充分发挥社会组织作用，探索老年人意定监护社会服务。加大普法宣传力度，提高老年人运用法律手段保护自身合法权益的意识，提升老年人识骗防骗能力。</w:t>
      </w:r>
    </w:p>
    <w:p w14:paraId="23316756">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3.推进适老环境建设。</w:t>
      </w:r>
      <w:r>
        <w:rPr>
          <w:rFonts w:hint="eastAsia" w:ascii="方正仿宋_GB2312" w:hAnsi="方正仿宋_GB2312" w:eastAsia="仿宋_GB2312" w:cs="方正仿宋_GB2312"/>
          <w:color w:val="000000"/>
          <w:kern w:val="0"/>
          <w:sz w:val="32"/>
          <w:szCs w:val="22"/>
        </w:rPr>
        <w:t>持续推进全国示范性老年友好型社区建设，发挥其示范带动作用。深入开展人口老龄化国情教育，创新教育方式和内容，提升教育的覆盖面、有效性和针对性。持续开展“敬老月”，积极发动社会各界开展敬老爱老助老活动，为老年人办实事、解难题。弘扬中华民族孝亲敬老传统美德，大力宣传全国“敬老文明号”、全国“敬老爱老助老模范人物”先进事迹，营造尊老、敬老、爱老、助老浓厚氛围。</w:t>
      </w:r>
    </w:p>
    <w:p w14:paraId="354C4737">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4.促进老年人社会参与。</w:t>
      </w:r>
      <w:r>
        <w:rPr>
          <w:rFonts w:hint="eastAsia" w:ascii="方正仿宋_GB2312" w:hAnsi="方正仿宋_GB2312" w:eastAsia="仿宋_GB2312" w:cs="方正仿宋_GB2312"/>
          <w:color w:val="000000"/>
          <w:kern w:val="0"/>
          <w:sz w:val="32"/>
          <w:szCs w:val="22"/>
        </w:rPr>
        <w:t>健全老年人社会参与机制和政策</w:t>
      </w:r>
      <w:r>
        <w:rPr>
          <w:rFonts w:hint="eastAsia" w:ascii="方正仿宋_GB2312" w:hAnsi="方正仿宋_GB2312" w:eastAsia="仿宋_GB2312" w:cs="方正仿宋_GB2312"/>
          <w:color w:val="000000"/>
          <w:spacing w:val="7"/>
          <w:kern w:val="0"/>
          <w:sz w:val="32"/>
          <w:szCs w:val="22"/>
        </w:rPr>
        <w:t>体系，深入开展“银龄行动”，支持老年人以志愿服务形式</w:t>
      </w:r>
      <w:r>
        <w:rPr>
          <w:rFonts w:hint="eastAsia" w:ascii="方正仿宋_GB2312" w:hAnsi="方正仿宋_GB2312" w:eastAsia="仿宋_GB2312" w:cs="方正仿宋_GB2312"/>
          <w:color w:val="000000"/>
          <w:kern w:val="0"/>
          <w:sz w:val="32"/>
          <w:szCs w:val="22"/>
        </w:rPr>
        <w:t>参与经济社会发展。持续开展“智慧助老”行动，深化“寸草心、手足情”助老志愿服务活动，引导全社会关心帮助老年人。扩大基层老年人社会参与场地资源供给。因地制宜建设综合为老服务中心，强化多元为老服务供给。开展“乐享银龄”系列活动，</w:t>
      </w:r>
      <w:r>
        <w:rPr>
          <w:rFonts w:hint="eastAsia" w:ascii="方正仿宋_GB2312" w:hAnsi="方正仿宋_GB2312" w:eastAsia="仿宋_GB2312" w:cs="方正仿宋_GB2312"/>
          <w:color w:val="000000"/>
          <w:spacing w:val="8"/>
          <w:kern w:val="0"/>
          <w:sz w:val="32"/>
          <w:szCs w:val="22"/>
        </w:rPr>
        <w:t>丰富老年人精神文化生活</w:t>
      </w:r>
      <w:r>
        <w:rPr>
          <w:rFonts w:hint="eastAsia" w:ascii="方正仿宋_GB2312" w:hAnsi="方正仿宋_GB2312" w:eastAsia="仿宋_GB2312" w:cs="方正仿宋_GB2312"/>
          <w:color w:val="000000"/>
          <w:spacing w:val="6"/>
          <w:kern w:val="0"/>
          <w:sz w:val="32"/>
          <w:szCs w:val="22"/>
        </w:rPr>
        <w:t>。</w:t>
      </w:r>
      <w:r>
        <w:rPr>
          <w:rFonts w:hint="eastAsia" w:ascii="方正仿宋_GB2312" w:hAnsi="方正仿宋_GB2312" w:eastAsia="仿宋_GB2312" w:cs="方正仿宋_GB2312"/>
          <w:color w:val="000000"/>
          <w:spacing w:val="7"/>
          <w:kern w:val="0"/>
          <w:sz w:val="32"/>
          <w:szCs w:val="22"/>
        </w:rPr>
        <w:t>发挥村（居）委会中老年人和妇女儿童委员会作用，引导各类涉</w:t>
      </w:r>
      <w:r>
        <w:rPr>
          <w:rFonts w:hint="eastAsia" w:ascii="方正仿宋_GB2312" w:hAnsi="方正仿宋_GB2312" w:eastAsia="仿宋_GB2312" w:cs="方正仿宋_GB2312"/>
          <w:color w:val="000000"/>
          <w:kern w:val="0"/>
          <w:sz w:val="32"/>
          <w:szCs w:val="22"/>
        </w:rPr>
        <w:t>老社会组织发挥特色优势。</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67A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4" w:hRule="atLeast"/>
        </w:trPr>
        <w:tc>
          <w:tcPr>
            <w:tcW w:w="8522" w:type="dxa"/>
            <w:noWrap w:val="0"/>
            <w:vAlign w:val="top"/>
          </w:tcPr>
          <w:p w14:paraId="7D7B619B">
            <w:pPr>
              <w:pStyle w:val="6"/>
              <w:widowControl/>
              <w:rPr>
                <w:rFonts w:hint="eastAsia" w:ascii="仿宋_GB2312" w:hAnsi="仿宋_GB2312" w:eastAsia="仿宋_GB2312" w:cs="仿宋_GB2312"/>
                <w:color w:val="000000"/>
                <w:kern w:val="0"/>
              </w:rPr>
            </w:pPr>
            <w:bookmarkStart w:id="85" w:name="_Hlk229749623"/>
            <w:r>
              <w:rPr>
                <w:rFonts w:hint="eastAsia" w:ascii="仿宋_GB2312" w:hAnsi="仿宋_GB2312" w:eastAsia="仿宋_GB2312" w:cs="仿宋_GB2312"/>
                <w:color w:val="000000"/>
                <w:kern w:val="0"/>
              </w:rPr>
              <w:t>专栏</w:t>
            </w:r>
            <w:r>
              <w:rPr>
                <w:rFonts w:hint="default" w:ascii="Times New Roman" w:hAnsi="Times New Roman" w:eastAsia="仿宋_GB2312" w:cs="Times New Roman"/>
                <w:color w:val="000000"/>
                <w:kern w:val="0"/>
              </w:rPr>
              <w:t>1</w:t>
            </w:r>
            <w:r>
              <w:rPr>
                <w:rFonts w:hint="eastAsia" w:ascii="仿宋_GB2312" w:hAnsi="仿宋_GB2312" w:eastAsia="仿宋_GB2312" w:cs="仿宋_GB2312"/>
                <w:color w:val="000000"/>
                <w:kern w:val="0"/>
              </w:rPr>
              <w:t>：老年友好型社会建设</w:t>
            </w:r>
          </w:p>
          <w:p w14:paraId="19D7B66B">
            <w:pPr>
              <w:pStyle w:val="8"/>
              <w:widowControl/>
              <w:jc w:val="both"/>
              <w:rPr>
                <w:rFonts w:hint="eastAsia"/>
                <w:color w:val="000000"/>
                <w:kern w:val="0"/>
              </w:rPr>
            </w:pPr>
            <w:r>
              <w:rPr>
                <w:rFonts w:ascii="Times New Roman" w:hAnsi="Times New Roman"/>
                <w:color w:val="000000"/>
                <w:kern w:val="0"/>
              </w:rPr>
              <w:t>01</w:t>
            </w:r>
            <w:r>
              <w:rPr>
                <w:rFonts w:hint="eastAsia" w:ascii="Times New Roman" w:hAnsi="Times New Roman"/>
                <w:color w:val="000000"/>
                <w:kern w:val="0"/>
              </w:rPr>
              <w:t xml:space="preserve"> </w:t>
            </w:r>
            <w:r>
              <w:rPr>
                <w:rFonts w:hint="eastAsia" w:ascii="方正仿宋_GB2312" w:hAnsi="方正仿宋_GB2312" w:eastAsia="仿宋_GB2312" w:cs="方正仿宋_GB2312"/>
                <w:color w:val="000000"/>
                <w:kern w:val="0"/>
              </w:rPr>
              <w:t>发挥好市老龄工作委员会作用。立足老龄委综合协调、督促指导、组织推动的职能定位，着力推进实施积极应对人口老龄化国家战略，加强统筹协调，强化协同联动，整合多方资源，</w:t>
            </w:r>
            <w:r>
              <w:rPr>
                <w:rFonts w:hint="eastAsia" w:ascii="方正仿宋_GB2312" w:hAnsi="方正仿宋_GB2312" w:eastAsia="仿宋_GB2312" w:cs="方正仿宋_GB2312"/>
                <w:color w:val="000000"/>
                <w:kern w:val="0"/>
                <w:lang w:bidi="ar"/>
              </w:rPr>
              <w:t>健全老龄工作推进机制，不断完善老龄工作政策制度体系、服务保障体系、监督管理体系、社会参与体系，推动各项老龄政策落地见效，搭建上下联动、左右协同的工作格局，推动老龄事业高质量发展。</w:t>
            </w:r>
          </w:p>
          <w:p w14:paraId="1BFCAA24">
            <w:pPr>
              <w:pStyle w:val="8"/>
              <w:widowControl/>
              <w:jc w:val="both"/>
              <w:rPr>
                <w:rFonts w:hint="eastAsia"/>
                <w:color w:val="000000"/>
                <w:kern w:val="0"/>
              </w:rPr>
            </w:pPr>
            <w:r>
              <w:rPr>
                <w:rFonts w:ascii="Times New Roman" w:hAnsi="Times New Roman"/>
                <w:color w:val="000000"/>
                <w:kern w:val="0"/>
              </w:rPr>
              <w:t>02</w:t>
            </w:r>
            <w:r>
              <w:rPr>
                <w:rFonts w:hint="eastAsia" w:ascii="Times New Roman" w:hAnsi="Times New Roman"/>
                <w:color w:val="000000"/>
                <w:kern w:val="0"/>
              </w:rPr>
              <w:t xml:space="preserve"> </w:t>
            </w:r>
            <w:r>
              <w:rPr>
                <w:rFonts w:hint="eastAsia" w:ascii="方正仿宋_GB2312" w:hAnsi="方正仿宋_GB2312" w:eastAsia="仿宋_GB2312" w:cs="方正仿宋_GB2312"/>
                <w:color w:val="000000"/>
                <w:kern w:val="0"/>
              </w:rPr>
              <w:t>加强基层老年协会建设。强化政策引领，研究制定专项政策，加强指导管理，有效整合资源，强化支持保障，明确新时代培育发展基层老年协会的发展路径。大力提升基层老年协会的规范化建设水平和专业化服务能力，支持基层老年协会发挥好自我管理、自我服务、自我教育和服务社会的功能，引导动员老年人积极参与志愿服务、基层治理、移风易俗、互助养老等活动。</w:t>
            </w:r>
          </w:p>
          <w:p w14:paraId="4F883E9B">
            <w:pPr>
              <w:pStyle w:val="8"/>
              <w:widowControl/>
              <w:jc w:val="both"/>
              <w:rPr>
                <w:rFonts w:hint="eastAsia"/>
                <w:color w:val="000000"/>
                <w:kern w:val="0"/>
              </w:rPr>
            </w:pPr>
            <w:r>
              <w:rPr>
                <w:rFonts w:ascii="Times New Roman" w:hAnsi="Times New Roman" w:eastAsia="楷体"/>
                <w:color w:val="000000"/>
                <w:kern w:val="0"/>
              </w:rPr>
              <w:t>03</w:t>
            </w:r>
            <w:r>
              <w:rPr>
                <w:rFonts w:hint="eastAsia" w:ascii="Times New Roman" w:hAnsi="Times New Roman" w:eastAsia="楷体"/>
                <w:color w:val="000000"/>
                <w:kern w:val="0"/>
              </w:rPr>
              <w:t xml:space="preserve"> </w:t>
            </w:r>
            <w:r>
              <w:rPr>
                <w:rFonts w:hint="eastAsia" w:ascii="方正仿宋_GB2312" w:hAnsi="方正仿宋_GB2312" w:eastAsia="仿宋_GB2312" w:cs="方正仿宋_GB2312"/>
                <w:color w:val="000000"/>
                <w:kern w:val="0"/>
              </w:rPr>
              <w:t>深入开展“银龄行动”。推动新时代“银龄行动”提质增效，健全组织动员、服务供给、供需对接等机制，发展银龄志愿服务队伍，健全运行管理、制度保障与激励体系，大力培育发展服务品牌，促进形成银龄行动可持续、高质量的发展格局。引导涉老社会组织广泛开展银龄行动项目，着力打造专业化、有特色、规模大的品牌化项目。</w:t>
            </w:r>
          </w:p>
        </w:tc>
      </w:tr>
      <w:bookmarkEnd w:id="85"/>
    </w:tbl>
    <w:p w14:paraId="24D01927">
      <w:pPr>
        <w:widowControl/>
        <w:spacing w:line="560" w:lineRule="exact"/>
        <w:ind w:firstLine="0" w:firstLineChars="0"/>
        <w:rPr>
          <w:rFonts w:ascii="Times New Roman" w:hAnsi="Times New Roman" w:eastAsia="仿宋" w:cs="Times New Roman"/>
          <w:color w:val="000000"/>
          <w:kern w:val="0"/>
          <w:sz w:val="32"/>
          <w:szCs w:val="22"/>
        </w:rPr>
      </w:pPr>
      <w:bookmarkStart w:id="86" w:name="_Toc10765"/>
      <w:bookmarkStart w:id="87" w:name="_Toc23483"/>
      <w:bookmarkStart w:id="88" w:name="_Toc28053"/>
      <w:bookmarkStart w:id="89" w:name="_Toc29768"/>
    </w:p>
    <w:tbl>
      <w:tblPr>
        <w:tblStyle w:val="13"/>
        <w:tblpPr w:leftFromText="180" w:rightFromText="180" w:vertAnchor="text" w:horzAnchor="margin" w:tblpY="-4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7DE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0" w:hRule="atLeast"/>
        </w:trPr>
        <w:tc>
          <w:tcPr>
            <w:tcW w:w="8522" w:type="dxa"/>
            <w:noWrap w:val="0"/>
            <w:vAlign w:val="top"/>
          </w:tcPr>
          <w:p w14:paraId="4DCEBFCF">
            <w:pPr>
              <w:pStyle w:val="8"/>
              <w:framePr w:hSpace="0" w:wrap="auto" w:vAnchor="margin" w:hAnchor="text" w:xAlign="left" w:yAlign="inline"/>
              <w:widowControl/>
              <w:jc w:val="both"/>
              <w:rPr>
                <w:rFonts w:cs="Times New Roman"/>
                <w:kern w:val="0"/>
              </w:rPr>
            </w:pPr>
            <w:r>
              <w:rPr>
                <w:rFonts w:ascii="Times New Roman" w:hAnsi="Times New Roman"/>
                <w:color w:val="000000"/>
                <w:kern w:val="0"/>
              </w:rPr>
              <w:t>04</w:t>
            </w:r>
            <w:r>
              <w:rPr>
                <w:rFonts w:hint="eastAsia" w:ascii="Times New Roman" w:hAnsi="Times New Roman"/>
                <w:color w:val="000000"/>
                <w:kern w:val="0"/>
              </w:rPr>
              <w:t xml:space="preserve"> </w:t>
            </w:r>
            <w:r>
              <w:rPr>
                <w:rFonts w:hint="eastAsia" w:ascii="方正仿宋_GB2312" w:hAnsi="方正仿宋_GB2312" w:eastAsia="仿宋_GB2312" w:cs="方正仿宋_GB2312"/>
                <w:color w:val="000000"/>
                <w:kern w:val="0"/>
              </w:rPr>
              <w:t>推进老年人意定监护制度实施。深入贯彻落实《中华人民共和国民法典》规定，加强老年</w:t>
            </w:r>
            <w:r>
              <w:rPr>
                <w:rFonts w:hint="eastAsia" w:ascii="方正仿宋_GB2312" w:hAnsi="方正仿宋_GB2312" w:eastAsia="仿宋_GB2312" w:cs="方正仿宋_GB2312"/>
                <w:color w:val="000000"/>
                <w:kern w:val="0"/>
                <w:lang w:eastAsia="zh-CN"/>
              </w:rPr>
              <w:t>人</w:t>
            </w:r>
            <w:r>
              <w:rPr>
                <w:rFonts w:hint="eastAsia" w:ascii="方正仿宋_GB2312" w:hAnsi="方正仿宋_GB2312" w:eastAsia="仿宋_GB2312" w:cs="方正仿宋_GB2312"/>
                <w:color w:val="000000"/>
                <w:kern w:val="0"/>
              </w:rPr>
              <w:t>意定监护制度普法宣传，依托社区、养老机构、公共法律服务站点开展政策解读，让老年人了解意定监护的内容、形式、流程等关键信息，行使好意定监护权。探索完善意定监护实施机制，明晰各方权利义务关系，保护被监护人合法权益。支持符合条件的社会组织开展意定监护相关服务。</w:t>
            </w:r>
          </w:p>
        </w:tc>
      </w:tr>
    </w:tbl>
    <w:p w14:paraId="64776D96">
      <w:pPr>
        <w:widowControl/>
        <w:bidi w:val="0"/>
        <w:spacing w:line="560" w:lineRule="exact"/>
        <w:ind w:firstLine="640" w:firstLineChars="200"/>
        <w:rPr>
          <w:rFonts w:ascii="Times New Roman" w:hAnsi="Times New Roman" w:eastAsia="仿宋" w:cs="Times New Roman"/>
          <w:color w:val="000000"/>
          <w:kern w:val="0"/>
          <w:sz w:val="32"/>
          <w:szCs w:val="22"/>
        </w:rPr>
      </w:pPr>
    </w:p>
    <w:p w14:paraId="4F4C918A">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cs="黑体"/>
          <w:kern w:val="0"/>
        </w:rPr>
      </w:pPr>
      <w:bookmarkStart w:id="90" w:name="_Toc231311703"/>
      <w:r>
        <w:rPr>
          <w:rFonts w:hint="eastAsia" w:ascii="黑体" w:hAnsi="黑体" w:cs="黑体"/>
          <w:kern w:val="0"/>
        </w:rPr>
        <w:t xml:space="preserve">第二节 </w:t>
      </w:r>
      <w:r>
        <w:rPr>
          <w:rFonts w:hint="eastAsia" w:ascii="黑体" w:hAnsi="黑体" w:cs="Times New Roman"/>
          <w:kern w:val="0"/>
        </w:rPr>
        <w:t xml:space="preserve"> </w:t>
      </w:r>
      <w:r>
        <w:rPr>
          <w:rFonts w:hint="eastAsia" w:ascii="黑体" w:hAnsi="黑体" w:cs="黑体"/>
          <w:kern w:val="0"/>
        </w:rPr>
        <w:t>健全普惠性、基础性、兜底性养老服务体系</w:t>
      </w:r>
      <w:bookmarkEnd w:id="86"/>
      <w:bookmarkEnd w:id="87"/>
      <w:bookmarkEnd w:id="88"/>
      <w:bookmarkEnd w:id="89"/>
      <w:bookmarkEnd w:id="90"/>
    </w:p>
    <w:p w14:paraId="1712B400">
      <w:pPr>
        <w:widowControl/>
        <w:numPr>
          <w:ilvl w:val="0"/>
          <w:numId w:val="0"/>
        </w:numPr>
        <w:spacing w:line="240" w:lineRule="auto"/>
        <w:ind w:firstLine="640" w:firstLineChars="200"/>
        <w:rPr>
          <w:rFonts w:hint="eastAsia" w:ascii="黑体" w:hAnsi="黑体" w:eastAsia="仿宋" w:cs="黑体"/>
          <w:color w:val="000000"/>
          <w:kern w:val="0"/>
          <w:sz w:val="32"/>
          <w:szCs w:val="22"/>
        </w:rPr>
      </w:pPr>
    </w:p>
    <w:p w14:paraId="35AA08DD">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5.强化养老机构服务能力建设。</w:t>
      </w:r>
      <w:r>
        <w:rPr>
          <w:rFonts w:hint="eastAsia" w:ascii="方正仿宋_GB2312" w:hAnsi="方正仿宋_GB2312" w:eastAsia="仿宋_GB2312" w:cs="方正仿宋_GB2312"/>
          <w:color w:val="000000"/>
          <w:kern w:val="0"/>
          <w:sz w:val="32"/>
          <w:szCs w:val="22"/>
        </w:rPr>
        <w:t>按照兜底保障型、普惠支持型、完全市场型三类推进养老机构分类管理，研究制定普惠支持型养老机构支持办法。深化公办养老机构运营改革，鼓励公办养老机构在做好兜底保障基础上，向社会开放空余床位，扩大普惠养老服务。鼓励社会力量投资养老行业，引导养老机构将专业服务向周边社区辐射延伸，加强失能、残疾、认知障碍等老年人的照护服务，鼓励开展安宁疗护服务。支持天津康养集团推进下属康惠养老公司专业化发展，开展康养、旅居、辅具租赁、认知障碍照护服务。推动公建养老机构交由国企运营，培育</w:t>
      </w:r>
      <w:r>
        <w:rPr>
          <w:rFonts w:hint="eastAsia" w:ascii="Times New Roman" w:hAnsi="Times New Roman" w:eastAsia="仿宋" w:cs="Times New Roman"/>
          <w:color w:val="000000"/>
          <w:kern w:val="0"/>
          <w:sz w:val="32"/>
          <w:szCs w:val="22"/>
        </w:rPr>
        <w:t>4</w:t>
      </w:r>
      <w:r>
        <w:rPr>
          <w:rFonts w:hint="eastAsia" w:ascii="方正仿宋_GB2312" w:hAnsi="方正仿宋_GB2312" w:eastAsia="仿宋_GB2312" w:cs="方正仿宋_GB2312"/>
          <w:color w:val="000000"/>
          <w:kern w:val="0"/>
          <w:sz w:val="32"/>
          <w:szCs w:val="22"/>
        </w:rPr>
        <w:t>至</w:t>
      </w:r>
      <w:r>
        <w:rPr>
          <w:rFonts w:hint="eastAsia" w:ascii="Times New Roman" w:hAnsi="Times New Roman" w:eastAsia="仿宋" w:cs="Times New Roman"/>
          <w:color w:val="000000"/>
          <w:kern w:val="0"/>
          <w:sz w:val="32"/>
          <w:szCs w:val="22"/>
        </w:rPr>
        <w:t>5</w:t>
      </w:r>
      <w:r>
        <w:rPr>
          <w:rFonts w:hint="eastAsia" w:ascii="方正仿宋_GB2312" w:hAnsi="方正仿宋_GB2312" w:eastAsia="仿宋_GB2312" w:cs="方正仿宋_GB2312"/>
          <w:color w:val="000000"/>
          <w:kern w:val="0"/>
          <w:sz w:val="32"/>
          <w:szCs w:val="22"/>
        </w:rPr>
        <w:t>家区级国企参与养老服务，推进连锁化、规模化发展。落实困难老年人集中照护服务，探索“老年父母</w:t>
      </w:r>
      <w:r>
        <w:rPr>
          <w:rFonts w:hint="default" w:ascii="Times New Roman" w:hAnsi="Times New Roman" w:eastAsia="仿宋_GB2312" w:cs="Times New Roman"/>
          <w:color w:val="000000"/>
          <w:kern w:val="0"/>
          <w:sz w:val="32"/>
          <w:szCs w:val="22"/>
        </w:rPr>
        <w:t>＋</w:t>
      </w:r>
      <w:r>
        <w:rPr>
          <w:rFonts w:hint="eastAsia" w:ascii="方正仿宋_GB2312" w:hAnsi="方正仿宋_GB2312" w:eastAsia="仿宋_GB2312" w:cs="方正仿宋_GB2312"/>
          <w:color w:val="000000"/>
          <w:kern w:val="0"/>
          <w:sz w:val="32"/>
          <w:szCs w:val="22"/>
        </w:rPr>
        <w:t>残疾子女”家庭共同入住养老机构或其他照护机构，支持有能力的养老机构收住重度残疾人。</w:t>
      </w:r>
    </w:p>
    <w:p w14:paraId="4E4B3F24">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32"/>
        </w:rPr>
        <w:t>6.完善三级养老服务网络。</w:t>
      </w:r>
      <w:r>
        <w:rPr>
          <w:rFonts w:hint="eastAsia" w:ascii="方正仿宋_GB2312" w:hAnsi="方正仿宋_GB2312" w:eastAsia="仿宋_GB2312" w:cs="方正仿宋_GB2312"/>
          <w:color w:val="000000"/>
          <w:kern w:val="0"/>
          <w:sz w:val="32"/>
          <w:szCs w:val="22"/>
        </w:rPr>
        <w:t>依托区级养老服务指导中心建设区级综合养老服务管理平台，整合优化养老服务人员实训、养老服务评估、老年用品展示、养老服务示范、养老服务指导、信息平台等功能。依托养老服务综合体加强区域养老服务能力建设，</w:t>
      </w:r>
      <w:r>
        <w:rPr>
          <w:rFonts w:hint="eastAsia" w:ascii="方正仿宋_GB2312" w:hAnsi="方正仿宋_GB2312" w:eastAsia="仿宋_GB2312" w:cs="方正仿宋_GB2312"/>
          <w:color w:val="000000"/>
          <w:kern w:val="0"/>
          <w:sz w:val="32"/>
          <w:szCs w:val="22"/>
          <w:lang w:val="en-US" w:eastAsia="zh-CN"/>
        </w:rPr>
        <w:t>强化区域专业</w:t>
      </w:r>
      <w:r>
        <w:rPr>
          <w:rFonts w:hint="eastAsia" w:ascii="方正仿宋_GB2312" w:hAnsi="方正仿宋_GB2312" w:eastAsia="仿宋_GB2312" w:cs="方正仿宋_GB2312"/>
          <w:color w:val="000000"/>
          <w:kern w:val="0"/>
          <w:sz w:val="32"/>
          <w:szCs w:val="22"/>
        </w:rPr>
        <w:t>照护、资源链接</w:t>
      </w:r>
      <w:r>
        <w:rPr>
          <w:rFonts w:hint="eastAsia" w:ascii="方正仿宋_GB2312" w:hAnsi="方正仿宋_GB2312" w:eastAsia="仿宋_GB2312" w:cs="方正仿宋_GB2312"/>
          <w:color w:val="000000"/>
          <w:kern w:val="0"/>
          <w:sz w:val="32"/>
          <w:szCs w:val="22"/>
          <w:lang w:val="en-US" w:eastAsia="zh-CN"/>
        </w:rPr>
        <w:t>与服务转介能力</w:t>
      </w:r>
      <w:r>
        <w:rPr>
          <w:rFonts w:hint="eastAsia" w:ascii="方正仿宋_GB2312" w:hAnsi="方正仿宋_GB2312" w:eastAsia="仿宋_GB2312" w:cs="方正仿宋_GB2312"/>
          <w:color w:val="000000"/>
          <w:kern w:val="0"/>
          <w:sz w:val="32"/>
          <w:szCs w:val="22"/>
        </w:rPr>
        <w:t>，促进上下联动，</w:t>
      </w:r>
      <w:r>
        <w:rPr>
          <w:rFonts w:hint="eastAsia" w:ascii="方正仿宋_GB2312" w:hAnsi="方正仿宋_GB2312" w:eastAsia="仿宋_GB2312" w:cs="方正仿宋_GB2312"/>
          <w:color w:val="000000"/>
          <w:kern w:val="0"/>
          <w:sz w:val="32"/>
          <w:szCs w:val="22"/>
          <w:lang w:val="en-US" w:eastAsia="zh-CN"/>
        </w:rPr>
        <w:t>推动</w:t>
      </w:r>
      <w:r>
        <w:rPr>
          <w:rFonts w:hint="eastAsia" w:ascii="方正仿宋_GB2312" w:hAnsi="方正仿宋_GB2312" w:eastAsia="仿宋_GB2312" w:cs="方正仿宋_GB2312"/>
          <w:color w:val="000000"/>
          <w:kern w:val="0"/>
          <w:sz w:val="32"/>
          <w:szCs w:val="22"/>
        </w:rPr>
        <w:t>供需</w:t>
      </w:r>
      <w:r>
        <w:rPr>
          <w:rFonts w:hint="eastAsia" w:ascii="方正仿宋_GB2312" w:hAnsi="方正仿宋_GB2312" w:eastAsia="仿宋_GB2312" w:cs="方正仿宋_GB2312"/>
          <w:color w:val="000000"/>
          <w:kern w:val="0"/>
          <w:sz w:val="32"/>
          <w:szCs w:val="22"/>
          <w:lang w:val="en-US" w:eastAsia="zh-CN"/>
        </w:rPr>
        <w:t>精准匹配</w:t>
      </w:r>
      <w:r>
        <w:rPr>
          <w:rFonts w:hint="eastAsia" w:ascii="方正仿宋_GB2312" w:hAnsi="方正仿宋_GB2312" w:eastAsia="仿宋_GB2312" w:cs="方正仿宋_GB2312"/>
          <w:color w:val="000000"/>
          <w:kern w:val="0"/>
          <w:sz w:val="32"/>
          <w:szCs w:val="22"/>
        </w:rPr>
        <w:t>。依托居家养老服务中心、社区老年人日间照料服务中心（站）、</w:t>
      </w:r>
      <w:r>
        <w:rPr>
          <w:rFonts w:hint="eastAsia" w:ascii="方正仿宋_GB2312" w:hAnsi="方正仿宋_GB2312" w:eastAsia="仿宋_GB2312" w:cs="方正仿宋_GB2312"/>
          <w:color w:val="000000"/>
          <w:kern w:val="0"/>
          <w:sz w:val="32"/>
          <w:szCs w:val="22"/>
          <w:lang w:val="en-US" w:eastAsia="zh-CN"/>
        </w:rPr>
        <w:t>涉农地区互助</w:t>
      </w:r>
      <w:r>
        <w:rPr>
          <w:rFonts w:hint="eastAsia" w:ascii="方正仿宋_GB2312" w:hAnsi="方正仿宋_GB2312" w:eastAsia="仿宋_GB2312" w:cs="方正仿宋_GB2312"/>
          <w:color w:val="000000"/>
          <w:kern w:val="0"/>
          <w:sz w:val="32"/>
          <w:szCs w:val="22"/>
        </w:rPr>
        <w:t>幸福院等载体，推进社区（村）级养老服务网络建设。</w:t>
      </w:r>
    </w:p>
    <w:p w14:paraId="5495E512">
      <w:pPr>
        <w:widowControl/>
        <w:spacing w:line="560" w:lineRule="exact"/>
        <w:ind w:firstLine="640" w:firstLineChars="200"/>
        <w:rPr>
          <w:rFonts w:ascii="Times New Roman" w:hAnsi="Times New Roman" w:eastAsia="仿宋" w:cs="Times New Roman"/>
          <w:color w:val="000000"/>
          <w:kern w:val="0"/>
          <w:sz w:val="32"/>
          <w:szCs w:val="22"/>
        </w:rPr>
      </w:pPr>
      <w:r>
        <w:rPr>
          <w:rFonts w:hint="eastAsia" w:ascii="Times New Roman" w:hAnsi="Times New Roman" w:eastAsia="楷体" w:cs="Times New Roman"/>
          <w:color w:val="000000"/>
          <w:kern w:val="0"/>
          <w:sz w:val="32"/>
          <w:szCs w:val="22"/>
        </w:rPr>
        <w:t>7.增强养老服务供给能力。</w:t>
      </w:r>
      <w:r>
        <w:rPr>
          <w:rFonts w:hint="eastAsia" w:ascii="方正仿宋_GB2312" w:hAnsi="方正仿宋_GB2312" w:eastAsia="仿宋_GB2312" w:cs="方正仿宋_GB2312"/>
          <w:color w:val="000000"/>
          <w:kern w:val="0"/>
          <w:sz w:val="32"/>
          <w:szCs w:val="22"/>
        </w:rPr>
        <w:t>深化老年“六助”服务，进一步加强老年助餐精准度和服务质量，大力发展老年人急需的助浴、助洁、助行、助医、助急等多样化服务。健全完善独居老年人双重关爱机制，常态化开展特殊困难老年人探访关爱服务，实施独居老年人关爱行动，按国家统一部署开展向中度以上失能老年人发放养老服务消费补贴项目。扩大社区养老服务覆盖面，加大居家适老化改造支持力度，将服务老年人作为社区（村）“两委”重要职责，将社区养老服务纳入城市</w:t>
      </w:r>
      <w:r>
        <w:rPr>
          <w:rFonts w:hint="eastAsia" w:ascii="方正仿宋_GB2312" w:hAnsi="方正仿宋_GB2312" w:eastAsia="仿宋_GB2312" w:cs="方正仿宋_GB2312"/>
          <w:color w:val="000000"/>
          <w:kern w:val="0"/>
          <w:sz w:val="32"/>
          <w:szCs w:val="22"/>
          <w:lang w:eastAsia="zh-CN"/>
        </w:rPr>
        <w:t>“</w:t>
      </w:r>
      <w:r>
        <w:rPr>
          <w:rFonts w:hint="eastAsia" w:ascii="方正仿宋_GB2312" w:hAnsi="方正仿宋_GB2312" w:eastAsia="仿宋_GB2312" w:cs="方正仿宋_GB2312"/>
          <w:color w:val="000000"/>
          <w:kern w:val="0"/>
          <w:sz w:val="32"/>
          <w:szCs w:val="22"/>
        </w:rPr>
        <w:t>一刻钟便民生活圈</w:t>
      </w:r>
      <w:r>
        <w:rPr>
          <w:rFonts w:hint="eastAsia" w:ascii="方正仿宋_GB2312" w:hAnsi="方正仿宋_GB2312" w:eastAsia="仿宋_GB2312" w:cs="方正仿宋_GB2312"/>
          <w:color w:val="000000"/>
          <w:kern w:val="0"/>
          <w:sz w:val="32"/>
          <w:szCs w:val="22"/>
          <w:lang w:eastAsia="zh-CN"/>
        </w:rPr>
        <w:t>”</w:t>
      </w:r>
      <w:r>
        <w:rPr>
          <w:rFonts w:hint="eastAsia" w:ascii="方正仿宋_GB2312" w:hAnsi="方正仿宋_GB2312" w:eastAsia="仿宋_GB2312" w:cs="方正仿宋_GB2312"/>
          <w:color w:val="000000"/>
          <w:kern w:val="0"/>
          <w:sz w:val="32"/>
          <w:szCs w:val="22"/>
        </w:rPr>
        <w:t>建设。</w:t>
      </w:r>
    </w:p>
    <w:p w14:paraId="3E272355">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22"/>
        </w:rPr>
        <w:t>8.提升行业安全监管质效。</w:t>
      </w:r>
      <w:r>
        <w:rPr>
          <w:rFonts w:hint="eastAsia" w:ascii="方正仿宋_GB2312" w:hAnsi="方正仿宋_GB2312" w:eastAsia="仿宋_GB2312" w:cs="方正仿宋_GB2312"/>
          <w:color w:val="000000"/>
          <w:kern w:val="0"/>
          <w:sz w:val="32"/>
          <w:szCs w:val="22"/>
        </w:rPr>
        <w:t>把抓安全、控安全放在首位，构建全链条、全方位的养老服务闭环监管体系，严格落实安全监管责任，健全“机构自查、行业自律、政府监管”协同机制，建立养老机构综合安全风险隐患动态评估机制，根据安全风险隐患类型、严重程度，确定“红、黄、蓝”三个安全风险等级，开展分类整治。推动各区采取多种手段建立养老机构消防安全管理中心</w:t>
      </w:r>
      <w:r>
        <w:rPr>
          <w:rFonts w:hint="eastAsia" w:ascii="方正仿宋_GB2312" w:hAnsi="方正仿宋_GB2312" w:eastAsia="仿宋_GB2312" w:cs="方正仿宋_GB2312"/>
          <w:color w:val="000000"/>
          <w:kern w:val="0"/>
          <w:sz w:val="32"/>
          <w:szCs w:val="22"/>
          <w:lang w:eastAsia="zh-CN"/>
        </w:rPr>
        <w:t>，</w:t>
      </w:r>
      <w:r>
        <w:rPr>
          <w:rFonts w:hint="eastAsia" w:ascii="Times New Roman" w:hAnsi="Times New Roman" w:eastAsia="仿宋" w:cs="Times New Roman"/>
          <w:color w:val="000000"/>
          <w:kern w:val="0"/>
          <w:sz w:val="32"/>
          <w:szCs w:val="22"/>
        </w:rPr>
        <w:t>2030</w:t>
      </w:r>
      <w:r>
        <w:rPr>
          <w:rFonts w:hint="eastAsia" w:ascii="方正仿宋_GB2312" w:hAnsi="方正仿宋_GB2312" w:eastAsia="仿宋_GB2312" w:cs="方正仿宋_GB2312"/>
          <w:color w:val="000000"/>
          <w:kern w:val="0"/>
          <w:sz w:val="32"/>
          <w:szCs w:val="22"/>
        </w:rPr>
        <w:t>年达到</w:t>
      </w:r>
      <w:r>
        <w:rPr>
          <w:rFonts w:hint="eastAsia" w:ascii="Times New Roman" w:hAnsi="Times New Roman" w:eastAsia="仿宋" w:cs="Times New Roman"/>
          <w:color w:val="000000"/>
          <w:kern w:val="0"/>
          <w:sz w:val="32"/>
          <w:szCs w:val="22"/>
        </w:rPr>
        <w:t>50%</w:t>
      </w:r>
      <w:r>
        <w:rPr>
          <w:rFonts w:hint="eastAsia" w:ascii="方正仿宋_GB2312" w:hAnsi="方正仿宋_GB2312" w:eastAsia="仿宋_GB2312" w:cs="方正仿宋_GB2312"/>
          <w:color w:val="000000"/>
          <w:kern w:val="0"/>
          <w:sz w:val="32"/>
          <w:szCs w:val="22"/>
        </w:rPr>
        <w:t>的区实现养老机构消防控制系统区内联网。深化跨部门综合监管，强化预收费资金监管、安全生产和突发事件应急处置，严厉打击非法集资、欺老虐老等侵害老年人权益行为。健全养老服务标准与评价体系，推动国家、行业及地方标准的有效衔接与落地实施。</w:t>
      </w:r>
    </w:p>
    <w:p w14:paraId="39125699">
      <w:pPr>
        <w:widowControl/>
        <w:spacing w:line="560" w:lineRule="exact"/>
        <w:ind w:firstLine="640" w:firstLineChars="200"/>
        <w:rPr>
          <w:rFonts w:hint="eastAsia" w:ascii="方正仿宋_GB2312" w:hAnsi="方正仿宋_GB2312" w:eastAsia="方正仿宋_GB2312" w:cs="方正仿宋_GB2312"/>
          <w:color w:val="000000"/>
          <w:kern w:val="0"/>
          <w:sz w:val="32"/>
          <w:szCs w:val="22"/>
        </w:rPr>
      </w:pPr>
      <w:bookmarkStart w:id="91" w:name="_Toc892"/>
      <w:r>
        <w:rPr>
          <w:rFonts w:hint="eastAsia" w:ascii="Times New Roman" w:hAnsi="Times New Roman" w:eastAsia="楷体" w:cs="Times New Roman"/>
          <w:color w:val="000000"/>
          <w:kern w:val="0"/>
          <w:sz w:val="32"/>
          <w:szCs w:val="22"/>
        </w:rPr>
        <w:t>9.强化养老服务要素保障</w:t>
      </w:r>
      <w:bookmarkEnd w:id="91"/>
      <w:r>
        <w:rPr>
          <w:rFonts w:hint="eastAsia" w:ascii="Times New Roman" w:hAnsi="Times New Roman" w:eastAsia="楷体" w:cs="Times New Roman"/>
          <w:color w:val="000000"/>
          <w:kern w:val="0"/>
          <w:sz w:val="32"/>
          <w:szCs w:val="22"/>
        </w:rPr>
        <w:t>。</w:t>
      </w:r>
      <w:r>
        <w:rPr>
          <w:rFonts w:hint="eastAsia" w:ascii="方正仿宋_GB2312" w:hAnsi="方正仿宋_GB2312" w:eastAsia="仿宋_GB2312" w:cs="方正仿宋_GB2312"/>
          <w:color w:val="000000"/>
          <w:kern w:val="0"/>
          <w:sz w:val="32"/>
          <w:szCs w:val="22"/>
        </w:rPr>
        <w:t>推动人工智能、物联网等新技术与养老服务深度融合，开发“智能＋养老”等场景化应用，构建“科技＋养老”服务新模式。推进智慧养老服务应用，鼓励社会力量提供多样化智慧养老服务和产品，构建覆盖全场景、全周期的智慧养老生态体系。建立跨部门养老服务数据共享机制，依托</w:t>
      </w:r>
      <w:r>
        <w:rPr>
          <w:rFonts w:hint="eastAsia" w:ascii="方正仿宋_GB2312" w:hAnsi="方正仿宋_GB2312" w:eastAsia="仿宋_GB2312" w:cs="方正仿宋_GB2312"/>
          <w:color w:val="000000"/>
          <w:kern w:val="0"/>
          <w:sz w:val="32"/>
          <w:szCs w:val="22"/>
          <w:lang w:eastAsia="zh-CN"/>
        </w:rPr>
        <w:t>“</w:t>
      </w:r>
      <w:r>
        <w:rPr>
          <w:rFonts w:hint="eastAsia" w:ascii="方正仿宋_GB2312" w:hAnsi="方正仿宋_GB2312" w:eastAsia="仿宋_GB2312" w:cs="方正仿宋_GB2312"/>
          <w:color w:val="000000"/>
          <w:kern w:val="0"/>
          <w:sz w:val="32"/>
          <w:szCs w:val="22"/>
        </w:rPr>
        <w:t>津牌养老</w:t>
      </w:r>
      <w:r>
        <w:rPr>
          <w:rFonts w:hint="eastAsia" w:ascii="方正仿宋_GB2312" w:hAnsi="方正仿宋_GB2312" w:eastAsia="仿宋_GB2312" w:cs="方正仿宋_GB2312"/>
          <w:color w:val="000000"/>
          <w:kern w:val="0"/>
          <w:sz w:val="32"/>
          <w:szCs w:val="22"/>
          <w:lang w:eastAsia="zh-CN"/>
        </w:rPr>
        <w:t>”</w:t>
      </w:r>
      <w:r>
        <w:rPr>
          <w:rFonts w:hint="eastAsia" w:ascii="方正仿宋_GB2312" w:hAnsi="方正仿宋_GB2312" w:eastAsia="仿宋_GB2312" w:cs="方正仿宋_GB2312"/>
          <w:color w:val="000000"/>
          <w:kern w:val="0"/>
          <w:sz w:val="32"/>
          <w:szCs w:val="22"/>
        </w:rPr>
        <w:t>智慧服务平台和市级养老服务资源网，建立多维度数据模型，完善养老数据标准体系，逐步扩大养老数据信息交换和共享，推动大数据模型为服务管理和服务供给赋能。加强养老服务人才队伍建设，以职业化、专业化为导向，积极探索有效的养老服务人才激励机制，提高养老护理员、老年人能力评估师等养老服务从业者持证上岗率。发展养老金融服务，鼓励金融机构加大对养老经营主体在融资、信贷等方面的支持。</w:t>
      </w:r>
    </w:p>
    <w:tbl>
      <w:tblPr>
        <w:tblStyle w:val="13"/>
        <w:tblpPr w:leftFromText="180" w:rightFromText="180" w:vertAnchor="text" w:horzAnchor="page" w:tblpX="1761" w:tblpY="89"/>
        <w:tblOverlap w:val="never"/>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6279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1" w:hRule="atLeast"/>
        </w:trPr>
        <w:tc>
          <w:tcPr>
            <w:tcW w:w="8528" w:type="dxa"/>
            <w:noWrap w:val="0"/>
            <w:vAlign w:val="top"/>
          </w:tcPr>
          <w:p w14:paraId="480D9E71">
            <w:pPr>
              <w:pStyle w:val="6"/>
              <w:framePr w:hSpace="0" w:wrap="auto" w:vAnchor="margin" w:hAnchor="text" w:xAlign="left" w:yAlign="inline"/>
              <w:widowControl/>
              <w:rPr>
                <w:rFonts w:hint="eastAsia" w:ascii="方正仿宋_GB2312" w:hAnsi="方正仿宋_GB2312" w:eastAsia="仿宋_GB2312" w:cs="方正仿宋_GB2312"/>
                <w:color w:val="000000"/>
                <w:kern w:val="0"/>
              </w:rPr>
            </w:pPr>
            <w:r>
              <w:rPr>
                <w:rFonts w:hint="eastAsia" w:ascii="仿宋_GB2312" w:hAnsi="仿宋_GB2312" w:eastAsia="仿宋_GB2312" w:cs="仿宋_GB2312"/>
                <w:color w:val="000000"/>
                <w:kern w:val="0"/>
              </w:rPr>
              <w:t>专栏</w:t>
            </w:r>
            <w:r>
              <w:rPr>
                <w:rFonts w:hint="default" w:ascii="Times New Roman" w:hAnsi="Times New Roman" w:eastAsia="仿宋_GB2312" w:cs="Times New Roman"/>
                <w:color w:val="000000"/>
                <w:kern w:val="0"/>
              </w:rPr>
              <w:t>2</w:t>
            </w:r>
            <w:r>
              <w:rPr>
                <w:rFonts w:hint="eastAsia" w:ascii="仿宋_GB2312" w:hAnsi="仿宋_GB2312" w:eastAsia="仿宋_GB2312" w:cs="仿宋_GB2312"/>
                <w:color w:val="000000"/>
                <w:kern w:val="0"/>
              </w:rPr>
              <w:t>：养老服务设施建设</w:t>
            </w:r>
          </w:p>
          <w:p w14:paraId="16534379">
            <w:pPr>
              <w:pStyle w:val="8"/>
              <w:framePr w:hSpace="0" w:wrap="auto" w:vAnchor="margin" w:hAnchor="text" w:xAlign="left" w:yAlign="inline"/>
              <w:widowControl/>
              <w:jc w:val="both"/>
              <w:rPr>
                <w:rFonts w:hint="eastAsia"/>
                <w:color w:val="000000"/>
                <w:kern w:val="0"/>
              </w:rPr>
            </w:pPr>
            <w:r>
              <w:rPr>
                <w:rFonts w:ascii="Times New Roman" w:hAnsi="Times New Roman"/>
                <w:color w:val="000000"/>
                <w:kern w:val="0"/>
              </w:rPr>
              <w:t>05</w:t>
            </w:r>
            <w:r>
              <w:rPr>
                <w:color w:val="000000"/>
                <w:kern w:val="0"/>
              </w:rPr>
              <w:t xml:space="preserve"> </w:t>
            </w:r>
            <w:r>
              <w:rPr>
                <w:rFonts w:hint="eastAsia" w:ascii="方正仿宋_GB2312" w:hAnsi="方正仿宋_GB2312" w:eastAsia="仿宋_GB2312" w:cs="方正仿宋_GB2312"/>
                <w:color w:val="000000"/>
                <w:kern w:val="0"/>
              </w:rPr>
              <w:t>三级养老服务网络。</w:t>
            </w:r>
            <w:r>
              <w:rPr>
                <w:rFonts w:hint="eastAsia" w:ascii="方正仿宋_GB2312" w:hAnsi="方正仿宋_GB2312" w:eastAsia="仿宋_GB2312" w:cs="方正仿宋_GB2312"/>
                <w:color w:val="000000"/>
                <w:kern w:val="0"/>
                <w:lang w:val="en"/>
              </w:rPr>
              <w:t>建设区级综合养老服务指导中心，提供养老服务人员实训、评估、用品展示、服务示范、服务指导、信息平台等功能。建设</w:t>
            </w:r>
            <w:r>
              <w:rPr>
                <w:rFonts w:hint="eastAsia" w:ascii="方正仿宋_GB2312" w:hAnsi="方正仿宋_GB2312" w:eastAsia="仿宋_GB2312" w:cs="方正仿宋_GB2312"/>
                <w:color w:val="000000"/>
                <w:kern w:val="0"/>
                <w:lang w:val="en" w:eastAsia="zh-CN"/>
              </w:rPr>
              <w:t>乡镇</w:t>
            </w:r>
            <w:r>
              <w:rPr>
                <w:rFonts w:hint="eastAsia" w:ascii="方正仿宋_GB2312" w:hAnsi="方正仿宋_GB2312" w:eastAsia="仿宋_GB2312" w:cs="方正仿宋_GB2312"/>
                <w:color w:val="000000"/>
                <w:kern w:val="0"/>
                <w:lang w:val="en"/>
              </w:rPr>
              <w:t>（</w:t>
            </w:r>
            <w:r>
              <w:rPr>
                <w:rFonts w:hint="eastAsia" w:ascii="方正仿宋_GB2312" w:hAnsi="方正仿宋_GB2312" w:eastAsia="仿宋_GB2312" w:cs="方正仿宋_GB2312"/>
                <w:color w:val="000000"/>
                <w:kern w:val="0"/>
                <w:lang w:val="en" w:eastAsia="zh-CN"/>
              </w:rPr>
              <w:t>街道</w:t>
            </w:r>
            <w:r>
              <w:rPr>
                <w:rFonts w:hint="eastAsia" w:ascii="方正仿宋_GB2312" w:hAnsi="方正仿宋_GB2312" w:eastAsia="仿宋_GB2312" w:cs="方正仿宋_GB2312"/>
                <w:color w:val="000000"/>
                <w:kern w:val="0"/>
                <w:lang w:val="en"/>
              </w:rPr>
              <w:t>）级养老服务综合体，提供“三入四嵌一床位”功能，养老床位</w:t>
            </w:r>
            <w:r>
              <w:rPr>
                <w:rFonts w:hint="eastAsia" w:ascii="Times New Roman" w:hAnsi="Times New Roman"/>
                <w:color w:val="000000"/>
                <w:kern w:val="0"/>
              </w:rPr>
              <w:t>10</w:t>
            </w:r>
            <w:r>
              <w:rPr>
                <w:rFonts w:hint="eastAsia" w:ascii="方正仿宋_GB2312" w:hAnsi="方正仿宋_GB2312" w:eastAsia="仿宋_GB2312" w:cs="方正仿宋_GB2312"/>
                <w:color w:val="000000"/>
                <w:kern w:val="0"/>
              </w:rPr>
              <w:t>张以上。建设社区（村）日间照料服务中心（站）</w:t>
            </w:r>
            <w:r>
              <w:rPr>
                <w:rFonts w:hint="eastAsia" w:ascii="方正仿宋_GB2312" w:hAnsi="方正仿宋_GB2312" w:eastAsia="仿宋_GB2312" w:cs="方正仿宋_GB2312"/>
                <w:color w:val="000000"/>
                <w:kern w:val="0"/>
                <w:lang w:val="en"/>
              </w:rPr>
              <w:t>，</w:t>
            </w:r>
            <w:r>
              <w:rPr>
                <w:rFonts w:hint="eastAsia" w:ascii="方正仿宋_GB2312" w:hAnsi="方正仿宋_GB2312" w:eastAsia="仿宋_GB2312" w:cs="方正仿宋_GB2312"/>
                <w:color w:val="000000"/>
                <w:kern w:val="0"/>
              </w:rPr>
              <w:t>提供</w:t>
            </w:r>
            <w:r>
              <w:rPr>
                <w:rFonts w:hint="eastAsia" w:ascii="方正仿宋_GB2312" w:hAnsi="方正仿宋_GB2312" w:eastAsia="仿宋_GB2312" w:cs="方正仿宋_GB2312"/>
                <w:color w:val="000000"/>
                <w:kern w:val="0"/>
                <w:lang w:val="en"/>
              </w:rPr>
              <w:t>“五室一校”等功能，</w:t>
            </w:r>
            <w:r>
              <w:rPr>
                <w:rFonts w:hint="eastAsia" w:ascii="方正仿宋_GB2312" w:hAnsi="方正仿宋_GB2312" w:eastAsia="仿宋_GB2312" w:cs="方正仿宋_GB2312"/>
                <w:color w:val="000000"/>
                <w:kern w:val="0"/>
              </w:rPr>
              <w:t>日间托养</w:t>
            </w:r>
            <w:r>
              <w:rPr>
                <w:rFonts w:hint="eastAsia" w:ascii="方正仿宋_GB2312" w:hAnsi="方正仿宋_GB2312" w:eastAsia="仿宋_GB2312" w:cs="方正仿宋_GB2312"/>
                <w:color w:val="000000"/>
                <w:kern w:val="0"/>
                <w:lang w:val="en"/>
              </w:rPr>
              <w:t>床位</w:t>
            </w:r>
            <w:r>
              <w:rPr>
                <w:rFonts w:hint="eastAsia" w:ascii="Times New Roman" w:hAnsi="Times New Roman"/>
                <w:color w:val="000000"/>
                <w:kern w:val="0"/>
              </w:rPr>
              <w:t>5</w:t>
            </w:r>
            <w:r>
              <w:rPr>
                <w:rFonts w:hint="eastAsia" w:ascii="方正仿宋_GB2312" w:hAnsi="方正仿宋_GB2312" w:eastAsia="仿宋_GB2312" w:cs="方正仿宋_GB2312"/>
                <w:color w:val="000000"/>
                <w:kern w:val="0"/>
              </w:rPr>
              <w:t>张以上。</w:t>
            </w:r>
          </w:p>
          <w:p w14:paraId="01FF9E1E">
            <w:pPr>
              <w:pStyle w:val="8"/>
              <w:framePr w:hSpace="0" w:wrap="auto" w:vAnchor="margin" w:hAnchor="text" w:xAlign="left" w:yAlign="inline"/>
              <w:widowControl/>
              <w:jc w:val="both"/>
              <w:rPr>
                <w:rFonts w:hint="eastAsia" w:ascii="方正仿宋_GB2312" w:hAnsi="方正仿宋_GB2312" w:eastAsia="仿宋_GB2312" w:cs="方正仿宋_GB2312"/>
                <w:color w:val="000000"/>
                <w:kern w:val="0"/>
              </w:rPr>
            </w:pPr>
            <w:r>
              <w:rPr>
                <w:rFonts w:ascii="Times New Roman" w:hAnsi="Times New Roman"/>
                <w:color w:val="000000"/>
                <w:kern w:val="0"/>
              </w:rPr>
              <w:t>06</w:t>
            </w:r>
            <w:r>
              <w:rPr>
                <w:color w:val="000000"/>
                <w:kern w:val="0"/>
              </w:rPr>
              <w:t xml:space="preserve"> </w:t>
            </w:r>
            <w:r>
              <w:rPr>
                <w:rFonts w:hint="eastAsia" w:ascii="方正仿宋_GB2312" w:hAnsi="方正仿宋_GB2312" w:eastAsia="仿宋_GB2312" w:cs="方正仿宋_GB2312"/>
                <w:color w:val="000000"/>
                <w:kern w:val="0"/>
              </w:rPr>
              <w:t>养老服务重点建设项目。推动市养老院主楼工程项目</w:t>
            </w:r>
            <w:r>
              <w:rPr>
                <w:rFonts w:hint="eastAsia" w:ascii="方正仿宋_GB2312" w:hAnsi="方正仿宋_GB2312" w:eastAsia="仿宋_GB2312" w:cs="方正仿宋_GB2312"/>
                <w:color w:val="000000"/>
                <w:kern w:val="0"/>
                <w:lang w:eastAsia="zh-CN"/>
              </w:rPr>
              <w:t>，</w:t>
            </w:r>
            <w:r>
              <w:rPr>
                <w:rFonts w:hint="eastAsia" w:ascii="方正仿宋_GB2312" w:hAnsi="方正仿宋_GB2312" w:eastAsia="仿宋_GB2312" w:cs="方正仿宋_GB2312"/>
                <w:color w:val="000000"/>
                <w:kern w:val="0"/>
              </w:rPr>
              <w:t>项目选址在南开区咸阳路</w:t>
            </w:r>
            <w:r>
              <w:rPr>
                <w:rFonts w:ascii="Times New Roman" w:hAnsi="Times New Roman"/>
                <w:color w:val="000000"/>
                <w:kern w:val="0"/>
              </w:rPr>
              <w:t>52</w:t>
            </w:r>
            <w:r>
              <w:rPr>
                <w:rFonts w:hint="eastAsia" w:ascii="方正仿宋_GB2312" w:hAnsi="方正仿宋_GB2312" w:eastAsia="仿宋_GB2312" w:cs="方正仿宋_GB2312"/>
                <w:color w:val="000000"/>
                <w:kern w:val="0"/>
              </w:rPr>
              <w:t>号。谋划市失智老人康复照料中心原址建设工程，合理扩充现有床位规模，提升护理型床位占比，实现设施条件与综合服务能力双升级。</w:t>
            </w:r>
          </w:p>
          <w:p w14:paraId="28A2D745">
            <w:pPr>
              <w:pStyle w:val="8"/>
              <w:framePr w:hSpace="0" w:wrap="auto" w:vAnchor="margin" w:hAnchor="text" w:xAlign="left" w:yAlign="inline"/>
              <w:widowControl/>
              <w:jc w:val="both"/>
              <w:rPr>
                <w:rFonts w:hint="eastAsia" w:ascii="方正仿宋_GB2312" w:hAnsi="方正仿宋_GB2312" w:eastAsia="仿宋_GB2312" w:cs="方正仿宋_GB2312"/>
                <w:color w:val="000000"/>
                <w:kern w:val="0"/>
              </w:rPr>
            </w:pPr>
            <w:r>
              <w:rPr>
                <w:rFonts w:hint="eastAsia" w:ascii="Times New Roman" w:hAnsi="Times New Roman"/>
                <w:color w:val="000000"/>
                <w:kern w:val="0"/>
              </w:rPr>
              <w:t>0</w:t>
            </w:r>
            <w:r>
              <w:rPr>
                <w:rFonts w:ascii="Times New Roman" w:hAnsi="Times New Roman"/>
                <w:color w:val="000000"/>
                <w:kern w:val="0"/>
              </w:rPr>
              <w:t>7</w:t>
            </w:r>
            <w:r>
              <w:rPr>
                <w:color w:val="000000"/>
                <w:kern w:val="0"/>
              </w:rPr>
              <w:t xml:space="preserve"> </w:t>
            </w:r>
            <w:r>
              <w:rPr>
                <w:rFonts w:hint="eastAsia" w:ascii="方正仿宋_GB2312" w:hAnsi="方正仿宋_GB2312" w:eastAsia="仿宋_GB2312" w:cs="方正仿宋_GB2312"/>
                <w:color w:val="000000"/>
                <w:kern w:val="0"/>
              </w:rPr>
              <w:t>实施特殊困难老年人探访关爱行动。采取上门入户、电话视频、远程监测等方式，对孤寡、独居、空巢、留守、失能、重残、计划生育特殊家庭老年人等开展探访关爱行动，并结合老年人意愿和实际情况开展个性化关爱服务。用好“五社联动”机制，发挥好网格员、社会工作者、社区社会组织、志愿者、楼门栋长、社区党员等各方面力量作用，鼓励开展邻里互助，帮助解决居家养老困难，预防和降低老年人居家养老安全风险。</w:t>
            </w:r>
          </w:p>
          <w:p w14:paraId="4D8D7A23">
            <w:pPr>
              <w:pStyle w:val="8"/>
              <w:framePr w:hSpace="0" w:wrap="auto" w:vAnchor="margin" w:hAnchor="text" w:xAlign="left" w:yAlign="inline"/>
              <w:widowControl/>
              <w:jc w:val="both"/>
              <w:rPr>
                <w:rFonts w:hint="eastAsia"/>
                <w:color w:val="000000"/>
                <w:kern w:val="0"/>
              </w:rPr>
            </w:pPr>
            <w:r>
              <w:rPr>
                <w:rFonts w:ascii="Times New Roman" w:hAnsi="Times New Roman"/>
                <w:color w:val="000000"/>
                <w:kern w:val="0"/>
              </w:rPr>
              <w:t>08</w:t>
            </w:r>
            <w:r>
              <w:rPr>
                <w:color w:val="000000"/>
                <w:kern w:val="0"/>
              </w:rPr>
              <w:t xml:space="preserve"> </w:t>
            </w:r>
            <w:r>
              <w:rPr>
                <w:rFonts w:hint="eastAsia" w:ascii="方正仿宋_GB2312" w:hAnsi="方正仿宋_GB2312" w:eastAsia="仿宋_GB2312" w:cs="方正仿宋_GB2312"/>
                <w:color w:val="000000"/>
                <w:kern w:val="0"/>
              </w:rPr>
              <w:t>老年助餐服务行动。因地制宜规划建设老年助餐服务网点，支持在养老服务机构、社区嵌入式养老服务设施、社区综合服务设施中增添老年助餐服务功能，不断扩大老年助餐服务范围，优化老年助餐服务供给，完善老年助餐补贴制度，提升老年助餐便利性。鼓励社会力量参与老年助餐服务，支持有条件的机关企事业单位食堂提供老年助餐服务，引导物业服务企业为老年人提供就餐便利。坚持“政府支持、街镇统筹、多元参与、一村一策”的原则，依托村集体经济，灵活多样解决农村老年人的就餐问题。引导互联网平台等市场主体参与助餐配送，解决老年人送餐需求。倡导通过邻里互助、公益项目、志愿服务、低龄助高龄等方式，为留守、高龄、失能老年人等特殊群体提供助餐服务。大力支持老年助餐服务机构规模化、连锁化、标准化运营，提升老年助餐服务效益，有序推动老年助餐服务可持续发展。</w:t>
            </w:r>
          </w:p>
        </w:tc>
      </w:tr>
    </w:tbl>
    <w:p w14:paraId="549FE3AF">
      <w:pPr>
        <w:widowControl/>
        <w:bidi w:val="0"/>
        <w:spacing w:line="560" w:lineRule="exact"/>
        <w:ind w:firstLine="640" w:firstLineChars="200"/>
        <w:rPr>
          <w:rFonts w:hint="eastAsia" w:ascii="Times New Roman" w:hAnsi="Times New Roman" w:eastAsia="仿宋" w:cs="Times New Roman"/>
          <w:color w:val="000000"/>
          <w:kern w:val="0"/>
          <w:sz w:val="32"/>
          <w:szCs w:val="22"/>
        </w:rPr>
      </w:pPr>
      <w:bookmarkStart w:id="92" w:name="_Toc22109"/>
      <w:bookmarkStart w:id="93" w:name="_Toc27319"/>
      <w:bookmarkStart w:id="94" w:name="_Toc29303"/>
      <w:bookmarkStart w:id="95" w:name="_Toc8163"/>
      <w:bookmarkStart w:id="96" w:name="_Toc17199"/>
      <w:bookmarkStart w:id="97" w:name="_Toc8876"/>
      <w:bookmarkStart w:id="98" w:name="_Toc1194"/>
      <w:bookmarkStart w:id="99" w:name="_Toc14116"/>
      <w:bookmarkStart w:id="100" w:name="_Toc12046"/>
    </w:p>
    <w:p w14:paraId="6E5313AD">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eastAsia="黑体" w:cs="黑体"/>
          <w:kern w:val="0"/>
          <w:lang w:val="en-US" w:eastAsia="zh-CN"/>
        </w:rPr>
      </w:pPr>
      <w:bookmarkStart w:id="101" w:name="_Toc231311704"/>
      <w:r>
        <w:rPr>
          <w:rFonts w:hint="eastAsia" w:ascii="黑体" w:hAnsi="黑体" w:cs="Times New Roman"/>
          <w:kern w:val="0"/>
        </w:rPr>
        <w:t>第三节</w:t>
      </w:r>
      <w:r>
        <w:rPr>
          <w:rFonts w:hint="eastAsia" w:cs="Times New Roman"/>
          <w:kern w:val="0"/>
        </w:rPr>
        <w:t xml:space="preserve"> </w:t>
      </w:r>
      <w:bookmarkEnd w:id="92"/>
      <w:bookmarkEnd w:id="93"/>
      <w:r>
        <w:rPr>
          <w:rFonts w:hint="eastAsia" w:cs="Times New Roman"/>
          <w:kern w:val="0"/>
        </w:rPr>
        <w:t xml:space="preserve"> </w:t>
      </w:r>
      <w:r>
        <w:rPr>
          <w:rFonts w:hint="eastAsia" w:ascii="黑体" w:hAnsi="黑体" w:cs="黑体"/>
          <w:kern w:val="0"/>
        </w:rPr>
        <w:t>助力银发经济提质</w:t>
      </w:r>
      <w:bookmarkEnd w:id="94"/>
      <w:bookmarkEnd w:id="95"/>
      <w:bookmarkEnd w:id="96"/>
      <w:bookmarkEnd w:id="97"/>
      <w:bookmarkEnd w:id="98"/>
      <w:bookmarkEnd w:id="99"/>
      <w:bookmarkEnd w:id="100"/>
      <w:bookmarkEnd w:id="101"/>
      <w:r>
        <w:rPr>
          <w:rFonts w:hint="eastAsia" w:ascii="黑体" w:hAnsi="黑体" w:cs="黑体"/>
          <w:kern w:val="0"/>
          <w:lang w:val="en-US" w:eastAsia="zh-CN"/>
        </w:rPr>
        <w:t>增效</w:t>
      </w:r>
    </w:p>
    <w:p w14:paraId="40F7348E">
      <w:pPr>
        <w:widowControl/>
        <w:numPr>
          <w:ilvl w:val="0"/>
          <w:numId w:val="0"/>
        </w:numPr>
        <w:spacing w:line="240" w:lineRule="auto"/>
        <w:ind w:firstLine="640" w:firstLineChars="200"/>
        <w:rPr>
          <w:rFonts w:hint="eastAsia" w:ascii="黑体" w:hAnsi="黑体" w:eastAsia="仿宋" w:cs="黑体"/>
          <w:color w:val="000000"/>
          <w:kern w:val="0"/>
          <w:sz w:val="32"/>
          <w:szCs w:val="22"/>
        </w:rPr>
      </w:pPr>
    </w:p>
    <w:p w14:paraId="25B15961">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10.培育支持经营主体。</w:t>
      </w:r>
      <w:r>
        <w:rPr>
          <w:rFonts w:hint="eastAsia" w:ascii="方正仿宋_GB2312" w:hAnsi="方正仿宋_GB2312" w:eastAsia="仿宋_GB2312" w:cs="方正仿宋_GB2312"/>
          <w:color w:val="000000"/>
          <w:kern w:val="0"/>
          <w:sz w:val="32"/>
          <w:szCs w:val="22"/>
        </w:rPr>
        <w:t>聚焦高品质养老服务需求，健全老龄产业政策体系，完善金融、设施、用地等支持政策，鼓励老年助餐服务机构规模化、连锁化、标准化运营，拓展居家助老服务。引导社会办养老服务机构重点面向中低收入群体、适度面向中高收入群体，满足老年人多层次、个性化服务需求。鼓励和引导国有企业结合主责主业布局发展银发经济，</w:t>
      </w:r>
      <w:r>
        <w:rPr>
          <w:rFonts w:hint="eastAsia" w:ascii="方正仿宋_GB2312" w:hAnsi="方正仿宋_GB2312" w:eastAsia="仿宋_GB2312" w:cs="方正仿宋_GB2312"/>
          <w:color w:val="auto"/>
          <w:kern w:val="0"/>
          <w:sz w:val="32"/>
          <w:szCs w:val="22"/>
        </w:rPr>
        <w:t>支持具备条件的</w:t>
      </w:r>
      <w:r>
        <w:rPr>
          <w:rFonts w:hint="eastAsia" w:ascii="方正仿宋_GB2312" w:hAnsi="方正仿宋_GB2312" w:eastAsia="仿宋_GB2312" w:cs="方正仿宋_GB2312"/>
          <w:color w:val="auto"/>
          <w:kern w:val="0"/>
          <w:sz w:val="32"/>
          <w:szCs w:val="22"/>
          <w:lang w:val="en-US" w:eastAsia="zh-CN"/>
        </w:rPr>
        <w:t>国有</w:t>
      </w:r>
      <w:r>
        <w:rPr>
          <w:rFonts w:hint="eastAsia" w:ascii="方正仿宋_GB2312" w:hAnsi="方正仿宋_GB2312" w:eastAsia="仿宋_GB2312" w:cs="方正仿宋_GB2312"/>
          <w:i w:val="0"/>
          <w:iCs w:val="0"/>
          <w:caps w:val="0"/>
          <w:color w:val="auto"/>
          <w:spacing w:val="0"/>
          <w:kern w:val="0"/>
          <w:sz w:val="32"/>
          <w:szCs w:val="24"/>
          <w:shd w:val="clear" w:color="auto" w:fill="auto"/>
        </w:rPr>
        <w:t>企业、事业单位盘活闲置资产开展养老服务</w:t>
      </w:r>
      <w:r>
        <w:rPr>
          <w:rFonts w:hint="eastAsia" w:ascii="方正仿宋_GB2312" w:hAnsi="方正仿宋_GB2312" w:eastAsia="仿宋_GB2312" w:cs="方正仿宋_GB2312"/>
          <w:color w:val="auto"/>
          <w:kern w:val="0"/>
          <w:sz w:val="32"/>
          <w:szCs w:val="22"/>
        </w:rPr>
        <w:t>。大力促进民营经济发展，完善政企沟通机制，激发民营企业参与银发经济</w:t>
      </w:r>
      <w:r>
        <w:rPr>
          <w:rFonts w:hint="eastAsia" w:ascii="方正仿宋_GB2312" w:hAnsi="方正仿宋_GB2312" w:eastAsia="仿宋_GB2312" w:cs="方正仿宋_GB2312"/>
          <w:color w:val="auto"/>
          <w:kern w:val="0"/>
          <w:sz w:val="32"/>
          <w:szCs w:val="22"/>
          <w:lang w:val="en-US" w:eastAsia="zh-CN"/>
        </w:rPr>
        <w:t>动</w:t>
      </w:r>
      <w:r>
        <w:rPr>
          <w:rFonts w:hint="eastAsia" w:ascii="方正仿宋_GB2312" w:hAnsi="方正仿宋_GB2312" w:eastAsia="仿宋_GB2312" w:cs="方正仿宋_GB2312"/>
          <w:color w:val="auto"/>
          <w:kern w:val="0"/>
          <w:sz w:val="32"/>
          <w:szCs w:val="22"/>
        </w:rPr>
        <w:t>力。</w:t>
      </w:r>
    </w:p>
    <w:p w14:paraId="03C48854">
      <w:pPr>
        <w:pStyle w:val="12"/>
        <w:widowControl/>
        <w:spacing w:after="0"/>
        <w:ind w:left="0" w:leftChars="0" w:firstLine="640"/>
        <w:rPr>
          <w:rFonts w:cs="Times New Roman"/>
          <w:kern w:val="0"/>
        </w:rPr>
      </w:pPr>
      <w:r>
        <w:rPr>
          <w:rStyle w:val="16"/>
          <w:rFonts w:hint="eastAsia" w:ascii="Times New Roman" w:hAnsi="Times New Roman" w:cs="Times New Roman"/>
          <w:kern w:val="0"/>
        </w:rPr>
        <w:t>11.优化完善消费环境。</w:t>
      </w:r>
      <w:r>
        <w:rPr>
          <w:rFonts w:hint="eastAsia" w:ascii="方正仿宋_GB2312" w:hAnsi="方正仿宋_GB2312" w:eastAsia="仿宋_GB2312" w:cs="方正仿宋_GB2312"/>
          <w:kern w:val="0"/>
        </w:rPr>
        <w:t>围绕激发银发消费活力，通过丰富养老服务产品供给、繁荣老年人精神文化生活、倡导银发旅游、发展老年教育、促进老年人社会参与等方式，拓展老年消费场景，推动多元业态融合发展，释放银发经济发展潜力。研究银发经济规模科学统计方法。积极开发老年人力资源，发展银发经济。支持依规举办养老服务领域博览会、展销会，打造集产品展示、技术交流、服务体验于一体的综合性平台。持续推进适老化改造工作。</w:t>
      </w:r>
    </w:p>
    <w:p w14:paraId="5F8A1937">
      <w:pPr>
        <w:pStyle w:val="12"/>
        <w:widowControl/>
        <w:spacing w:after="0"/>
        <w:ind w:left="0" w:leftChars="0" w:firstLine="640"/>
        <w:rPr>
          <w:rFonts w:hint="eastAsia" w:ascii="方正仿宋_GB2312" w:hAnsi="方正仿宋_GB2312" w:eastAsia="仿宋_GB2312" w:cs="方正仿宋_GB2312"/>
          <w:kern w:val="0"/>
        </w:rPr>
      </w:pPr>
      <w:r>
        <w:rPr>
          <w:rStyle w:val="16"/>
          <w:rFonts w:hint="eastAsia" w:ascii="Times New Roman" w:hAnsi="Times New Roman" w:cs="Times New Roman"/>
          <w:kern w:val="0"/>
        </w:rPr>
        <w:t>12.培育养老服务品牌。</w:t>
      </w:r>
      <w:r>
        <w:rPr>
          <w:rFonts w:hint="eastAsia" w:ascii="方正仿宋_GB2312" w:hAnsi="方正仿宋_GB2312" w:eastAsia="仿宋_GB2312" w:cs="方正仿宋_GB2312"/>
          <w:kern w:val="0"/>
        </w:rPr>
        <w:t>搭建资源对接供需平台，深化养老资源、供需、项目对接机制，支持老年康养消费品牌建设和模式创新，推动形成“事业带动产业、产业支撑事业”的良性机制，培育一批具有天津特色养老服务机构（企业），推动养老服务消费提质扩容。支持银发经济领域企业、机构和政府部门参加各类平台活动，推介产品、技术和服务，广泛搭建银发经济发展会展平台。</w:t>
      </w:r>
    </w:p>
    <w:p w14:paraId="59207C70">
      <w:pPr>
        <w:widowControl/>
        <w:pBdr>
          <w:bottom w:val="single" w:color="FFFFFF" w:sz="4" w:space="31"/>
        </w:pBdr>
        <w:autoSpaceDE w:val="0"/>
        <w:spacing w:line="560" w:lineRule="exact"/>
        <w:ind w:firstLine="640" w:firstLineChars="200"/>
        <w:rPr>
          <w:rFonts w:hint="eastAsia" w:ascii="Times New Roman" w:hAnsi="Times New Roman" w:eastAsia="仿宋" w:cs="Times New Roman"/>
          <w:color w:val="000000"/>
          <w:kern w:val="0"/>
          <w:sz w:val="32"/>
          <w:szCs w:val="22"/>
        </w:rPr>
      </w:pPr>
      <w:r>
        <w:rPr>
          <w:rStyle w:val="16"/>
          <w:rFonts w:hint="eastAsia" w:ascii="Times New Roman" w:hAnsi="Times New Roman" w:cs="Times New Roman"/>
          <w:kern w:val="0"/>
        </w:rPr>
        <w:t>13.大力挖掘养老消费市场需求。</w:t>
      </w:r>
      <w:r>
        <w:rPr>
          <w:rFonts w:hint="eastAsia" w:ascii="方正仿宋_GB2312" w:hAnsi="方正仿宋_GB2312" w:eastAsia="仿宋_GB2312" w:cs="方正仿宋_GB2312"/>
          <w:color w:val="000000"/>
          <w:kern w:val="0"/>
          <w:sz w:val="32"/>
          <w:szCs w:val="22"/>
        </w:rPr>
        <w:t>搭建养老服务消费新场景新业态，培育养老服务消费市场，促进老年用品产业升级，支持养老服务与文化、旅游、餐饮、体育、家政、教育、养生、健康等融合发展，创新和丰富养老服务产业新模式与新业态，积极释放养老服务的经济功能。支持脑机接口、外骨骼等科技创新发展。开展“养老服务消费”活动，鼓励养老机构、大型商超设置老年用品展示专区。鼓励电商平台设立银发消费专区。</w:t>
      </w:r>
    </w:p>
    <w:p w14:paraId="36FE77DF">
      <w:pPr>
        <w:pStyle w:val="2"/>
        <w:keepNext/>
        <w:keepLines w:val="0"/>
        <w:pageBreakBefore w:val="0"/>
        <w:widowControl/>
        <w:numPr>
          <w:ilvl w:val="0"/>
          <w:numId w:val="0"/>
        </w:numPr>
        <w:kinsoku/>
        <w:wordWrap/>
        <w:overflowPunct/>
        <w:topLinePunct w:val="0"/>
        <w:autoSpaceDE/>
        <w:autoSpaceDN/>
        <w:bidi w:val="0"/>
        <w:adjustRightInd/>
        <w:snapToGrid/>
        <w:spacing w:before="0" w:after="0" w:line="560" w:lineRule="exact"/>
        <w:ind w:firstLine="0" w:firstLineChars="0"/>
        <w:textAlignment w:val="auto"/>
        <w:outlineLvl w:val="0"/>
        <w:rPr>
          <w:rFonts w:hint="eastAsia" w:hAnsi="方正小标宋简体" w:cs="方正小标宋简体"/>
          <w:kern w:val="0"/>
          <w:szCs w:val="32"/>
        </w:rPr>
      </w:pPr>
      <w:bookmarkStart w:id="102" w:name="_Toc231311705"/>
      <w:r>
        <w:rPr>
          <w:rFonts w:hint="eastAsia" w:ascii="方正小标宋简体" w:hAnsi="方正小标宋简体" w:eastAsia="方正小标宋简体" w:cs="方正小标宋简体"/>
          <w:color w:val="000000"/>
          <w:kern w:val="0"/>
          <w:sz w:val="44"/>
          <w:szCs w:val="32"/>
          <w:lang w:val="en-US" w:eastAsia="zh-CN" w:bidi="ar-SA"/>
        </w:rPr>
        <w:t>第三章</w:t>
      </w:r>
      <w:r>
        <w:rPr>
          <w:rFonts w:hint="eastAsia" w:hAnsi="方正小标宋简体" w:cs="方正小标宋简体"/>
          <w:color w:val="000000"/>
          <w:kern w:val="0"/>
          <w:sz w:val="44"/>
          <w:szCs w:val="32"/>
          <w:lang w:val="en-US" w:eastAsia="zh-CN" w:bidi="ar-SA"/>
        </w:rPr>
        <w:t xml:space="preserve"> </w:t>
      </w:r>
      <w:r>
        <w:rPr>
          <w:rFonts w:hint="eastAsia" w:hAnsi="方正小标宋简体" w:cs="方正小标宋简体"/>
          <w:kern w:val="0"/>
          <w:szCs w:val="32"/>
        </w:rPr>
        <w:t>兜住兜准兜牢民生底线，提升社会</w:t>
      </w:r>
    </w:p>
    <w:p w14:paraId="634BA121">
      <w:pPr>
        <w:pStyle w:val="2"/>
        <w:keepNext/>
        <w:keepLines w:val="0"/>
        <w:pageBreakBefore w:val="0"/>
        <w:widowControl/>
        <w:numPr>
          <w:ilvl w:val="0"/>
          <w:numId w:val="0"/>
        </w:numPr>
        <w:kinsoku/>
        <w:wordWrap/>
        <w:overflowPunct/>
        <w:topLinePunct w:val="0"/>
        <w:autoSpaceDE/>
        <w:autoSpaceDN/>
        <w:bidi w:val="0"/>
        <w:adjustRightInd/>
        <w:snapToGrid/>
        <w:spacing w:before="0" w:after="0" w:line="560" w:lineRule="exact"/>
        <w:jc w:val="center"/>
        <w:textAlignment w:val="auto"/>
        <w:outlineLvl w:val="0"/>
        <w:rPr>
          <w:rFonts w:hint="eastAsia" w:hAnsi="方正小标宋简体" w:cs="方正小标宋简体"/>
          <w:kern w:val="0"/>
          <w:szCs w:val="32"/>
        </w:rPr>
      </w:pPr>
      <w:r>
        <w:rPr>
          <w:rFonts w:hint="eastAsia" w:hAnsi="方正小标宋简体" w:cs="方正小标宋简体"/>
          <w:kern w:val="0"/>
          <w:szCs w:val="32"/>
        </w:rPr>
        <w:t>救助水平</w:t>
      </w:r>
      <w:bookmarkEnd w:id="102"/>
    </w:p>
    <w:p w14:paraId="4E621ECC">
      <w:pPr>
        <w:widowControl/>
        <w:spacing w:line="560" w:lineRule="exact"/>
        <w:ind w:firstLine="640" w:firstLineChars="200"/>
        <w:rPr>
          <w:rFonts w:ascii="Times New Roman" w:hAnsi="Times New Roman" w:eastAsia="仿宋" w:cs="Times New Roman"/>
          <w:color w:val="000000"/>
          <w:kern w:val="0"/>
          <w:sz w:val="32"/>
          <w:szCs w:val="22"/>
          <w:highlight w:val="yellow"/>
        </w:rPr>
      </w:pPr>
    </w:p>
    <w:p w14:paraId="7AB6C636">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方正仿宋_GB2312" w:hAnsi="方正仿宋_GB2312" w:eastAsia="仿宋_GB2312" w:cs="方正仿宋_GB2312"/>
          <w:color w:val="000000"/>
          <w:kern w:val="0"/>
          <w:sz w:val="32"/>
          <w:szCs w:val="22"/>
        </w:rPr>
        <w:t>完善分层分类、梯度衔接的社会救助体系，健全保基本、防风险、促发展的兜底保障机制。依托动态监测预警与闭环帮扶深度融合，全面提升精准帮扶能力，切实兜住、兜准、兜牢民生底线。</w:t>
      </w:r>
    </w:p>
    <w:p w14:paraId="470F79F9">
      <w:pPr>
        <w:widowControl/>
        <w:bidi w:val="0"/>
        <w:spacing w:line="560" w:lineRule="exact"/>
        <w:ind w:firstLine="640" w:firstLineChars="200"/>
        <w:rPr>
          <w:rFonts w:ascii="Times New Roman" w:hAnsi="Times New Roman" w:eastAsia="仿宋" w:cs="Times New Roman"/>
          <w:color w:val="000000"/>
          <w:kern w:val="0"/>
          <w:sz w:val="32"/>
          <w:szCs w:val="22"/>
        </w:rPr>
      </w:pPr>
    </w:p>
    <w:p w14:paraId="7039CEB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outlineLvl w:val="1"/>
        <w:rPr>
          <w:rFonts w:hint="eastAsia" w:ascii="黑体" w:hAnsi="黑体" w:eastAsia="黑体" w:cs="黑体"/>
          <w:color w:val="000000"/>
          <w:sz w:val="32"/>
          <w:szCs w:val="32"/>
          <w:lang w:val="en-US" w:eastAsia="zh-CN" w:bidi="ar-SA"/>
        </w:rPr>
      </w:pPr>
      <w:bookmarkStart w:id="103" w:name="_Toc231311706"/>
      <w:r>
        <w:rPr>
          <w:rFonts w:hint="eastAsia" w:ascii="黑体" w:hAnsi="黑体" w:eastAsia="黑体" w:cs="黑体"/>
          <w:color w:val="000000"/>
          <w:sz w:val="32"/>
          <w:szCs w:val="32"/>
          <w:lang w:val="en-US" w:eastAsia="zh-CN" w:bidi="ar-SA"/>
        </w:rPr>
        <w:t>第一节</w:t>
      </w:r>
      <w:r>
        <w:rPr>
          <w:rFonts w:ascii="黑体" w:hAnsi="黑体" w:eastAsia="黑体" w:cs="黑体"/>
          <w:color w:val="000000"/>
          <w:sz w:val="32"/>
          <w:szCs w:val="32"/>
          <w:lang w:val="en-US" w:eastAsia="zh-CN" w:bidi="ar-SA"/>
        </w:rPr>
        <w:t xml:space="preserve">  </w:t>
      </w:r>
      <w:r>
        <w:rPr>
          <w:rFonts w:hint="eastAsia" w:ascii="黑体" w:hAnsi="黑体" w:eastAsia="黑体" w:cs="黑体"/>
          <w:color w:val="000000"/>
          <w:sz w:val="32"/>
          <w:szCs w:val="32"/>
          <w:lang w:val="en-US" w:eastAsia="zh-CN" w:bidi="ar-SA"/>
        </w:rPr>
        <w:t>深化救助制度改革，健全分层分类救助体系</w:t>
      </w:r>
      <w:bookmarkEnd w:id="103"/>
    </w:p>
    <w:p w14:paraId="40903769">
      <w:pPr>
        <w:widowControl/>
        <w:bidi w:val="0"/>
        <w:spacing w:line="560" w:lineRule="exact"/>
        <w:ind w:firstLine="640" w:firstLineChars="200"/>
        <w:rPr>
          <w:rFonts w:ascii="Times New Roman" w:hAnsi="Times New Roman" w:eastAsia="仿宋" w:cs="Times New Roman"/>
          <w:color w:val="000000"/>
          <w:kern w:val="0"/>
          <w:sz w:val="32"/>
          <w:szCs w:val="22"/>
        </w:rPr>
      </w:pPr>
    </w:p>
    <w:p w14:paraId="77CECF5B">
      <w:pPr>
        <w:spacing w:after="0" w:line="560" w:lineRule="exact"/>
        <w:ind w:firstLine="640" w:firstLineChars="200"/>
        <w:jc w:val="both"/>
        <w:rPr>
          <w:rFonts w:ascii="Times New Roman" w:hAnsi="Times New Roman" w:eastAsia="仿宋" w:cs="Times New Roman"/>
          <w:color w:val="000000"/>
          <w:sz w:val="32"/>
          <w:szCs w:val="22"/>
          <w:lang w:val="en-US" w:eastAsia="zh-CN" w:bidi="ar-SA"/>
        </w:rPr>
      </w:pPr>
      <w:r>
        <w:rPr>
          <w:rFonts w:hint="eastAsia" w:ascii="Times New Roman" w:hAnsi="Times New Roman" w:eastAsia="楷体" w:cs="Times New Roman"/>
          <w:color w:val="000000"/>
          <w:sz w:val="32"/>
          <w:szCs w:val="32"/>
          <w:lang w:val="en-US" w:eastAsia="zh-CN" w:bidi="ar-SA"/>
        </w:rPr>
        <w:t>14.构建梯度救助格局。</w:t>
      </w:r>
      <w:r>
        <w:rPr>
          <w:rFonts w:hint="eastAsia" w:ascii="方正仿宋_GB2312" w:hAnsi="方正仿宋_GB2312" w:eastAsia="仿宋_GB2312" w:cs="方正仿宋_GB2312"/>
          <w:color w:val="000000"/>
          <w:sz w:val="32"/>
          <w:szCs w:val="22"/>
          <w:lang w:val="en-US" w:eastAsia="zh-CN" w:bidi="ar-SA"/>
        </w:rPr>
        <w:t>深入推进低保边缘家庭和刚性支出困难家庭认定，推动医疗、教育、住房、就业等专项救助落实。加快形成按照困难程度分层管理、根据救助需求分类救助的梯度救助格局。强化社会救助“促发展”功能，健全促进社会救助对象就业创业、金融支持等政策措施。</w:t>
      </w:r>
    </w:p>
    <w:p w14:paraId="606D043E">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32"/>
        </w:rPr>
        <w:t>15.强化基本生活救助。</w:t>
      </w:r>
      <w:r>
        <w:rPr>
          <w:rFonts w:hint="eastAsia" w:ascii="方正仿宋_GB2312" w:hAnsi="方正仿宋_GB2312" w:eastAsia="仿宋_GB2312" w:cs="方正仿宋_GB2312"/>
          <w:color w:val="000000"/>
          <w:kern w:val="0"/>
          <w:sz w:val="32"/>
          <w:szCs w:val="22"/>
        </w:rPr>
        <w:t>全面落实低保渐退、就业成本扣减、“单人保”等政策。完善特困人员救助供养制度，夯实分散供养特困人员委托照料责任。落实最低生活保障标准动态调整机制。完善社会救助和保障标准与物价上涨挂钩联动机制，有效缓解物价上涨对困难群众基本生活的影响。</w:t>
      </w:r>
    </w:p>
    <w:p w14:paraId="2272F0AC">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16.加强临时救助。</w:t>
      </w:r>
      <w:r>
        <w:rPr>
          <w:rFonts w:hint="eastAsia" w:ascii="方正仿宋_GB2312" w:hAnsi="方正仿宋_GB2312" w:eastAsia="仿宋_GB2312" w:cs="方正仿宋_GB2312"/>
          <w:color w:val="000000"/>
          <w:kern w:val="0"/>
          <w:sz w:val="32"/>
          <w:szCs w:val="22"/>
        </w:rPr>
        <w:t>完善临时救助制度，全面推行急难事项“小额快救”，强化应急、过渡、衔接、补充作用。发挥乡镇（街道）“一事一议”机制作用，解决困难群众急难愁盼问题。加强支出型临时救助政策与刚性支出困难家庭认定工作衔接，探索通过定期定量发放临时救助金方式，保障刚性支出困难家庭基本生活。</w:t>
      </w:r>
    </w:p>
    <w:p w14:paraId="6B1DAF3D">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17.健全监督长效机制。</w:t>
      </w:r>
      <w:r>
        <w:rPr>
          <w:rFonts w:hint="eastAsia" w:ascii="方正仿宋_GB2312" w:hAnsi="方正仿宋_GB2312" w:eastAsia="仿宋_GB2312" w:cs="方正仿宋_GB2312"/>
          <w:color w:val="000000"/>
          <w:kern w:val="0"/>
          <w:sz w:val="32"/>
          <w:szCs w:val="22"/>
        </w:rPr>
        <w:t>持续开展社会救助领域综合治理，推进救助政策规范落实。健全救助资金监管机制。加强信访工作，畅通社会救助服务热线，依托</w:t>
      </w:r>
      <w:r>
        <w:rPr>
          <w:rFonts w:ascii="Times New Roman" w:hAnsi="Times New Roman" w:eastAsia="仿宋" w:cs="Times New Roman"/>
          <w:color w:val="000000"/>
          <w:kern w:val="0"/>
          <w:sz w:val="32"/>
          <w:szCs w:val="22"/>
        </w:rPr>
        <w:t>12345</w:t>
      </w:r>
      <w:r>
        <w:rPr>
          <w:rFonts w:hint="eastAsia" w:ascii="方正仿宋_GB2312" w:hAnsi="方正仿宋_GB2312" w:eastAsia="仿宋_GB2312" w:cs="方正仿宋_GB2312"/>
          <w:color w:val="000000"/>
          <w:kern w:val="0"/>
          <w:sz w:val="32"/>
          <w:szCs w:val="22"/>
        </w:rPr>
        <w:t>政务便民热线，及时解答群众咨询，解决困难群众合理诉求。严格落实社会救助经办人员近亲属备案、卡折代持备案等制度。建立健全尽职免责机制。</w:t>
      </w:r>
    </w:p>
    <w:p w14:paraId="6044AEB9">
      <w:pPr>
        <w:widowControl/>
        <w:spacing w:line="560" w:lineRule="exact"/>
        <w:ind w:firstLine="640" w:firstLineChars="200"/>
        <w:rPr>
          <w:rFonts w:ascii="Times New Roman" w:hAnsi="Times New Roman" w:eastAsia="仿宋" w:cs="Times New Roman"/>
          <w:color w:val="000000"/>
          <w:kern w:val="0"/>
          <w:sz w:val="32"/>
          <w:szCs w:val="22"/>
        </w:rPr>
      </w:pPr>
    </w:p>
    <w:p w14:paraId="6B50C8E1">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cs="黑体"/>
          <w:kern w:val="0"/>
        </w:rPr>
      </w:pPr>
      <w:bookmarkStart w:id="104" w:name="_Toc231311707"/>
      <w:r>
        <w:rPr>
          <w:rFonts w:hint="eastAsia" w:cs="Times New Roman"/>
          <w:kern w:val="0"/>
        </w:rPr>
        <w:t xml:space="preserve">第二节 </w:t>
      </w:r>
      <w:bookmarkStart w:id="105" w:name="_Toc228199301"/>
      <w:bookmarkStart w:id="106" w:name="_Toc8847"/>
      <w:bookmarkStart w:id="107" w:name="_Toc22153"/>
      <w:r>
        <w:rPr>
          <w:rFonts w:hint="eastAsia" w:cs="Times New Roman"/>
          <w:kern w:val="0"/>
        </w:rPr>
        <w:t xml:space="preserve"> </w:t>
      </w:r>
      <w:r>
        <w:rPr>
          <w:rFonts w:hint="eastAsia" w:ascii="黑体" w:hAnsi="黑体" w:cs="黑体"/>
          <w:kern w:val="0"/>
        </w:rPr>
        <w:t>强化动态监测，做好救助帮扶</w:t>
      </w:r>
      <w:bookmarkEnd w:id="104"/>
      <w:bookmarkEnd w:id="105"/>
    </w:p>
    <w:p w14:paraId="03F38EAD">
      <w:pPr>
        <w:widowControl/>
        <w:bidi w:val="0"/>
        <w:spacing w:line="560" w:lineRule="exact"/>
        <w:ind w:firstLine="640" w:firstLineChars="200"/>
        <w:rPr>
          <w:rFonts w:hint="eastAsia" w:ascii="Times New Roman" w:hAnsi="Times New Roman" w:eastAsia="仿宋" w:cs="Times New Roman"/>
          <w:color w:val="000000"/>
          <w:kern w:val="0"/>
          <w:sz w:val="32"/>
          <w:szCs w:val="22"/>
        </w:rPr>
      </w:pPr>
    </w:p>
    <w:p w14:paraId="4E0A679C">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32"/>
        </w:rPr>
        <w:t>18.加强动态监测和救助帮扶。</w:t>
      </w:r>
      <w:r>
        <w:rPr>
          <w:rFonts w:hint="eastAsia" w:ascii="方正仿宋_GB2312" w:hAnsi="方正仿宋_GB2312" w:eastAsia="仿宋_GB2312" w:cs="方正仿宋_GB2312"/>
          <w:color w:val="000000"/>
          <w:kern w:val="0"/>
          <w:sz w:val="32"/>
          <w:szCs w:val="22"/>
        </w:rPr>
        <w:t>加强社会救助动态监测信息平台建设和应用，集成社会救助经办服务系统、居民家庭经济状况核对系统、社会救助动态监测系统、“救急难”信息对接服务系统，健全完善社会救助对象数据库。落实“大数据</w:t>
      </w:r>
      <w:r>
        <w:rPr>
          <w:rFonts w:hint="default" w:ascii="Times New Roman" w:hAnsi="Times New Roman" w:eastAsia="仿宋_GB2312" w:cs="Times New Roman"/>
          <w:color w:val="000000"/>
          <w:kern w:val="0"/>
          <w:sz w:val="32"/>
          <w:szCs w:val="22"/>
        </w:rPr>
        <w:t>＋</w:t>
      </w:r>
      <w:r>
        <w:rPr>
          <w:rFonts w:hint="eastAsia" w:ascii="方正仿宋_GB2312" w:hAnsi="方正仿宋_GB2312" w:eastAsia="仿宋_GB2312" w:cs="方正仿宋_GB2312"/>
          <w:color w:val="000000"/>
          <w:kern w:val="0"/>
          <w:sz w:val="32"/>
          <w:szCs w:val="22"/>
        </w:rPr>
        <w:t>铁脚板”工作机制，健全监测预警指标体系，加强数据共享，完善预警规则和疑似数据核实处置机制，动态掌握监测对象家庭人员、收入、财产、刚性支出及政策落实等情况。</w:t>
      </w:r>
    </w:p>
    <w:p w14:paraId="6A32DFA9">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19.建立社会救助闭环帮扶机制。</w:t>
      </w:r>
      <w:r>
        <w:rPr>
          <w:rFonts w:hint="eastAsia" w:ascii="方正仿宋_GB2312" w:hAnsi="方正仿宋_GB2312" w:eastAsia="仿宋_GB2312" w:cs="方正仿宋_GB2312"/>
          <w:color w:val="000000"/>
          <w:kern w:val="0"/>
          <w:sz w:val="32"/>
          <w:szCs w:val="22"/>
        </w:rPr>
        <w:t>推进高效办成“社会救助一件事”改革，建立民政部门认定救助对象、各相关职能部门协同救助帮扶工作机制。推动构建救助对象分层管理、动态监测、因需推送、分类救助、结果反馈的闭环运行机制，建立“一户（人）一条闭环救助链”。</w:t>
      </w:r>
    </w:p>
    <w:p w14:paraId="07732EEF">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p>
    <w:p w14:paraId="51B21662">
      <w:pPr>
        <w:pStyle w:val="3"/>
        <w:keepNext/>
        <w:keepLines w:val="0"/>
        <w:pageBreakBefore w:val="0"/>
        <w:widowControl/>
        <w:kinsoku/>
        <w:wordWrap/>
        <w:overflowPunct/>
        <w:topLinePunct w:val="0"/>
        <w:autoSpaceDE/>
        <w:autoSpaceDN/>
        <w:bidi w:val="0"/>
        <w:adjustRightInd/>
        <w:snapToGrid/>
        <w:spacing w:before="0" w:after="0"/>
        <w:textAlignment w:val="auto"/>
        <w:rPr>
          <w:rFonts w:cs="Times New Roman"/>
          <w:kern w:val="0"/>
        </w:rPr>
      </w:pPr>
      <w:bookmarkStart w:id="108" w:name="_Toc228199302"/>
      <w:bookmarkStart w:id="109" w:name="_Toc231311708"/>
      <w:r>
        <w:rPr>
          <w:rFonts w:hint="eastAsia" w:ascii="黑体" w:hAnsi="黑体" w:cs="黑体"/>
          <w:kern w:val="0"/>
        </w:rPr>
        <w:t>第三节  提升救助服务效能，让救助更有温度</w:t>
      </w:r>
      <w:bookmarkEnd w:id="108"/>
      <w:bookmarkEnd w:id="109"/>
    </w:p>
    <w:p w14:paraId="4922D98F">
      <w:pPr>
        <w:widowControl/>
        <w:spacing w:line="560" w:lineRule="exact"/>
        <w:ind w:firstLine="640" w:firstLineChars="200"/>
        <w:rPr>
          <w:rFonts w:ascii="Times New Roman" w:hAnsi="Times New Roman" w:eastAsia="楷体" w:cs="Times New Roman"/>
          <w:color w:val="000000"/>
          <w:kern w:val="0"/>
          <w:sz w:val="32"/>
          <w:szCs w:val="32"/>
        </w:rPr>
      </w:pPr>
    </w:p>
    <w:p w14:paraId="3B6E45DB">
      <w:pPr>
        <w:widowControl/>
        <w:numPr>
          <w:ilvl w:val="0"/>
          <w:numId w:val="0"/>
        </w:numPr>
        <w:spacing w:line="560" w:lineRule="exact"/>
        <w:ind w:firstLine="640" w:firstLineChars="200"/>
        <w:rPr>
          <w:rFonts w:hint="eastAsia" w:ascii="方正仿宋_GB2312" w:hAnsi="方正仿宋_GB2312" w:eastAsia="方正仿宋_GB2312" w:cs="方正仿宋_GB2312"/>
          <w:color w:val="000000"/>
          <w:kern w:val="0"/>
          <w:sz w:val="32"/>
          <w:szCs w:val="32"/>
        </w:rPr>
      </w:pPr>
      <w:r>
        <w:rPr>
          <w:rFonts w:hint="default" w:ascii="Times New Roman" w:hAnsi="Times New Roman" w:eastAsia="仿宋_GB2312" w:cs="Times New Roman"/>
          <w:color w:val="000000"/>
          <w:kern w:val="0"/>
          <w:sz w:val="32"/>
          <w:szCs w:val="32"/>
          <w:lang w:val="en-US" w:eastAsia="zh-CN" w:bidi="ar-SA"/>
        </w:rPr>
        <w:t>20.</w:t>
      </w:r>
      <w:r>
        <w:rPr>
          <w:rFonts w:hint="eastAsia" w:ascii="Times New Roman" w:hAnsi="Times New Roman" w:eastAsia="楷体" w:cs="Times New Roman"/>
          <w:color w:val="000000"/>
          <w:kern w:val="0"/>
          <w:sz w:val="32"/>
          <w:szCs w:val="32"/>
        </w:rPr>
        <w:t>有效提升社会救助服务能力。</w:t>
      </w:r>
      <w:r>
        <w:rPr>
          <w:rFonts w:hint="eastAsia" w:ascii="方正仿宋_GB2312" w:hAnsi="方正仿宋_GB2312" w:eastAsia="仿宋_GB2312" w:cs="方正仿宋_GB2312"/>
          <w:color w:val="000000"/>
          <w:kern w:val="0"/>
          <w:sz w:val="32"/>
          <w:szCs w:val="32"/>
        </w:rPr>
        <w:t>持续积极发展服务类社会救助，建立健全需求评估指标体系。指导各区根据本地区财政承受能力和困难群众具体需求等实际情况，制定区级服务类社会救助清单，明确服务类别、服务内容、对象范围、服务标准等，逐步形成全市统一的服务类社会救助清单。推动社会救助由单一救助向“物质</w:t>
      </w:r>
      <w:r>
        <w:rPr>
          <w:rFonts w:hint="default" w:ascii="Times New Roman" w:hAnsi="Times New Roman" w:eastAsia="仿宋_GB2312" w:cs="Times New Roman"/>
          <w:color w:val="000000"/>
          <w:kern w:val="0"/>
          <w:sz w:val="32"/>
          <w:szCs w:val="32"/>
        </w:rPr>
        <w:t>+</w:t>
      </w:r>
      <w:r>
        <w:rPr>
          <w:rFonts w:hint="eastAsia" w:ascii="方正仿宋_GB2312" w:hAnsi="方正仿宋_GB2312" w:eastAsia="仿宋_GB2312" w:cs="方正仿宋_GB2312"/>
          <w:color w:val="000000"/>
          <w:kern w:val="0"/>
          <w:sz w:val="32"/>
          <w:szCs w:val="32"/>
        </w:rPr>
        <w:t>服务”综合救助模式转变。加强“津心办”线上申请、自我评估、社会救助直通车码等信息技术的应用，推动社会救助事项“网上办、指尖办”。进一步优化“一门受理、协同办理”机制和主动发现机制。发挥市社会救助基金会等慈善组织作用，鼓励引导社会力量广泛参与关心关爱和救助帮扶工作。</w:t>
      </w:r>
    </w:p>
    <w:bookmarkEnd w:id="106"/>
    <w:bookmarkEnd w:id="107"/>
    <w:tbl>
      <w:tblPr>
        <w:tblStyle w:val="13"/>
        <w:tblpPr w:leftFromText="180" w:rightFromText="180" w:vertAnchor="text" w:horzAnchor="page" w:tblpX="1761" w:tblpY="89"/>
        <w:tblOverlap w:val="never"/>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7A45E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8528" w:type="dxa"/>
            <w:noWrap w:val="0"/>
            <w:vAlign w:val="top"/>
          </w:tcPr>
          <w:p w14:paraId="5D78E4BF">
            <w:pPr>
              <w:pStyle w:val="6"/>
              <w:framePr w:hSpace="0" w:wrap="auto" w:vAnchor="margin" w:hAnchor="text" w:xAlign="left" w:yAlign="inline"/>
              <w:widowControl/>
              <w:rPr>
                <w:rFonts w:hint="eastAsia" w:ascii="方正仿宋_GB2312" w:hAnsi="方正仿宋_GB2312" w:eastAsia="仿宋_GB2312" w:cs="方正仿宋_GB2312"/>
                <w:color w:val="000000"/>
                <w:kern w:val="0"/>
              </w:rPr>
            </w:pPr>
            <w:r>
              <w:rPr>
                <w:rFonts w:hint="eastAsia" w:ascii="仿宋_GB2312" w:hAnsi="仿宋_GB2312" w:eastAsia="仿宋_GB2312" w:cs="仿宋_GB2312"/>
                <w:color w:val="000000"/>
                <w:kern w:val="0"/>
              </w:rPr>
              <w:t>专栏</w:t>
            </w:r>
            <w:r>
              <w:rPr>
                <w:rFonts w:hint="default" w:ascii="Times New Roman" w:hAnsi="Times New Roman" w:eastAsia="仿宋_GB2312" w:cs="Times New Roman"/>
                <w:color w:val="000000"/>
                <w:kern w:val="0"/>
              </w:rPr>
              <w:t>3</w:t>
            </w:r>
            <w:r>
              <w:rPr>
                <w:rFonts w:hint="eastAsia" w:ascii="仿宋_GB2312" w:hAnsi="仿宋_GB2312" w:eastAsia="仿宋_GB2312" w:cs="仿宋_GB2312"/>
                <w:color w:val="000000"/>
                <w:kern w:val="0"/>
              </w:rPr>
              <w:t>：健全完善社会救助工作协调机制</w:t>
            </w:r>
          </w:p>
          <w:p w14:paraId="1412945F">
            <w:pPr>
              <w:pStyle w:val="8"/>
              <w:framePr w:hSpace="0" w:wrap="auto" w:vAnchor="margin" w:hAnchor="text" w:xAlign="left" w:yAlign="inline"/>
              <w:widowControl/>
              <w:jc w:val="both"/>
              <w:rPr>
                <w:rFonts w:hint="eastAsia"/>
                <w:color w:val="000000"/>
                <w:kern w:val="0"/>
                <w:sz w:val="24"/>
              </w:rPr>
            </w:pPr>
            <w:r>
              <w:rPr>
                <w:rFonts w:ascii="Times New Roman" w:hAnsi="Times New Roman"/>
                <w:color w:val="000000"/>
                <w:kern w:val="0"/>
              </w:rPr>
              <w:t>09</w:t>
            </w:r>
            <w:r>
              <w:rPr>
                <w:color w:val="000000"/>
                <w:kern w:val="0"/>
              </w:rPr>
              <w:t xml:space="preserve"> </w:t>
            </w:r>
            <w:r>
              <w:rPr>
                <w:rFonts w:hint="eastAsia" w:ascii="方正仿宋_GB2312" w:hAnsi="方正仿宋_GB2312" w:eastAsia="仿宋_GB2312" w:cs="方正仿宋_GB2312"/>
                <w:color w:val="000000"/>
                <w:kern w:val="0"/>
              </w:rPr>
              <w:t>天津市社会救助动态监测信息平台建设。该项目旨在通过完善动态监测信息平台，健全动态监测指标体系，实现对救助对象的常态化监测预警。项目将整合社会救助预警、经办及部门间的数据交换功能，并推进与相关部门的数据共享，以提高</w:t>
            </w:r>
            <w:r>
              <w:rPr>
                <w:rFonts w:hint="eastAsia"/>
                <w:kern w:val="0"/>
              </w:rPr>
              <w:t>“一件事”</w:t>
            </w:r>
            <w:r>
              <w:rPr>
                <w:rFonts w:hint="eastAsia" w:ascii="方正仿宋_GB2312" w:hAnsi="方正仿宋_GB2312" w:eastAsia="仿宋_GB2312" w:cs="方正仿宋_GB2312"/>
                <w:color w:val="000000"/>
                <w:kern w:val="0"/>
              </w:rPr>
              <w:t>办理效能，强化部门协同、政策集成、资源统筹等，进一步提升社会救助工作的效率和服务质量。该项目预计将在</w:t>
            </w:r>
            <w:r>
              <w:rPr>
                <w:rFonts w:hint="eastAsia" w:ascii="Times New Roman" w:hAnsi="Times New Roman"/>
                <w:color w:val="000000"/>
                <w:kern w:val="0"/>
              </w:rPr>
              <w:t>2027</w:t>
            </w:r>
            <w:r>
              <w:rPr>
                <w:rFonts w:hint="eastAsia" w:ascii="方正仿宋_GB2312" w:hAnsi="方正仿宋_GB2312" w:eastAsia="仿宋_GB2312" w:cs="方正仿宋_GB2312"/>
                <w:color w:val="000000"/>
                <w:kern w:val="0"/>
              </w:rPr>
              <w:t>年上半年完成并投入使用，为社会救助对象提供更有力的支持和帮助。</w:t>
            </w:r>
          </w:p>
        </w:tc>
      </w:tr>
    </w:tbl>
    <w:p w14:paraId="0D5A1EDF">
      <w:pPr>
        <w:widowControl/>
        <w:bidi w:val="0"/>
        <w:spacing w:line="560" w:lineRule="exact"/>
        <w:ind w:firstLine="640" w:firstLineChars="200"/>
        <w:rPr>
          <w:rFonts w:hint="eastAsia" w:ascii="Times New Roman" w:hAnsi="Times New Roman" w:eastAsia="仿宋" w:cs="Times New Roman"/>
          <w:color w:val="000000"/>
          <w:kern w:val="0"/>
          <w:sz w:val="32"/>
          <w:szCs w:val="22"/>
          <w:lang w:val="en-US" w:eastAsia="zh-CN"/>
        </w:rPr>
      </w:pPr>
      <w:bookmarkStart w:id="110" w:name="_Toc231311709"/>
      <w:bookmarkStart w:id="111" w:name="_Toc22151"/>
      <w:bookmarkStart w:id="112" w:name="_Toc19546"/>
      <w:bookmarkStart w:id="113" w:name="_Toc30601"/>
      <w:bookmarkStart w:id="114" w:name="_Toc9863"/>
      <w:bookmarkStart w:id="115" w:name="_Toc32439"/>
      <w:bookmarkStart w:id="116" w:name="_Toc25159"/>
    </w:p>
    <w:p w14:paraId="7EF9B96A">
      <w:pPr>
        <w:pStyle w:val="2"/>
        <w:keepNext/>
        <w:keepLines w:val="0"/>
        <w:pageBreakBefore w:val="0"/>
        <w:widowControl/>
        <w:numPr>
          <w:ilvl w:val="0"/>
          <w:numId w:val="0"/>
        </w:numPr>
        <w:kinsoku/>
        <w:wordWrap/>
        <w:overflowPunct/>
        <w:topLinePunct w:val="0"/>
        <w:autoSpaceDE/>
        <w:autoSpaceDN/>
        <w:bidi w:val="0"/>
        <w:adjustRightInd/>
        <w:snapToGrid/>
        <w:spacing w:before="0" w:after="0" w:line="560" w:lineRule="exact"/>
        <w:ind w:left="0" w:leftChars="0" w:firstLine="0" w:firstLineChars="0"/>
        <w:textAlignment w:val="auto"/>
        <w:outlineLvl w:val="0"/>
        <w:rPr>
          <w:rFonts w:hint="eastAsia" w:hAnsi="方正小标宋简体" w:cs="方正小标宋简体"/>
          <w:kern w:val="0"/>
          <w:szCs w:val="32"/>
        </w:rPr>
      </w:pPr>
      <w:r>
        <w:rPr>
          <w:rFonts w:hint="eastAsia" w:ascii="方正小标宋简体" w:hAnsi="方正小标宋简体" w:eastAsia="方正小标宋简体" w:cs="方正小标宋简体"/>
          <w:color w:val="000000"/>
          <w:kern w:val="0"/>
          <w:sz w:val="44"/>
          <w:szCs w:val="32"/>
          <w:lang w:val="en-US" w:eastAsia="zh-CN" w:bidi="ar-SA"/>
        </w:rPr>
        <w:t>第四章</w:t>
      </w:r>
      <w:r>
        <w:rPr>
          <w:rFonts w:hint="eastAsia" w:hAnsi="方正小标宋简体" w:cs="方正小标宋简体"/>
          <w:color w:val="000000"/>
          <w:kern w:val="0"/>
          <w:sz w:val="44"/>
          <w:szCs w:val="32"/>
          <w:lang w:val="en-US" w:eastAsia="zh-CN" w:bidi="ar-SA"/>
        </w:rPr>
        <w:t xml:space="preserve"> </w:t>
      </w:r>
      <w:r>
        <w:rPr>
          <w:rFonts w:hint="eastAsia" w:hAnsi="方正小标宋简体" w:cs="方正小标宋简体"/>
          <w:kern w:val="0"/>
          <w:szCs w:val="32"/>
        </w:rPr>
        <w:t>主动适应需求转变，完善社会福利</w:t>
      </w:r>
    </w:p>
    <w:p w14:paraId="70FDA2AA">
      <w:pPr>
        <w:pStyle w:val="2"/>
        <w:keepNext/>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jc w:val="center"/>
        <w:textAlignment w:val="auto"/>
        <w:outlineLvl w:val="0"/>
        <w:rPr>
          <w:rFonts w:hint="eastAsia" w:hAnsi="方正小标宋简体" w:cs="方正小标宋简体"/>
          <w:kern w:val="0"/>
          <w:szCs w:val="32"/>
        </w:rPr>
      </w:pPr>
      <w:r>
        <w:rPr>
          <w:rFonts w:hint="eastAsia" w:hAnsi="方正小标宋简体" w:cs="方正小标宋简体"/>
          <w:kern w:val="0"/>
          <w:szCs w:val="32"/>
        </w:rPr>
        <w:t>保障体系</w:t>
      </w:r>
      <w:bookmarkEnd w:id="110"/>
    </w:p>
    <w:p w14:paraId="37F29874">
      <w:pPr>
        <w:widowControl/>
        <w:spacing w:line="560" w:lineRule="exact"/>
        <w:ind w:firstLine="640" w:firstLineChars="200"/>
        <w:rPr>
          <w:rFonts w:ascii="Times New Roman" w:hAnsi="Times New Roman" w:eastAsia="仿宋" w:cs="Times New Roman"/>
          <w:color w:val="000000"/>
          <w:kern w:val="0"/>
          <w:sz w:val="32"/>
          <w:szCs w:val="22"/>
        </w:rPr>
      </w:pPr>
    </w:p>
    <w:p w14:paraId="25BC43B2">
      <w:pPr>
        <w:widowControl/>
        <w:spacing w:line="560" w:lineRule="exact"/>
        <w:ind w:firstLine="640" w:firstLineChars="200"/>
        <w:rPr>
          <w:rFonts w:ascii="Times New Roman" w:hAnsi="Times New Roman" w:eastAsia="仿宋" w:cs="Times New Roman"/>
          <w:color w:val="000000"/>
          <w:kern w:val="0"/>
          <w:sz w:val="32"/>
          <w:szCs w:val="22"/>
        </w:rPr>
      </w:pPr>
      <w:r>
        <w:rPr>
          <w:rFonts w:hint="eastAsia" w:ascii="方正仿宋_GB2312" w:hAnsi="方正仿宋_GB2312" w:eastAsia="仿宋_GB2312" w:cs="方正仿宋_GB2312"/>
          <w:color w:val="000000"/>
          <w:kern w:val="0"/>
          <w:sz w:val="32"/>
          <w:szCs w:val="22"/>
        </w:rPr>
        <w:t>聚焦特殊群体多元需求，优化困境儿童保障与残疾人关爱体系，提升福利供给质效。结合分类施策与精准保障，推动特殊困难群体共享现代化成果，实现生活品质持续改善。</w:t>
      </w:r>
    </w:p>
    <w:p w14:paraId="2B8146A6">
      <w:pPr>
        <w:widowControl/>
        <w:spacing w:line="560" w:lineRule="exact"/>
        <w:ind w:firstLine="640" w:firstLineChars="200"/>
        <w:rPr>
          <w:rFonts w:hint="eastAsia" w:ascii="Times New Roman" w:hAnsi="Times New Roman" w:eastAsia="仿宋" w:cs="Times New Roman"/>
          <w:color w:val="000000"/>
          <w:kern w:val="0"/>
          <w:sz w:val="32"/>
          <w:szCs w:val="22"/>
        </w:rPr>
      </w:pPr>
    </w:p>
    <w:p w14:paraId="0D0423FF">
      <w:pPr>
        <w:pStyle w:val="3"/>
        <w:keepNext/>
        <w:keepLines w:val="0"/>
        <w:pageBreakBefore w:val="0"/>
        <w:widowControl/>
        <w:kinsoku/>
        <w:wordWrap/>
        <w:overflowPunct/>
        <w:topLinePunct w:val="0"/>
        <w:autoSpaceDE/>
        <w:autoSpaceDN/>
        <w:bidi w:val="0"/>
        <w:adjustRightInd/>
        <w:snapToGrid/>
        <w:spacing w:before="0" w:after="0"/>
        <w:textAlignment w:val="auto"/>
        <w:rPr>
          <w:rStyle w:val="16"/>
          <w:rFonts w:ascii="Times New Roman" w:hAnsi="Times New Roman" w:cs="Times New Roman"/>
          <w:kern w:val="0"/>
        </w:rPr>
      </w:pPr>
      <w:bookmarkStart w:id="117" w:name="_Toc231311710"/>
      <w:r>
        <w:rPr>
          <w:rFonts w:hint="eastAsia" w:ascii="黑体" w:hAnsi="黑体" w:cs="黑体"/>
          <w:kern w:val="0"/>
        </w:rPr>
        <w:t xml:space="preserve">第一节  </w:t>
      </w:r>
      <w:bookmarkEnd w:id="111"/>
      <w:bookmarkEnd w:id="112"/>
      <w:bookmarkStart w:id="118" w:name="_Toc23516"/>
      <w:bookmarkStart w:id="119" w:name="_Toc20660"/>
      <w:r>
        <w:rPr>
          <w:rFonts w:hint="eastAsia" w:ascii="黑体" w:hAnsi="黑体" w:cs="黑体"/>
          <w:kern w:val="0"/>
        </w:rPr>
        <w:t>用心用情促进儿童健康成长、全面发展</w:t>
      </w:r>
      <w:bookmarkEnd w:id="113"/>
      <w:bookmarkEnd w:id="114"/>
      <w:bookmarkEnd w:id="115"/>
      <w:bookmarkEnd w:id="116"/>
      <w:bookmarkEnd w:id="117"/>
      <w:bookmarkEnd w:id="118"/>
      <w:bookmarkEnd w:id="119"/>
    </w:p>
    <w:p w14:paraId="349D7C69">
      <w:pPr>
        <w:widowControl/>
        <w:bidi w:val="0"/>
        <w:spacing w:line="560" w:lineRule="exact"/>
        <w:ind w:left="0" w:leftChars="0" w:firstLine="0" w:firstLineChars="0"/>
        <w:rPr>
          <w:rStyle w:val="16"/>
          <w:rFonts w:ascii="Times New Roman" w:hAnsi="Times New Roman" w:eastAsia="仿宋" w:cs="Times New Roman"/>
          <w:color w:val="000000"/>
          <w:kern w:val="0"/>
          <w:sz w:val="32"/>
          <w:szCs w:val="22"/>
        </w:rPr>
      </w:pPr>
    </w:p>
    <w:p w14:paraId="0E4B1CE5">
      <w:pPr>
        <w:widowControl/>
        <w:bidi w:val="0"/>
        <w:spacing w:line="560" w:lineRule="exact"/>
        <w:ind w:left="0" w:leftChars="0" w:firstLine="640" w:firstLineChars="200"/>
        <w:rPr>
          <w:rFonts w:hint="eastAsia" w:ascii="方正仿宋_GB2312" w:hAnsi="方正仿宋_GB2312" w:eastAsia="仿宋_GB2312" w:cs="方正仿宋_GB2312"/>
          <w:color w:val="000000"/>
          <w:kern w:val="0"/>
          <w:sz w:val="32"/>
          <w:szCs w:val="22"/>
        </w:rPr>
      </w:pPr>
      <w:r>
        <w:rPr>
          <w:rStyle w:val="16"/>
          <w:rFonts w:ascii="Times New Roman" w:hAnsi="Times New Roman" w:cs="Times New Roman"/>
          <w:kern w:val="0"/>
        </w:rPr>
        <w:t>21.加强政策制度创制。</w:t>
      </w:r>
      <w:r>
        <w:rPr>
          <w:rFonts w:hint="eastAsia" w:ascii="方正仿宋_GB2312" w:hAnsi="方正仿宋_GB2312" w:eastAsia="仿宋_GB2312" w:cs="方正仿宋_GB2312"/>
          <w:color w:val="000000"/>
          <w:kern w:val="0"/>
          <w:sz w:val="32"/>
          <w:szCs w:val="22"/>
        </w:rPr>
        <w:t>深入贯彻《天津市人民政府办公厅关于进一步加强困境儿童福利保障工作的实施意见》，夯实基本生活保障、医疗康复服务、基本公共教育服务、心理健康关爱服务、人身安全保护、法定监护责任“六大体系”。完善困境儿童心理健康状况识别评估机制。健全国家监护制度体系，建立困境儿童监护能力评估制度，细化困境儿童长期监护和临时监护措施。完善收养工作政策制度，依法规范收养登记管理。推动儿童福利和权益保护标准化建设。</w:t>
      </w:r>
    </w:p>
    <w:p w14:paraId="238726D0">
      <w:pPr>
        <w:pStyle w:val="11"/>
        <w:widowControl/>
        <w:shd w:val="clear" w:color="auto" w:fill="FFFFFF"/>
        <w:autoSpaceDE w:val="0"/>
        <w:adjustRightInd w:val="0"/>
        <w:snapToGrid w:val="0"/>
        <w:spacing w:before="0" w:beforeAutospacing="0" w:after="0" w:afterAutospacing="0"/>
        <w:jc w:val="both"/>
        <w:rPr>
          <w:rFonts w:ascii="Times New Roman" w:hAnsi="Times New Roman"/>
          <w:kern w:val="0"/>
          <w:sz w:val="32"/>
          <w:szCs w:val="32"/>
        </w:rPr>
      </w:pPr>
      <w:r>
        <w:rPr>
          <w:rStyle w:val="16"/>
          <w:rFonts w:hint="eastAsia" w:ascii="Times New Roman" w:hAnsi="Times New Roman" w:cs="Times New Roman"/>
          <w:kern w:val="0"/>
        </w:rPr>
        <w:t>22.强化分类精准保障。</w:t>
      </w:r>
      <w:r>
        <w:rPr>
          <w:rFonts w:hint="eastAsia" w:ascii="方正仿宋_GB2312" w:hAnsi="方正仿宋_GB2312" w:eastAsia="仿宋_GB2312" w:cs="方正仿宋_GB2312"/>
          <w:kern w:val="0"/>
          <w:sz w:val="32"/>
          <w:szCs w:val="32"/>
        </w:rPr>
        <w:t>完善孤儿、事实无人抚养儿童基本生活保障标准动态调整机制，加强与最低生活保障标准的统筹衔接。健全流动儿童权益保障机制，完善流动儿童关爱服务基础清单，持续推动流动儿童在居住地更加均等地享有基本公共服务。完善留守儿童精准关爱服务保障体系。推动完善孤独症儿童筛查、评估、干预、照料等全链条关爱服务体系。全面开展困境儿童心理健康状况识别评估、监护评估，提升困境儿童关爱服务能力。</w:t>
      </w:r>
    </w:p>
    <w:p w14:paraId="35F31A8A">
      <w:pPr>
        <w:pStyle w:val="11"/>
        <w:widowControl/>
        <w:shd w:val="clear" w:color="auto" w:fill="FFFFFF"/>
        <w:autoSpaceDE w:val="0"/>
        <w:adjustRightInd w:val="0"/>
        <w:snapToGrid w:val="0"/>
        <w:spacing w:before="0" w:beforeAutospacing="0" w:after="0" w:afterAutospacing="0"/>
        <w:jc w:val="both"/>
        <w:rPr>
          <w:rFonts w:hint="eastAsia" w:ascii="方正仿宋_GB2312" w:hAnsi="方正仿宋_GB2312" w:eastAsia="仿宋_GB2312" w:cs="方正仿宋_GB2312"/>
          <w:kern w:val="0"/>
          <w:sz w:val="32"/>
          <w:szCs w:val="32"/>
        </w:rPr>
      </w:pPr>
      <w:r>
        <w:rPr>
          <w:rFonts w:hint="eastAsia" w:ascii="Times New Roman" w:hAnsi="Times New Roman" w:eastAsia="楷体"/>
          <w:kern w:val="0"/>
          <w:sz w:val="32"/>
          <w:szCs w:val="32"/>
        </w:rPr>
        <w:t>23.提高监督管理水平。</w:t>
      </w:r>
      <w:r>
        <w:rPr>
          <w:rFonts w:hint="eastAsia" w:ascii="方正仿宋_GB2312" w:hAnsi="方正仿宋_GB2312" w:eastAsia="仿宋_GB2312" w:cs="方正仿宋_GB2312"/>
          <w:kern w:val="0"/>
          <w:sz w:val="32"/>
          <w:szCs w:val="32"/>
        </w:rPr>
        <w:t>实施困境儿童精准识别、监测预警、服务保障信息系统建设。完善困境儿童数据统计、使用和发布信息安全机制。强化民政部门长期监护和临时监护的儿童人身安全，督促推动困境儿童监护人有效履行监护责任。推动困境儿童需求与慈善组织服务有效对接，引导社会力量参与困境儿童关爱服务。持续打造“津心护苗”关爱服务品牌，加大困境儿童福利保障工作宣传力度，营造良好社会氛围，推动公众通过慈善帮扶、志愿服务等方式关心关爱困境儿童。</w:t>
      </w:r>
    </w:p>
    <w:p w14:paraId="223296A3">
      <w:pPr>
        <w:widowControl/>
        <w:autoSpaceDE w:val="0"/>
        <w:adjustRightInd w:val="0"/>
        <w:snapToGrid w:val="0"/>
        <w:spacing w:line="560" w:lineRule="exact"/>
        <w:ind w:firstLine="640" w:firstLineChars="200"/>
        <w:rPr>
          <w:rFonts w:hint="eastAsia" w:ascii="方正仿宋_GB2312" w:hAnsi="方正仿宋_GB2312" w:eastAsia="仿宋_GB2312" w:cs="方正仿宋_GB2312"/>
          <w:color w:val="000000"/>
          <w:kern w:val="0"/>
          <w:sz w:val="32"/>
          <w:szCs w:val="32"/>
        </w:rPr>
      </w:pPr>
      <w:r>
        <w:rPr>
          <w:rStyle w:val="16"/>
          <w:rFonts w:hint="eastAsia" w:ascii="Times New Roman" w:hAnsi="Times New Roman" w:cs="Times New Roman"/>
          <w:kern w:val="0"/>
        </w:rPr>
        <w:t>24.夯实基层基础建设。</w:t>
      </w:r>
      <w:r>
        <w:rPr>
          <w:rFonts w:hint="eastAsia" w:ascii="方正仿宋_GB2312" w:hAnsi="方正仿宋_GB2312" w:eastAsia="仿宋_GB2312" w:cs="方正仿宋_GB2312"/>
          <w:color w:val="000000"/>
          <w:kern w:val="0"/>
          <w:sz w:val="32"/>
          <w:szCs w:val="22"/>
        </w:rPr>
        <w:t>推进儿童福利机构优化提质，加强养育、医疗、康复、教育、社会工作一体化发展，加快推动儿童福利院渤龙湖院区建设。推动儿童福利机构“开门办院”，为社会上有需求的残疾儿童等困境儿童及其家庭提供服务。推动未成年人救助保护机构建设，提升未成年人救助保护机构服务社会能力，为机构外有需要的儿童分类提供危机干预、监护评估、临时照料、监护支持、心理关爱等服务。鼓励支持乡镇（街道）未成年人保护工作站建设和发展。持续加强儿童福利领域服务机构安全管理。加强乡镇（街道）儿童督导员、村（社区）儿童主任培训，提升专业化、规范化能力。支持完善孤残儿童护理员职业技能等级认定制度，鼓励职业技能等级与薪酬待遇挂钩。</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5A3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17E91CFA">
            <w:pPr>
              <w:pStyle w:val="6"/>
              <w:widowControl/>
              <w:rPr>
                <w:rFonts w:hint="eastAsia"/>
                <w:color w:val="000000"/>
                <w:kern w:val="0"/>
              </w:rPr>
            </w:pPr>
            <w:r>
              <w:rPr>
                <w:rFonts w:hint="eastAsia" w:ascii="仿宋_GB2312" w:hAnsi="仿宋_GB2312" w:eastAsia="仿宋_GB2312" w:cs="仿宋_GB2312"/>
                <w:color w:val="000000"/>
                <w:kern w:val="0"/>
              </w:rPr>
              <w:t>专栏</w:t>
            </w:r>
            <w:r>
              <w:rPr>
                <w:rFonts w:hint="default" w:ascii="Times New Roman" w:hAnsi="Times New Roman" w:eastAsia="仿宋_GB2312" w:cs="Times New Roman"/>
                <w:color w:val="000000"/>
                <w:kern w:val="0"/>
              </w:rPr>
              <w:t>4</w:t>
            </w:r>
            <w:r>
              <w:rPr>
                <w:rFonts w:hint="eastAsia" w:ascii="仿宋_GB2312" w:hAnsi="仿宋_GB2312" w:eastAsia="仿宋_GB2312" w:cs="仿宋_GB2312"/>
                <w:color w:val="000000"/>
                <w:kern w:val="0"/>
              </w:rPr>
              <w:t>：儿童福利设施建设</w:t>
            </w:r>
          </w:p>
          <w:p w14:paraId="30B94E77">
            <w:pPr>
              <w:pStyle w:val="8"/>
              <w:widowControl/>
              <w:jc w:val="both"/>
              <w:rPr>
                <w:rFonts w:hint="eastAsia"/>
                <w:color w:val="000000"/>
                <w:kern w:val="0"/>
              </w:rPr>
            </w:pPr>
            <w:r>
              <w:rPr>
                <w:rFonts w:ascii="Times New Roman" w:hAnsi="Times New Roman"/>
                <w:color w:val="000000"/>
                <w:kern w:val="0"/>
              </w:rPr>
              <w:t>10</w:t>
            </w:r>
            <w:r>
              <w:rPr>
                <w:color w:val="000000"/>
                <w:kern w:val="0"/>
              </w:rPr>
              <w:t xml:space="preserve"> </w:t>
            </w:r>
            <w:r>
              <w:rPr>
                <w:rFonts w:hint="eastAsia" w:ascii="方正仿宋_GB2312" w:hAnsi="方正仿宋_GB2312" w:eastAsia="仿宋_GB2312" w:cs="方正仿宋_GB2312"/>
                <w:color w:val="000000"/>
                <w:kern w:val="0"/>
              </w:rPr>
              <w:t>市儿童福利机构建设。推动市儿童福利院（天津市民政局残疾儿童康复中心）渤龙湖院区建设项目立项。项目总投资约</w:t>
            </w:r>
            <w:r>
              <w:rPr>
                <w:rFonts w:ascii="Times New Roman" w:hAnsi="Times New Roman"/>
                <w:color w:val="000000"/>
                <w:kern w:val="0"/>
              </w:rPr>
              <w:t>3.59</w:t>
            </w:r>
            <w:r>
              <w:rPr>
                <w:rFonts w:hint="eastAsia" w:ascii="方正仿宋_GB2312" w:hAnsi="方正仿宋_GB2312" w:eastAsia="仿宋_GB2312" w:cs="方正仿宋_GB2312"/>
                <w:color w:val="000000"/>
                <w:kern w:val="0"/>
              </w:rPr>
              <w:t>亿元，选址位于滨海新区未来科技城核心区渤龙湖东侧，占地面积约</w:t>
            </w:r>
            <w:r>
              <w:rPr>
                <w:rFonts w:ascii="Times New Roman" w:hAnsi="Times New Roman"/>
                <w:color w:val="000000"/>
                <w:kern w:val="0"/>
              </w:rPr>
              <w:t>60</w:t>
            </w:r>
            <w:r>
              <w:rPr>
                <w:rFonts w:hint="eastAsia" w:ascii="方正仿宋_GB2312" w:hAnsi="方正仿宋_GB2312" w:eastAsia="仿宋_GB2312" w:cs="方正仿宋_GB2312"/>
                <w:color w:val="000000"/>
                <w:kern w:val="0"/>
              </w:rPr>
              <w:t>亩，总建筑面积</w:t>
            </w:r>
            <w:r>
              <w:rPr>
                <w:rFonts w:ascii="Times New Roman" w:hAnsi="Times New Roman"/>
                <w:color w:val="000000"/>
                <w:kern w:val="0"/>
              </w:rPr>
              <w:t>3.675</w:t>
            </w:r>
            <w:r>
              <w:rPr>
                <w:rFonts w:hint="eastAsia" w:ascii="方正仿宋_GB2312" w:hAnsi="方正仿宋_GB2312" w:eastAsia="仿宋_GB2312" w:cs="方正仿宋_GB2312"/>
                <w:color w:val="000000"/>
                <w:kern w:val="0"/>
              </w:rPr>
              <w:t>万平方米，设置床位</w:t>
            </w:r>
            <w:r>
              <w:rPr>
                <w:rFonts w:ascii="Times New Roman" w:hAnsi="Times New Roman"/>
                <w:color w:val="000000"/>
                <w:kern w:val="0"/>
              </w:rPr>
              <w:t>550</w:t>
            </w:r>
            <w:r>
              <w:rPr>
                <w:rFonts w:hint="eastAsia" w:ascii="方正仿宋_GB2312" w:hAnsi="方正仿宋_GB2312" w:eastAsia="仿宋_GB2312" w:cs="方正仿宋_GB2312"/>
                <w:color w:val="000000"/>
                <w:kern w:val="0"/>
              </w:rPr>
              <w:t>张。</w:t>
            </w:r>
          </w:p>
          <w:p w14:paraId="2F950309">
            <w:pPr>
              <w:pStyle w:val="8"/>
              <w:widowControl/>
              <w:jc w:val="both"/>
              <w:rPr>
                <w:rFonts w:hint="eastAsia"/>
                <w:color w:val="000000"/>
                <w:kern w:val="0"/>
              </w:rPr>
            </w:pPr>
            <w:r>
              <w:rPr>
                <w:rFonts w:ascii="Times New Roman" w:hAnsi="Times New Roman"/>
                <w:color w:val="000000"/>
                <w:kern w:val="0"/>
              </w:rPr>
              <w:t>11</w:t>
            </w:r>
            <w:r>
              <w:rPr>
                <w:color w:val="000000"/>
                <w:kern w:val="0"/>
              </w:rPr>
              <w:t xml:space="preserve"> </w:t>
            </w:r>
            <w:r>
              <w:rPr>
                <w:rFonts w:hint="eastAsia" w:ascii="方正仿宋_GB2312" w:hAnsi="方正仿宋_GB2312" w:eastAsia="仿宋_GB2312" w:cs="方正仿宋_GB2312"/>
                <w:color w:val="000000"/>
                <w:kern w:val="0"/>
              </w:rPr>
              <w:t>未成年人救助保护机构建设。支持困境儿童数量较多或者服务保障需求迫切地方的未成年人救助保护机构配备必要设备，推进未成年人救助保护机构充分发挥作用，为机构外有需要的儿童提供危机干预、监护评估、临时照料、监护支持、心理关爱等服务。</w:t>
            </w:r>
          </w:p>
          <w:p w14:paraId="7B1DB2DF">
            <w:pPr>
              <w:pStyle w:val="8"/>
              <w:widowControl/>
              <w:jc w:val="both"/>
              <w:rPr>
                <w:rFonts w:hint="eastAsia"/>
                <w:color w:val="000000"/>
                <w:kern w:val="0"/>
              </w:rPr>
            </w:pPr>
            <w:r>
              <w:rPr>
                <w:rFonts w:ascii="Times New Roman" w:hAnsi="Times New Roman"/>
                <w:color w:val="000000"/>
                <w:kern w:val="0"/>
              </w:rPr>
              <w:t>12</w:t>
            </w:r>
            <w:r>
              <w:rPr>
                <w:color w:val="000000"/>
                <w:kern w:val="0"/>
              </w:rPr>
              <w:t xml:space="preserve"> </w:t>
            </w:r>
            <w:r>
              <w:rPr>
                <w:rFonts w:hint="eastAsia" w:ascii="方正仿宋_GB2312" w:hAnsi="方正仿宋_GB2312" w:eastAsia="仿宋_GB2312" w:cs="方正仿宋_GB2312"/>
                <w:color w:val="000000"/>
                <w:kern w:val="0"/>
              </w:rPr>
              <w:t>未成年人保护工作站点建设。推动乡镇（街道）未成年人保护工作站、村（社区）儿童关爱服务场所建设和作用发挥。通过选优配强儿童督导员、儿童主任，引入社会力量等方式，为困境儿童及其家庭提供嵌入式、专业化的“家门口服务”，并拓展服务其他儿童及其家庭。</w:t>
            </w:r>
          </w:p>
        </w:tc>
      </w:tr>
    </w:tbl>
    <w:p w14:paraId="0F6B44E2">
      <w:pPr>
        <w:widowControl/>
        <w:bidi w:val="0"/>
        <w:spacing w:line="560" w:lineRule="exact"/>
        <w:ind w:left="0" w:leftChars="0" w:firstLine="0" w:firstLineChars="0"/>
        <w:rPr>
          <w:rFonts w:ascii="Times New Roman" w:hAnsi="Times New Roman" w:eastAsia="仿宋" w:cs="Times New Roman"/>
          <w:color w:val="000000"/>
          <w:kern w:val="0"/>
          <w:sz w:val="32"/>
          <w:szCs w:val="22"/>
        </w:rPr>
      </w:pPr>
    </w:p>
    <w:p w14:paraId="4C29981C">
      <w:pPr>
        <w:pStyle w:val="12"/>
        <w:keepNext w:val="0"/>
        <w:keepLines w:val="0"/>
        <w:pageBreakBefore w:val="0"/>
        <w:widowControl/>
        <w:kinsoku/>
        <w:wordWrap/>
        <w:overflowPunct/>
        <w:topLinePunct w:val="0"/>
        <w:autoSpaceDE/>
        <w:autoSpaceDN/>
        <w:bidi w:val="0"/>
        <w:adjustRightInd/>
        <w:snapToGrid/>
        <w:spacing w:after="0"/>
        <w:ind w:left="0" w:leftChars="0" w:firstLine="0" w:firstLineChars="0"/>
        <w:jc w:val="center"/>
        <w:textAlignment w:val="auto"/>
        <w:outlineLvl w:val="1"/>
        <w:rPr>
          <w:rFonts w:hint="eastAsia" w:ascii="黑体" w:hAnsi="黑体" w:eastAsia="黑体" w:cs="黑体"/>
          <w:kern w:val="0"/>
          <w:szCs w:val="32"/>
          <w:shd w:val="clear" w:color="auto" w:fill="FFFFFF"/>
        </w:rPr>
      </w:pPr>
      <w:bookmarkStart w:id="120" w:name="_Toc231311711"/>
      <w:r>
        <w:rPr>
          <w:rFonts w:hint="eastAsia" w:ascii="黑体" w:hAnsi="黑体" w:eastAsia="黑体" w:cs="黑体"/>
          <w:kern w:val="0"/>
          <w:szCs w:val="32"/>
          <w:shd w:val="clear" w:color="auto" w:fill="FFFFFF"/>
        </w:rPr>
        <w:t>第二节  完善残疾人社会保障制度和关爱服务体系</w:t>
      </w:r>
      <w:bookmarkEnd w:id="120"/>
    </w:p>
    <w:p w14:paraId="75516DF4">
      <w:pPr>
        <w:widowControl/>
        <w:bidi w:val="0"/>
        <w:spacing w:line="560" w:lineRule="exact"/>
        <w:ind w:firstLine="640" w:firstLineChars="200"/>
        <w:rPr>
          <w:rFonts w:ascii="Times New Roman" w:hAnsi="Times New Roman" w:eastAsia="仿宋" w:cs="Times New Roman"/>
          <w:color w:val="000000"/>
          <w:kern w:val="0"/>
          <w:sz w:val="32"/>
          <w:szCs w:val="22"/>
        </w:rPr>
      </w:pPr>
    </w:p>
    <w:p w14:paraId="20509037">
      <w:pPr>
        <w:pStyle w:val="12"/>
        <w:widowControl/>
        <w:spacing w:after="0"/>
        <w:ind w:left="0" w:leftChars="0" w:firstLine="640"/>
        <w:rPr>
          <w:rFonts w:hint="eastAsia" w:ascii="方正仿宋_GB2312" w:hAnsi="方正仿宋_GB2312" w:eastAsia="仿宋_GB2312" w:cs="方正仿宋_GB2312"/>
          <w:kern w:val="0"/>
          <w:szCs w:val="32"/>
          <w:shd w:val="clear" w:color="auto" w:fill="FFFFFF"/>
        </w:rPr>
      </w:pPr>
      <w:r>
        <w:rPr>
          <w:rFonts w:hint="eastAsia" w:eastAsia="楷体" w:cs="Times New Roman"/>
          <w:kern w:val="0"/>
          <w:szCs w:val="32"/>
          <w:shd w:val="clear" w:color="auto" w:fill="FFFFFF"/>
        </w:rPr>
        <w:t>25.持续落实完善残疾人“两项补贴”制度。</w:t>
      </w:r>
      <w:r>
        <w:rPr>
          <w:rFonts w:hint="eastAsia" w:ascii="方正仿宋_GB2312" w:hAnsi="方正仿宋_GB2312" w:eastAsia="仿宋_GB2312" w:cs="方正仿宋_GB2312"/>
          <w:kern w:val="0"/>
          <w:szCs w:val="32"/>
          <w:shd w:val="clear" w:color="auto" w:fill="FFFFFF"/>
        </w:rPr>
        <w:t>对主动申请且符合条件的残疾人实现残疾人“两项补贴”全覆盖；运用信息化手段不断提升补贴对象精准管理水平，打通数据共享链路；落实补贴动态调整机制，实现补贴标准与经济社会发展水平联动调整、均衡增长。</w:t>
      </w:r>
    </w:p>
    <w:p w14:paraId="5EE74F78">
      <w:pPr>
        <w:pStyle w:val="12"/>
        <w:widowControl/>
        <w:spacing w:after="0"/>
        <w:ind w:left="0" w:leftChars="0" w:firstLine="640"/>
        <w:rPr>
          <w:rFonts w:hint="eastAsia" w:ascii="方正仿宋_GB2312" w:hAnsi="方正仿宋_GB2312" w:eastAsia="仿宋_GB2312" w:cs="方正仿宋_GB2312"/>
          <w:kern w:val="0"/>
          <w:szCs w:val="32"/>
          <w:shd w:val="clear" w:color="auto" w:fill="FFFFFF"/>
        </w:rPr>
      </w:pPr>
      <w:r>
        <w:rPr>
          <w:rFonts w:hint="eastAsia" w:eastAsia="楷体" w:cs="Times New Roman"/>
          <w:kern w:val="0"/>
          <w:szCs w:val="32"/>
          <w:shd w:val="clear" w:color="auto" w:fill="FFFFFF"/>
        </w:rPr>
        <w:t>26.构建重度残疾人托养照护服务体系。</w:t>
      </w:r>
      <w:r>
        <w:rPr>
          <w:rFonts w:hint="eastAsia" w:ascii="方正仿宋_GB2312" w:hAnsi="方正仿宋_GB2312" w:eastAsia="仿宋_GB2312" w:cs="方正仿宋_GB2312"/>
          <w:kern w:val="0"/>
          <w:szCs w:val="32"/>
          <w:shd w:val="clear" w:color="auto" w:fill="FFFFFF"/>
        </w:rPr>
        <w:t>强化重度残疾人托养照护服务和养老服务衔接，支持有能力的养老机构承接重度残疾人托养照护服务，探索“老年父母＋残疾子女”家庭共同入住养老机构或其他照护机构，鼓励有条件的养老机构设置“老年父母＋残疾子女”照护单元，提供兼顾老年人和残疾子女不同需求的机构照护服务。</w:t>
      </w:r>
    </w:p>
    <w:p w14:paraId="4287772D">
      <w:pPr>
        <w:pStyle w:val="12"/>
        <w:widowControl/>
        <w:spacing w:after="0"/>
        <w:ind w:left="0" w:leftChars="0" w:firstLine="640"/>
        <w:rPr>
          <w:rFonts w:hint="eastAsia" w:ascii="方正仿宋_GB2312" w:hAnsi="方正仿宋_GB2312" w:eastAsia="仿宋_GB2312" w:cs="方正仿宋_GB2312"/>
          <w:kern w:val="0"/>
          <w:szCs w:val="32"/>
          <w:shd w:val="clear" w:color="auto" w:fill="FFFFFF"/>
        </w:rPr>
      </w:pPr>
      <w:r>
        <w:rPr>
          <w:rFonts w:hint="eastAsia" w:eastAsia="楷体" w:cs="Times New Roman"/>
          <w:kern w:val="0"/>
          <w:szCs w:val="32"/>
          <w:shd w:val="clear" w:color="auto" w:fill="FFFFFF"/>
        </w:rPr>
        <w:t>27.推动精神障碍社区康复服务</w:t>
      </w:r>
      <w:r>
        <w:rPr>
          <w:rFonts w:hint="eastAsia" w:ascii="宋体" w:hAnsi="宋体" w:eastAsia="宋体" w:cs="宋体"/>
          <w:kern w:val="0"/>
          <w:szCs w:val="32"/>
          <w:shd w:val="clear" w:color="auto" w:fill="FFFFFF"/>
        </w:rPr>
        <w:t>。</w:t>
      </w:r>
      <w:r>
        <w:rPr>
          <w:rFonts w:hint="eastAsia" w:ascii="方正仿宋_GB2312" w:hAnsi="方正仿宋_GB2312" w:eastAsia="仿宋_GB2312" w:cs="方正仿宋_GB2312"/>
          <w:kern w:val="0"/>
          <w:szCs w:val="32"/>
          <w:shd w:val="clear" w:color="auto" w:fill="FFFFFF"/>
        </w:rPr>
        <w:t>持续实施“精康融合行动”，探索推进精神障碍社区康复服务可持续发展。深化民政与卫健、残联、社会组织等沟通协作，实现资源共享与优势互补。积极探索可复制、可推广的“精康融合”工作模式，形成布局规划合理、服务主体多元、人才队伍专业、转介衔接顺畅、管理机制规范的“精康融合”发展局面。</w:t>
      </w:r>
    </w:p>
    <w:p w14:paraId="270C4851">
      <w:pPr>
        <w:pStyle w:val="12"/>
        <w:keepNext w:val="0"/>
        <w:keepLines w:val="0"/>
        <w:pageBreakBefore w:val="0"/>
        <w:widowControl/>
        <w:kinsoku/>
        <w:wordWrap/>
        <w:overflowPunct/>
        <w:topLinePunct w:val="0"/>
        <w:autoSpaceDE/>
        <w:autoSpaceDN/>
        <w:bidi w:val="0"/>
        <w:adjustRightInd/>
        <w:snapToGrid/>
        <w:spacing w:after="0"/>
        <w:ind w:left="0" w:leftChars="0" w:firstLine="640"/>
        <w:textAlignment w:val="auto"/>
        <w:rPr>
          <w:rFonts w:hint="eastAsia" w:ascii="方正仿宋_GB2312" w:hAnsi="方正仿宋_GB2312" w:eastAsia="仿宋_GB2312" w:cs="方正仿宋_GB2312"/>
          <w:kern w:val="0"/>
          <w:szCs w:val="32"/>
          <w:shd w:val="clear" w:color="auto" w:fill="FFFFFF"/>
        </w:rPr>
      </w:pPr>
      <w:r>
        <w:rPr>
          <w:rFonts w:hint="eastAsia" w:eastAsia="楷体" w:cs="Times New Roman"/>
          <w:kern w:val="0"/>
          <w:szCs w:val="32"/>
          <w:shd w:val="clear" w:color="auto" w:fill="FFFFFF"/>
        </w:rPr>
        <w:t>28.推进康复辅助器具产业发展。</w:t>
      </w:r>
      <w:r>
        <w:rPr>
          <w:rFonts w:hint="eastAsia" w:ascii="方正仿宋_GB2312" w:hAnsi="方正仿宋_GB2312" w:eastAsia="仿宋_GB2312" w:cs="方正仿宋_GB2312"/>
          <w:kern w:val="0"/>
          <w:szCs w:val="32"/>
          <w:shd w:val="clear" w:color="auto" w:fill="FFFFFF"/>
        </w:rPr>
        <w:t>落实民政部《</w:t>
      </w:r>
      <w:r>
        <w:rPr>
          <w:rFonts w:hint="eastAsia" w:ascii="方正仿宋_GB2312" w:hAnsi="方正仿宋_GB2312" w:eastAsia="仿宋_GB2312" w:cs="方正仿宋_GB2312"/>
          <w:kern w:val="0"/>
          <w:lang w:eastAsia="zh-CN"/>
        </w:rPr>
        <w:t>〈</w:t>
      </w:r>
      <w:r>
        <w:rPr>
          <w:rFonts w:hint="eastAsia" w:ascii="方正仿宋_GB2312" w:hAnsi="方正仿宋_GB2312" w:eastAsia="仿宋_GB2312" w:cs="方正仿宋_GB2312"/>
          <w:kern w:val="0"/>
          <w:szCs w:val="32"/>
          <w:shd w:val="clear" w:color="auto" w:fill="FFFFFF"/>
        </w:rPr>
        <w:t>中国康复辅助器具目录</w:t>
      </w:r>
      <w:r>
        <w:rPr>
          <w:rFonts w:hint="eastAsia" w:ascii="方正仿宋_GB2312" w:hAnsi="方正仿宋_GB2312" w:eastAsia="仿宋_GB2312" w:cs="方正仿宋_GB2312"/>
          <w:kern w:val="0"/>
          <w:lang w:eastAsia="zh-CN"/>
        </w:rPr>
        <w:t>〉</w:t>
      </w:r>
      <w:r>
        <w:rPr>
          <w:rFonts w:hint="eastAsia" w:ascii="方正仿宋_GB2312" w:hAnsi="方正仿宋_GB2312" w:eastAsia="仿宋_GB2312" w:cs="方正仿宋_GB2312"/>
          <w:kern w:val="0"/>
          <w:szCs w:val="32"/>
          <w:shd w:val="clear" w:color="auto" w:fill="FFFFFF"/>
        </w:rPr>
        <w:t>动态调整工作规程》要求，促进康复辅助器具更好地服务老年人、残疾人、伤病人等群体。探索建设区域性综合服务中心，健全完善康复辅助器具展示、租赁、洗消等辅助器具租赁服务体系。</w:t>
      </w:r>
    </w:p>
    <w:p w14:paraId="069393A6">
      <w:pPr>
        <w:pStyle w:val="12"/>
        <w:widowControl/>
        <w:spacing w:after="0"/>
        <w:ind w:left="0" w:leftChars="0" w:firstLine="640"/>
        <w:rPr>
          <w:rFonts w:hint="eastAsia" w:ascii="方正仿宋_GB2312" w:hAnsi="方正仿宋_GB2312" w:eastAsia="仿宋_GB2312" w:cs="方正仿宋_GB2312"/>
          <w:kern w:val="0"/>
          <w:szCs w:val="32"/>
          <w:shd w:val="clear" w:color="auto" w:fill="FFFFFF"/>
        </w:rPr>
      </w:pPr>
      <w:r>
        <w:rPr>
          <w:rFonts w:hint="eastAsia" w:eastAsia="楷体" w:cs="Times New Roman"/>
          <w:kern w:val="0"/>
          <w:szCs w:val="32"/>
          <w:shd w:val="clear" w:color="auto" w:fill="FFFFFF"/>
        </w:rPr>
        <w:t>29.切实维护残疾人合法权益。</w:t>
      </w:r>
      <w:r>
        <w:rPr>
          <w:rFonts w:hint="eastAsia" w:ascii="方正仿宋_GB2312" w:hAnsi="方正仿宋_GB2312" w:eastAsia="仿宋_GB2312" w:cs="方正仿宋_GB2312"/>
          <w:kern w:val="0"/>
          <w:szCs w:val="32"/>
          <w:shd w:val="clear" w:color="auto" w:fill="FFFFFF"/>
        </w:rPr>
        <w:t>推动落实对存在精神、智力障碍等无完全民事行为能力的成年人的监护制度，健全促进残疾人集中就业等权益保护制度。</w:t>
      </w:r>
    </w:p>
    <w:tbl>
      <w:tblPr>
        <w:tblStyle w:val="13"/>
        <w:tblW w:w="8528"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21F2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0" w:hRule="atLeast"/>
        </w:trPr>
        <w:tc>
          <w:tcPr>
            <w:tcW w:w="8528" w:type="dxa"/>
            <w:noWrap w:val="0"/>
            <w:vAlign w:val="top"/>
          </w:tcPr>
          <w:p w14:paraId="547EF006">
            <w:pPr>
              <w:pStyle w:val="6"/>
              <w:widowControl/>
              <w:rPr>
                <w:rFonts w:hint="eastAsia"/>
                <w:color w:val="000000"/>
                <w:kern w:val="0"/>
              </w:rPr>
            </w:pPr>
            <w:r>
              <w:rPr>
                <w:rFonts w:hint="eastAsia" w:ascii="仿宋_GB2312" w:hAnsi="仿宋_GB2312" w:eastAsia="仿宋_GB2312" w:cs="仿宋_GB2312"/>
                <w:color w:val="000000"/>
                <w:kern w:val="0"/>
              </w:rPr>
              <w:t>专栏</w:t>
            </w:r>
            <w:r>
              <w:rPr>
                <w:rFonts w:hint="default" w:ascii="Times New Roman" w:hAnsi="Times New Roman" w:eastAsia="仿宋_GB2312" w:cs="Times New Roman"/>
                <w:color w:val="000000"/>
                <w:kern w:val="0"/>
              </w:rPr>
              <w:t>5</w:t>
            </w:r>
            <w:r>
              <w:rPr>
                <w:rFonts w:hint="eastAsia" w:ascii="仿宋_GB2312" w:hAnsi="仿宋_GB2312" w:eastAsia="仿宋_GB2312" w:cs="仿宋_GB2312"/>
                <w:color w:val="000000"/>
                <w:kern w:val="0"/>
              </w:rPr>
              <w:t>：残疾人支持服务体系一体化建设</w:t>
            </w:r>
          </w:p>
          <w:p w14:paraId="157DB858">
            <w:pPr>
              <w:pStyle w:val="8"/>
              <w:widowControl/>
              <w:jc w:val="both"/>
              <w:rPr>
                <w:rFonts w:hint="eastAsia"/>
                <w:color w:val="000000"/>
                <w:kern w:val="0"/>
              </w:rPr>
            </w:pPr>
            <w:r>
              <w:rPr>
                <w:rFonts w:ascii="Times New Roman" w:hAnsi="Times New Roman"/>
                <w:color w:val="000000"/>
                <w:kern w:val="0"/>
              </w:rPr>
              <w:t>13</w:t>
            </w:r>
            <w:r>
              <w:rPr>
                <w:color w:val="000000"/>
                <w:kern w:val="0"/>
              </w:rPr>
              <w:t xml:space="preserve"> </w:t>
            </w:r>
            <w:r>
              <w:rPr>
                <w:rFonts w:hint="eastAsia" w:ascii="方正仿宋_GB2312" w:hAnsi="方正仿宋_GB2312" w:eastAsia="仿宋_GB2312" w:cs="方正仿宋_GB2312"/>
                <w:color w:val="000000"/>
                <w:kern w:val="0"/>
              </w:rPr>
              <w:t>强化残疾人服务体系建设。聚焦残疾人支持服务体系一体化建设，着力构建集托养照护、社区康复、辅具支持与权益保障于一体的综合性服务体系。重点强化重度残疾人托养照护与养老服务的有效衔接，探索推广“老年父母＋残疾子女”家庭支持等新型照护模式。</w:t>
            </w:r>
          </w:p>
          <w:p w14:paraId="48388492">
            <w:pPr>
              <w:pStyle w:val="8"/>
              <w:widowControl/>
              <w:jc w:val="both"/>
              <w:rPr>
                <w:rFonts w:hint="eastAsia"/>
                <w:color w:val="000000"/>
                <w:kern w:val="0"/>
                <w:highlight w:val="yellow"/>
              </w:rPr>
            </w:pPr>
            <w:r>
              <w:rPr>
                <w:rFonts w:ascii="Times New Roman" w:hAnsi="Times New Roman"/>
                <w:color w:val="000000"/>
                <w:kern w:val="0"/>
              </w:rPr>
              <w:t>14</w:t>
            </w:r>
            <w:r>
              <w:rPr>
                <w:color w:val="000000"/>
                <w:kern w:val="0"/>
              </w:rPr>
              <w:t xml:space="preserve"> </w:t>
            </w:r>
            <w:r>
              <w:rPr>
                <w:rFonts w:hint="eastAsia" w:ascii="方正仿宋_GB2312" w:hAnsi="方正仿宋_GB2312" w:eastAsia="仿宋_GB2312" w:cs="方正仿宋_GB2312"/>
                <w:color w:val="000000"/>
                <w:kern w:val="0"/>
              </w:rPr>
              <w:t>实施“精康融合行动”。持续深化“精康融合行动”，健全精神障碍社区康复服务网络；探索建设区域性康复辅助器具综合服务中心，完善租赁和循环利用体系。“十五五”期间将重点推进相关工作，着力打破服务壁垒，形成主体多元、资源共享、衔接顺畅的残疾人关爱服务新格局，切实提升残疾人的获得感、幸福感和安全感。</w:t>
            </w:r>
          </w:p>
          <w:p w14:paraId="31B96692">
            <w:pPr>
              <w:pStyle w:val="8"/>
              <w:widowControl/>
              <w:jc w:val="both"/>
              <w:rPr>
                <w:rFonts w:hint="eastAsia"/>
                <w:color w:val="000000"/>
                <w:kern w:val="0"/>
                <w:sz w:val="24"/>
                <w:szCs w:val="24"/>
              </w:rPr>
            </w:pPr>
            <w:r>
              <w:rPr>
                <w:rFonts w:ascii="Times New Roman" w:hAnsi="Times New Roman"/>
                <w:color w:val="000000"/>
                <w:kern w:val="0"/>
              </w:rPr>
              <w:t>15</w:t>
            </w:r>
            <w:r>
              <w:rPr>
                <w:color w:val="000000"/>
                <w:kern w:val="0"/>
              </w:rPr>
              <w:t xml:space="preserve"> </w:t>
            </w:r>
            <w:r>
              <w:rPr>
                <w:rFonts w:hint="eastAsia" w:ascii="方正仿宋_GB2312" w:hAnsi="方正仿宋_GB2312" w:eastAsia="仿宋_GB2312" w:cs="方正仿宋_GB2312"/>
                <w:color w:val="000000"/>
                <w:kern w:val="0"/>
              </w:rPr>
              <w:t>精神卫生重点建设项目。推动市安宁医院迁址新建项目（一期工程）立项。项目位于西青区卫南洼民政福利园区内，总投资</w:t>
            </w:r>
            <w:r>
              <w:rPr>
                <w:rFonts w:hint="default" w:ascii="Times New Roman" w:hAnsi="Times New Roman" w:eastAsia="仿宋_GB2312" w:cs="Times New Roman"/>
                <w:color w:val="000000"/>
                <w:kern w:val="0"/>
              </w:rPr>
              <w:t>7.98</w:t>
            </w:r>
            <w:r>
              <w:rPr>
                <w:rFonts w:hint="eastAsia" w:ascii="方正仿宋_GB2312" w:hAnsi="方正仿宋_GB2312" w:eastAsia="仿宋_GB2312" w:cs="方正仿宋_GB2312"/>
                <w:color w:val="000000"/>
                <w:kern w:val="0"/>
              </w:rPr>
              <w:t>亿元，占地面积</w:t>
            </w:r>
            <w:r>
              <w:rPr>
                <w:rFonts w:ascii="Times New Roman" w:hAnsi="Times New Roman"/>
                <w:color w:val="000000"/>
                <w:kern w:val="0"/>
              </w:rPr>
              <w:t>95</w:t>
            </w:r>
            <w:r>
              <w:rPr>
                <w:rFonts w:hint="eastAsia" w:ascii="方正仿宋_GB2312" w:hAnsi="方正仿宋_GB2312" w:eastAsia="仿宋_GB2312" w:cs="方正仿宋_GB2312"/>
                <w:color w:val="000000"/>
                <w:kern w:val="0"/>
              </w:rPr>
              <w:t>亩，计划分二期组织实施，“十五五”时期，实施项目一期建设，总投资</w:t>
            </w:r>
            <w:r>
              <w:rPr>
                <w:rFonts w:ascii="Times New Roman" w:hAnsi="Times New Roman"/>
                <w:color w:val="000000"/>
                <w:kern w:val="0"/>
              </w:rPr>
              <w:t>3.98</w:t>
            </w:r>
            <w:r>
              <w:rPr>
                <w:rFonts w:hint="eastAsia" w:ascii="方正仿宋_GB2312" w:hAnsi="方正仿宋_GB2312" w:eastAsia="仿宋_GB2312" w:cs="方正仿宋_GB2312"/>
                <w:color w:val="000000"/>
                <w:kern w:val="0"/>
              </w:rPr>
              <w:t>亿元，总建筑面积</w:t>
            </w:r>
            <w:r>
              <w:rPr>
                <w:rFonts w:ascii="Times New Roman" w:hAnsi="Times New Roman"/>
                <w:color w:val="000000"/>
                <w:kern w:val="0"/>
              </w:rPr>
              <w:t>3.1</w:t>
            </w:r>
            <w:r>
              <w:rPr>
                <w:rFonts w:hint="eastAsia" w:ascii="方正仿宋_GB2312" w:hAnsi="方正仿宋_GB2312" w:eastAsia="仿宋_GB2312" w:cs="方正仿宋_GB2312"/>
                <w:color w:val="000000"/>
                <w:kern w:val="0"/>
              </w:rPr>
              <w:t>万平方米，建设住院楼、医技楼，设置床位</w:t>
            </w:r>
            <w:r>
              <w:rPr>
                <w:rFonts w:ascii="Times New Roman" w:hAnsi="Times New Roman"/>
                <w:color w:val="000000"/>
                <w:kern w:val="0"/>
              </w:rPr>
              <w:t>594</w:t>
            </w:r>
            <w:r>
              <w:rPr>
                <w:rFonts w:hint="eastAsia" w:ascii="方正仿宋_GB2312" w:hAnsi="方正仿宋_GB2312" w:eastAsia="仿宋_GB2312" w:cs="方正仿宋_GB2312"/>
                <w:color w:val="000000"/>
                <w:kern w:val="0"/>
              </w:rPr>
              <w:t>张。推动市社会福利院扩建项目立项。项目位于西青区卫南洼民政福利园区内，总投资</w:t>
            </w:r>
            <w:r>
              <w:rPr>
                <w:rFonts w:ascii="Times New Roman" w:hAnsi="Times New Roman"/>
                <w:color w:val="000000"/>
                <w:kern w:val="0"/>
              </w:rPr>
              <w:t>3.24</w:t>
            </w:r>
            <w:r>
              <w:rPr>
                <w:rFonts w:hint="eastAsia" w:ascii="方正仿宋_GB2312" w:hAnsi="方正仿宋_GB2312" w:eastAsia="仿宋_GB2312" w:cs="方正仿宋_GB2312"/>
                <w:color w:val="000000"/>
                <w:kern w:val="0"/>
              </w:rPr>
              <w:t>亿元，占地面积约</w:t>
            </w:r>
            <w:r>
              <w:rPr>
                <w:rFonts w:ascii="Times New Roman" w:hAnsi="Times New Roman"/>
                <w:color w:val="000000"/>
                <w:kern w:val="0"/>
              </w:rPr>
              <w:t>105</w:t>
            </w:r>
            <w:r>
              <w:rPr>
                <w:rFonts w:hint="eastAsia" w:ascii="方正仿宋_GB2312" w:hAnsi="方正仿宋_GB2312" w:eastAsia="仿宋_GB2312" w:cs="方正仿宋_GB2312"/>
                <w:color w:val="000000"/>
                <w:kern w:val="0"/>
              </w:rPr>
              <w:t>亩，总建筑面积</w:t>
            </w:r>
            <w:r>
              <w:rPr>
                <w:rFonts w:ascii="Times New Roman" w:hAnsi="Times New Roman"/>
                <w:color w:val="000000"/>
                <w:kern w:val="0"/>
              </w:rPr>
              <w:t>2.82</w:t>
            </w:r>
            <w:r>
              <w:rPr>
                <w:rFonts w:hint="eastAsia" w:ascii="方正仿宋_GB2312" w:hAnsi="方正仿宋_GB2312" w:eastAsia="仿宋_GB2312" w:cs="方正仿宋_GB2312"/>
                <w:color w:val="000000"/>
                <w:kern w:val="0"/>
              </w:rPr>
              <w:t>万平方米，建设主楼、自理楼、非自理楼、配套用房等，设置床位</w:t>
            </w:r>
            <w:r>
              <w:rPr>
                <w:rFonts w:ascii="Times New Roman" w:hAnsi="Times New Roman"/>
                <w:color w:val="000000"/>
                <w:kern w:val="0"/>
              </w:rPr>
              <w:t>550</w:t>
            </w:r>
            <w:r>
              <w:rPr>
                <w:rFonts w:hint="eastAsia" w:ascii="方正仿宋_GB2312" w:hAnsi="方正仿宋_GB2312" w:eastAsia="仿宋_GB2312" w:cs="方正仿宋_GB2312"/>
                <w:color w:val="000000"/>
                <w:kern w:val="0"/>
              </w:rPr>
              <w:t>张。</w:t>
            </w:r>
          </w:p>
        </w:tc>
      </w:tr>
    </w:tbl>
    <w:p w14:paraId="04BB6FEC">
      <w:pPr>
        <w:widowControl/>
        <w:spacing w:line="560" w:lineRule="exact"/>
        <w:ind w:left="0" w:leftChars="0" w:firstLine="0" w:firstLineChars="0"/>
        <w:rPr>
          <w:rFonts w:ascii="Times New Roman" w:hAnsi="Times New Roman" w:eastAsia="仿宋" w:cs="Times New Roman"/>
          <w:color w:val="000000"/>
          <w:kern w:val="0"/>
          <w:sz w:val="32"/>
          <w:szCs w:val="22"/>
        </w:rPr>
      </w:pPr>
    </w:p>
    <w:p w14:paraId="28DD03BC">
      <w:pPr>
        <w:pStyle w:val="2"/>
        <w:keepNext/>
        <w:keepLines w:val="0"/>
        <w:pageBreakBefore w:val="0"/>
        <w:widowControl/>
        <w:numPr>
          <w:ilvl w:val="0"/>
          <w:numId w:val="0"/>
        </w:numPr>
        <w:kinsoku/>
        <w:wordWrap/>
        <w:overflowPunct/>
        <w:topLinePunct w:val="0"/>
        <w:autoSpaceDE/>
        <w:autoSpaceDN/>
        <w:bidi w:val="0"/>
        <w:adjustRightInd/>
        <w:snapToGrid/>
        <w:spacing w:before="0" w:after="0" w:line="560" w:lineRule="exact"/>
        <w:ind w:left="0" w:leftChars="0" w:firstLine="0" w:firstLineChars="0"/>
        <w:textAlignment w:val="auto"/>
        <w:outlineLvl w:val="0"/>
        <w:rPr>
          <w:rFonts w:hint="eastAsia" w:hAnsi="方正小标宋简体" w:cs="方正小标宋简体"/>
          <w:kern w:val="0"/>
          <w:szCs w:val="32"/>
        </w:rPr>
      </w:pPr>
      <w:bookmarkStart w:id="121" w:name="_Toc231311712"/>
      <w:r>
        <w:rPr>
          <w:rFonts w:hint="eastAsia" w:ascii="方正小标宋简体" w:hAnsi="方正小标宋简体" w:eastAsia="方正小标宋简体" w:cs="方正小标宋简体"/>
          <w:color w:val="000000"/>
          <w:kern w:val="0"/>
          <w:sz w:val="44"/>
          <w:szCs w:val="32"/>
          <w:lang w:val="en-US" w:eastAsia="zh-CN" w:bidi="ar-SA"/>
        </w:rPr>
        <w:t>第五章</w:t>
      </w:r>
      <w:r>
        <w:rPr>
          <w:rFonts w:hint="eastAsia" w:hAnsi="方正小标宋简体" w:cs="方正小标宋简体"/>
          <w:color w:val="000000"/>
          <w:kern w:val="0"/>
          <w:sz w:val="44"/>
          <w:szCs w:val="32"/>
          <w:lang w:val="en-US" w:eastAsia="zh-CN" w:bidi="ar-SA"/>
        </w:rPr>
        <w:t xml:space="preserve"> </w:t>
      </w:r>
      <w:r>
        <w:rPr>
          <w:rFonts w:hint="eastAsia" w:hAnsi="方正小标宋简体" w:cs="方正小标宋简体"/>
          <w:kern w:val="0"/>
          <w:szCs w:val="32"/>
        </w:rPr>
        <w:t>聚焦办好民生实事，增强社会事务</w:t>
      </w:r>
    </w:p>
    <w:p w14:paraId="34961EAE">
      <w:pPr>
        <w:pStyle w:val="2"/>
        <w:keepNext/>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jc w:val="center"/>
        <w:textAlignment w:val="auto"/>
        <w:outlineLvl w:val="0"/>
        <w:rPr>
          <w:rFonts w:hint="eastAsia" w:hAnsi="方正小标宋简体" w:cs="方正小标宋简体"/>
          <w:kern w:val="0"/>
          <w:szCs w:val="32"/>
        </w:rPr>
      </w:pPr>
      <w:r>
        <w:rPr>
          <w:rFonts w:hint="eastAsia" w:hAnsi="方正小标宋简体" w:cs="方正小标宋简体"/>
          <w:kern w:val="0"/>
          <w:szCs w:val="32"/>
        </w:rPr>
        <w:t>服务能力</w:t>
      </w:r>
      <w:bookmarkEnd w:id="121"/>
    </w:p>
    <w:p w14:paraId="619B3F06">
      <w:pPr>
        <w:widowControl/>
        <w:spacing w:line="560" w:lineRule="exact"/>
        <w:ind w:firstLine="640" w:firstLineChars="200"/>
        <w:rPr>
          <w:rFonts w:ascii="Times New Roman" w:hAnsi="Times New Roman" w:eastAsia="仿宋" w:cs="Times New Roman"/>
          <w:color w:val="000000"/>
          <w:kern w:val="0"/>
          <w:sz w:val="32"/>
          <w:szCs w:val="22"/>
        </w:rPr>
      </w:pPr>
    </w:p>
    <w:p w14:paraId="60B0C655">
      <w:pPr>
        <w:widowControl/>
        <w:spacing w:line="560" w:lineRule="exact"/>
        <w:ind w:firstLine="640" w:firstLineChars="200"/>
        <w:rPr>
          <w:rFonts w:hint="eastAsia" w:ascii="仿宋_GB2312" w:hAnsi="仿宋_GB2312" w:eastAsia="仿宋_GB2312" w:cs="仿宋_GB2312"/>
          <w:color w:val="000000"/>
          <w:kern w:val="0"/>
          <w:sz w:val="32"/>
          <w:szCs w:val="22"/>
        </w:rPr>
      </w:pPr>
      <w:r>
        <w:rPr>
          <w:rFonts w:hint="eastAsia" w:ascii="仿宋_GB2312" w:hAnsi="仿宋_GB2312" w:eastAsia="仿宋_GB2312" w:cs="仿宋_GB2312"/>
          <w:color w:val="000000"/>
          <w:kern w:val="0"/>
          <w:sz w:val="32"/>
          <w:szCs w:val="22"/>
        </w:rPr>
        <w:t>统筹婚姻管理、殡葬改革及救助管理专项治理。深化移风易俗，强化跨部门协同与数智赋能，健全惠民便民、文明绿色的服务体系，以精细管理与暖心服务，精准回应人民群众对高品质生活的新期待。</w:t>
      </w:r>
    </w:p>
    <w:p w14:paraId="117365D1">
      <w:pPr>
        <w:widowControl/>
        <w:bidi w:val="0"/>
        <w:spacing w:line="560" w:lineRule="exact"/>
        <w:ind w:firstLine="640" w:firstLineChars="200"/>
        <w:rPr>
          <w:rFonts w:ascii="Times New Roman" w:hAnsi="Times New Roman" w:eastAsia="仿宋" w:cs="Times New Roman"/>
          <w:color w:val="000000"/>
          <w:kern w:val="0"/>
          <w:sz w:val="32"/>
          <w:szCs w:val="22"/>
        </w:rPr>
      </w:pPr>
    </w:p>
    <w:p w14:paraId="667C9D89">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cs="黑体"/>
          <w:kern w:val="0"/>
        </w:rPr>
      </w:pPr>
      <w:bookmarkStart w:id="122" w:name="_Toc231311713"/>
      <w:r>
        <w:rPr>
          <w:rFonts w:hint="eastAsia" w:ascii="黑体" w:hAnsi="黑体" w:cs="黑体"/>
          <w:kern w:val="0"/>
        </w:rPr>
        <w:t>第一节  优化婚姻管理服务</w:t>
      </w:r>
      <w:bookmarkEnd w:id="122"/>
    </w:p>
    <w:p w14:paraId="13EF3E2F">
      <w:pPr>
        <w:widowControl/>
        <w:spacing w:line="560" w:lineRule="exact"/>
        <w:ind w:firstLine="0" w:firstLineChars="0"/>
        <w:rPr>
          <w:rFonts w:ascii="Times New Roman" w:hAnsi="Times New Roman" w:eastAsia="楷体" w:cs="Times New Roman"/>
          <w:color w:val="000000"/>
          <w:kern w:val="0"/>
          <w:sz w:val="32"/>
          <w:szCs w:val="32"/>
        </w:rPr>
      </w:pPr>
    </w:p>
    <w:p w14:paraId="30302484">
      <w:pPr>
        <w:widowControl/>
        <w:spacing w:line="560" w:lineRule="exact"/>
        <w:ind w:firstLine="640" w:firstLineChars="200"/>
        <w:rPr>
          <w:rFonts w:hint="eastAsia" w:ascii="方正仿宋_GB2312" w:hAnsi="方正仿宋_GB2312" w:eastAsia="仿宋_GB2312" w:cs="方正仿宋_GB2312"/>
          <w:bCs/>
          <w:color w:val="000000"/>
          <w:kern w:val="0"/>
          <w:sz w:val="32"/>
          <w:szCs w:val="32"/>
          <w:highlight w:val="yellow"/>
        </w:rPr>
      </w:pPr>
      <w:r>
        <w:rPr>
          <w:rFonts w:hint="eastAsia" w:ascii="Times New Roman" w:hAnsi="Times New Roman" w:eastAsia="楷体" w:cs="Times New Roman"/>
          <w:color w:val="000000"/>
          <w:kern w:val="0"/>
          <w:sz w:val="32"/>
          <w:szCs w:val="32"/>
        </w:rPr>
        <w:t>30.优化婚姻登记服务。</w:t>
      </w:r>
      <w:r>
        <w:rPr>
          <w:rFonts w:hint="eastAsia" w:ascii="方正仿宋_GB2312" w:hAnsi="方正仿宋_GB2312" w:eastAsia="仿宋_GB2312" w:cs="方正仿宋_GB2312"/>
          <w:bCs/>
          <w:color w:val="000000"/>
          <w:kern w:val="0"/>
          <w:sz w:val="32"/>
          <w:szCs w:val="32"/>
        </w:rPr>
        <w:t>加强婚姻登记规范化建设，优化内地居民婚姻登记“全国通办”服务保障。加强涉外婚姻登记服务管理。加强婚姻登记信息建设，整合婚姻登记电子化档案信息，完善婚姻历史数据信息。鼓励有条件的区建设环境优美、功能齐全、交通便利的婚姻登记场所。</w:t>
      </w:r>
    </w:p>
    <w:p w14:paraId="4B4AF2A0">
      <w:pPr>
        <w:widowControl/>
        <w:spacing w:line="560" w:lineRule="exact"/>
        <w:ind w:firstLine="640" w:firstLineChars="200"/>
        <w:rPr>
          <w:rFonts w:ascii="Times New Roman" w:hAnsi="Times New Roman" w:eastAsia="仿宋_GB2312" w:cs="Times New Roman"/>
          <w:color w:val="000000"/>
          <w:kern w:val="0"/>
          <w:sz w:val="32"/>
          <w:szCs w:val="22"/>
        </w:rPr>
      </w:pPr>
      <w:r>
        <w:rPr>
          <w:rFonts w:hint="eastAsia" w:ascii="Times New Roman" w:hAnsi="Times New Roman" w:eastAsia="楷体" w:cs="Times New Roman"/>
          <w:color w:val="000000"/>
          <w:kern w:val="0"/>
          <w:sz w:val="32"/>
          <w:szCs w:val="22"/>
        </w:rPr>
        <w:t>31.加强婚姻家庭辅导服务。</w:t>
      </w:r>
      <w:r>
        <w:rPr>
          <w:rFonts w:hint="eastAsia" w:ascii="方正仿宋_GB2312" w:hAnsi="方正仿宋_GB2312" w:eastAsia="仿宋_GB2312" w:cs="方正仿宋_GB2312"/>
          <w:color w:val="000000"/>
          <w:kern w:val="0"/>
          <w:sz w:val="32"/>
          <w:szCs w:val="22"/>
        </w:rPr>
        <w:t>鼓励各区建设综合性婚姻家庭服务指导中心，配备专业辅导服务人员，做好婚前辅导教育、婚姻关系调适和离婚冷静期辅导服务，积极推动婚姻家庭辅导服务向线上延伸，引导群众树立正确的婚恋观、生育观和家庭观。</w:t>
      </w:r>
    </w:p>
    <w:p w14:paraId="402CC249">
      <w:pPr>
        <w:widowControl/>
        <w:spacing w:line="560" w:lineRule="exact"/>
        <w:ind w:firstLine="640" w:firstLineChars="200"/>
        <w:rPr>
          <w:rFonts w:ascii="Times New Roman" w:hAnsi="Times New Roman" w:eastAsia="仿宋" w:cs="Times New Roman"/>
          <w:color w:val="000000"/>
          <w:kern w:val="0"/>
          <w:sz w:val="32"/>
          <w:szCs w:val="22"/>
        </w:rPr>
      </w:pPr>
      <w:r>
        <w:rPr>
          <w:rFonts w:hint="eastAsia" w:ascii="Times New Roman" w:hAnsi="Times New Roman" w:eastAsia="楷体" w:cs="Times New Roman"/>
          <w:color w:val="000000"/>
          <w:kern w:val="0"/>
          <w:sz w:val="32"/>
          <w:szCs w:val="22"/>
        </w:rPr>
        <w:t>32.深入推进婚俗改革。</w:t>
      </w:r>
      <w:r>
        <w:rPr>
          <w:rFonts w:hint="eastAsia" w:ascii="方正仿宋_GB2312" w:hAnsi="方正仿宋_GB2312" w:eastAsia="仿宋_GB2312" w:cs="方正仿宋_GB2312"/>
          <w:color w:val="000000"/>
          <w:kern w:val="0"/>
          <w:sz w:val="32"/>
          <w:szCs w:val="22"/>
        </w:rPr>
        <w:t>倡导积极婚育观，深入开展婚俗改革试点，健全分层分级的婚俗改革实验单位和管理体系。培育新型婚育文化，探索建立高价彩礼、大操大办等婚俗陋习治理长效机制，支持开展结婚颁证、集体婚礼、婚恋交友等特色服务，探索创新“婚姻服务+”发展新模式，培育文明简约婚俗新风。</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C6D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8522" w:type="dxa"/>
            <w:noWrap w:val="0"/>
            <w:vAlign w:val="top"/>
          </w:tcPr>
          <w:p w14:paraId="33238FD7">
            <w:pPr>
              <w:pStyle w:val="6"/>
              <w:widowControl/>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rPr>
              <w:t>专栏</w:t>
            </w:r>
            <w:r>
              <w:rPr>
                <w:rFonts w:hint="default" w:ascii="Times New Roman" w:hAnsi="Times New Roman" w:eastAsia="仿宋_GB2312" w:cs="Times New Roman"/>
                <w:color w:val="000000"/>
                <w:kern w:val="0"/>
              </w:rPr>
              <w:t>6</w:t>
            </w:r>
            <w:r>
              <w:rPr>
                <w:rFonts w:hint="eastAsia" w:ascii="仿宋_GB2312" w:hAnsi="仿宋_GB2312" w:eastAsia="仿宋_GB2312" w:cs="仿宋_GB2312"/>
                <w:color w:val="000000"/>
                <w:kern w:val="0"/>
              </w:rPr>
              <w:t>：婚姻家庭综合服务体系建设</w:t>
            </w:r>
          </w:p>
          <w:p w14:paraId="16A65A35">
            <w:pPr>
              <w:pStyle w:val="7"/>
              <w:widowControl/>
              <w:spacing w:line="560" w:lineRule="exact"/>
              <w:ind w:firstLine="560"/>
              <w:rPr>
                <w:rFonts w:cs="Times New Roman"/>
                <w:kern w:val="0"/>
                <w:szCs w:val="28"/>
              </w:rPr>
            </w:pPr>
            <w:r>
              <w:rPr>
                <w:rFonts w:cs="Times New Roman"/>
                <w:kern w:val="0"/>
              </w:rPr>
              <w:t>1</w:t>
            </w:r>
            <w:r>
              <w:rPr>
                <w:rFonts w:hint="eastAsia" w:cs="Times New Roman"/>
                <w:kern w:val="0"/>
              </w:rPr>
              <w:t xml:space="preserve">6 </w:t>
            </w:r>
            <w:r>
              <w:rPr>
                <w:rFonts w:hint="eastAsia" w:ascii="方正仿宋_GB2312" w:hAnsi="方正仿宋_GB2312" w:eastAsia="仿宋_GB2312" w:cs="方正仿宋_GB2312"/>
                <w:kern w:val="0"/>
              </w:rPr>
              <w:t>聚焦“婚姻服务+”综合体系建设，着力构建集婚姻登记、家庭辅导与婚俗改革于一体的新型婚姻管理服务体系。以加强婚姻家庭辅导服务体系建设为核心，推动各区设立综合性婚姻家庭服务指导中心，实现婚前辅导、婚姻关系调适等专业服务全覆盖，并积极向线上延伸。深入推进婚俗改革，探索建立对高价彩礼、大操大办等陋习的治理长效机制，支持培育颁证仪式、集体婚礼等文明简约的婚俗新风。引导群众树立正确的婚恋家庭观，促进婚姻和谐与家庭幸福。</w:t>
            </w:r>
          </w:p>
        </w:tc>
      </w:tr>
    </w:tbl>
    <w:p w14:paraId="23C4EF24">
      <w:pPr>
        <w:widowControl/>
        <w:bidi w:val="0"/>
        <w:spacing w:line="560" w:lineRule="exact"/>
        <w:ind w:firstLine="640" w:firstLineChars="200"/>
        <w:rPr>
          <w:rFonts w:ascii="Times New Roman" w:hAnsi="Times New Roman" w:eastAsia="仿宋" w:cs="Times New Roman"/>
          <w:color w:val="000000"/>
          <w:kern w:val="0"/>
          <w:sz w:val="32"/>
          <w:szCs w:val="22"/>
        </w:rPr>
      </w:pPr>
    </w:p>
    <w:p w14:paraId="55FBCFF9">
      <w:pPr>
        <w:pStyle w:val="3"/>
        <w:keepNext/>
        <w:keepLines w:val="0"/>
        <w:pageBreakBefore w:val="0"/>
        <w:widowControl/>
        <w:kinsoku/>
        <w:wordWrap/>
        <w:overflowPunct/>
        <w:topLinePunct w:val="0"/>
        <w:autoSpaceDE/>
        <w:autoSpaceDN/>
        <w:bidi w:val="0"/>
        <w:adjustRightInd/>
        <w:snapToGrid/>
        <w:spacing w:before="0" w:after="0"/>
        <w:textAlignment w:val="auto"/>
        <w:rPr>
          <w:rFonts w:cs="Times New Roman"/>
          <w:kern w:val="0"/>
        </w:rPr>
      </w:pPr>
      <w:bookmarkStart w:id="123" w:name="_Toc231311714"/>
      <w:r>
        <w:rPr>
          <w:rFonts w:cs="Times New Roman"/>
          <w:kern w:val="0"/>
        </w:rPr>
        <w:t>第二节</w:t>
      </w:r>
      <w:r>
        <w:rPr>
          <w:rFonts w:hint="eastAsia" w:cs="Times New Roman"/>
          <w:kern w:val="0"/>
        </w:rPr>
        <w:t xml:space="preserve"> </w:t>
      </w:r>
      <w:r>
        <w:rPr>
          <w:rFonts w:cs="Times New Roman"/>
          <w:kern w:val="0"/>
        </w:rPr>
        <w:t xml:space="preserve"> 推进救助管理区域一体化</w:t>
      </w:r>
      <w:bookmarkEnd w:id="123"/>
    </w:p>
    <w:p w14:paraId="6FCC989B">
      <w:pPr>
        <w:widowControl/>
        <w:spacing w:line="560" w:lineRule="exact"/>
        <w:ind w:firstLine="640" w:firstLineChars="200"/>
        <w:rPr>
          <w:rFonts w:ascii="Times New Roman" w:hAnsi="Times New Roman" w:eastAsia="楷体" w:cs="Times New Roman"/>
          <w:color w:val="000000"/>
          <w:kern w:val="0"/>
          <w:sz w:val="32"/>
          <w:szCs w:val="32"/>
        </w:rPr>
      </w:pPr>
    </w:p>
    <w:p w14:paraId="6D90E0E7">
      <w:pPr>
        <w:widowControl/>
        <w:spacing w:line="560" w:lineRule="exact"/>
        <w:ind w:firstLine="640" w:firstLineChars="200"/>
        <w:rPr>
          <w:rFonts w:hint="eastAsia" w:ascii="方正仿宋_GB2312" w:hAnsi="方正仿宋_GB2312" w:eastAsia="仿宋_GB2312" w:cs="方正仿宋_GB2312"/>
          <w:color w:val="000000"/>
          <w:kern w:val="0"/>
          <w:sz w:val="32"/>
          <w:szCs w:val="32"/>
        </w:rPr>
      </w:pPr>
      <w:r>
        <w:rPr>
          <w:rFonts w:hint="eastAsia" w:ascii="Times New Roman" w:hAnsi="Times New Roman" w:eastAsia="楷体" w:cs="Times New Roman"/>
          <w:color w:val="000000"/>
          <w:kern w:val="0"/>
          <w:sz w:val="32"/>
          <w:szCs w:val="32"/>
        </w:rPr>
        <w:t>33.优化救助管理顶层设计。</w:t>
      </w:r>
      <w:r>
        <w:rPr>
          <w:rFonts w:hint="eastAsia" w:ascii="方正仿宋_GB2312" w:hAnsi="方正仿宋_GB2312" w:eastAsia="仿宋_GB2312" w:cs="方正仿宋_GB2312"/>
          <w:color w:val="000000"/>
          <w:kern w:val="0"/>
          <w:sz w:val="32"/>
          <w:szCs w:val="32"/>
        </w:rPr>
        <w:t>持续完善</w:t>
      </w:r>
      <w:r>
        <w:rPr>
          <w:rFonts w:hint="eastAsia" w:ascii="方正仿宋_GB2312" w:hAnsi="方正仿宋_GB2312" w:eastAsia="仿宋_GB2312" w:cs="方正仿宋_GB2312"/>
          <w:color w:val="000000"/>
          <w:kern w:val="0"/>
          <w:sz w:val="32"/>
          <w:szCs w:val="32"/>
          <w:lang w:eastAsia="zh-CN"/>
        </w:rPr>
        <w:t>生活无着的流散</w:t>
      </w:r>
      <w:r>
        <w:rPr>
          <w:rFonts w:hint="eastAsia" w:ascii="方正仿宋_GB2312" w:hAnsi="方正仿宋_GB2312" w:eastAsia="仿宋_GB2312" w:cs="方正仿宋_GB2312"/>
          <w:color w:val="000000"/>
          <w:kern w:val="0"/>
          <w:sz w:val="32"/>
          <w:szCs w:val="32"/>
        </w:rPr>
        <w:t>人员</w:t>
      </w:r>
      <w:r>
        <w:rPr>
          <w:rFonts w:hint="eastAsia" w:ascii="仿宋_GB2312" w:hAnsi="仿宋_GB2312" w:eastAsia="仿宋_GB2312" w:cs="仿宋_GB2312"/>
          <w:color w:val="000000"/>
          <w:kern w:val="0"/>
          <w:sz w:val="32"/>
          <w:szCs w:val="32"/>
        </w:rPr>
        <w:t>“</w:t>
      </w:r>
      <w:r>
        <w:rPr>
          <w:rFonts w:hint="default" w:ascii="Times New Roman" w:hAnsi="Times New Roman" w:eastAsia="仿宋_GB2312" w:cs="Times New Roman"/>
          <w:color w:val="000000"/>
          <w:kern w:val="0"/>
          <w:sz w:val="32"/>
          <w:szCs w:val="32"/>
        </w:rPr>
        <w:t>1+N</w:t>
      </w:r>
      <w:r>
        <w:rPr>
          <w:rFonts w:hint="eastAsia" w:ascii="仿宋_GB2312" w:hAnsi="仿宋_GB2312" w:eastAsia="仿宋_GB2312" w:cs="仿宋_GB2312"/>
          <w:color w:val="000000"/>
          <w:kern w:val="0"/>
          <w:sz w:val="32"/>
          <w:szCs w:val="32"/>
        </w:rPr>
        <w:t>”</w:t>
      </w:r>
      <w:r>
        <w:rPr>
          <w:rFonts w:hint="eastAsia" w:ascii="方正仿宋_GB2312" w:hAnsi="方正仿宋_GB2312" w:eastAsia="仿宋_GB2312" w:cs="方正仿宋_GB2312"/>
          <w:color w:val="000000"/>
          <w:kern w:val="0"/>
          <w:sz w:val="32"/>
          <w:szCs w:val="32"/>
        </w:rPr>
        <w:t>救助管理制度体系建设，提升救助管理工作规范化、标准化水平。强化议事协调机制作用，适时开展专项救助行动，加强救助管理政策宣传，推动救助管理纳入社会治理体系，打造共治共享救助服务新格局。</w:t>
      </w:r>
    </w:p>
    <w:p w14:paraId="45129BDE">
      <w:pPr>
        <w:widowControl/>
        <w:spacing w:line="560" w:lineRule="exact"/>
        <w:ind w:firstLine="640" w:firstLineChars="200"/>
        <w:rPr>
          <w:rFonts w:hint="eastAsia" w:ascii="方正仿宋_GB2312" w:hAnsi="方正仿宋_GB2312" w:eastAsia="仿宋_GB2312" w:cs="方正仿宋_GB2312"/>
          <w:color w:val="000000"/>
          <w:kern w:val="0"/>
          <w:sz w:val="32"/>
          <w:szCs w:val="32"/>
        </w:rPr>
      </w:pPr>
      <w:r>
        <w:rPr>
          <w:rFonts w:hint="eastAsia" w:ascii="Times New Roman" w:hAnsi="Times New Roman" w:eastAsia="楷体" w:cs="Times New Roman"/>
          <w:color w:val="000000"/>
          <w:kern w:val="0"/>
          <w:sz w:val="32"/>
          <w:szCs w:val="32"/>
        </w:rPr>
        <w:t>34.完善救助管理服务体系。</w:t>
      </w:r>
      <w:r>
        <w:rPr>
          <w:rFonts w:hint="eastAsia" w:ascii="方正仿宋_GB2312" w:hAnsi="方正仿宋_GB2312" w:eastAsia="仿宋_GB2312" w:cs="方正仿宋_GB2312"/>
          <w:color w:val="000000"/>
          <w:kern w:val="0"/>
          <w:sz w:val="32"/>
          <w:szCs w:val="32"/>
        </w:rPr>
        <w:t>创新拓展救助管理服务机制，深化临时救助点、寻亲提级办理等试点工作成效，推动救助管理机构发挥应急救助能效，确保</w:t>
      </w:r>
      <w:r>
        <w:rPr>
          <w:rFonts w:hint="eastAsia" w:ascii="方正仿宋_GB2312" w:hAnsi="方正仿宋_GB2312" w:eastAsia="仿宋_GB2312" w:cs="方正仿宋_GB2312"/>
          <w:color w:val="000000"/>
          <w:kern w:val="0"/>
          <w:sz w:val="32"/>
          <w:szCs w:val="32"/>
          <w:lang w:eastAsia="zh-CN"/>
        </w:rPr>
        <w:t>生活无着的流散</w:t>
      </w:r>
      <w:r>
        <w:rPr>
          <w:rFonts w:hint="eastAsia" w:ascii="方正仿宋_GB2312" w:hAnsi="方正仿宋_GB2312" w:eastAsia="仿宋_GB2312" w:cs="方正仿宋_GB2312"/>
          <w:color w:val="000000"/>
          <w:kern w:val="0"/>
          <w:sz w:val="32"/>
          <w:szCs w:val="32"/>
        </w:rPr>
        <w:t>人员及时纳入救助范畴。优化“市区联动、部门协同”的发现报告机制，深化“海河暖阳”“和平零距离”“滨海灯塔庇护站”等救助品牌效应，织密救助服务网络，探索救助管理工作由“生存型”向“服务型”转变，提升为</w:t>
      </w:r>
      <w:r>
        <w:rPr>
          <w:rFonts w:hint="eastAsia" w:ascii="方正仿宋_GB2312" w:hAnsi="方正仿宋_GB2312" w:eastAsia="仿宋_GB2312" w:cs="方正仿宋_GB2312"/>
          <w:color w:val="000000"/>
          <w:kern w:val="0"/>
          <w:sz w:val="32"/>
          <w:szCs w:val="32"/>
          <w:lang w:eastAsia="zh-CN"/>
        </w:rPr>
        <w:t>生活无着的流散</w:t>
      </w:r>
      <w:r>
        <w:rPr>
          <w:rFonts w:hint="eastAsia" w:ascii="方正仿宋_GB2312" w:hAnsi="方正仿宋_GB2312" w:eastAsia="仿宋_GB2312" w:cs="方正仿宋_GB2312"/>
          <w:color w:val="000000"/>
          <w:kern w:val="0"/>
          <w:sz w:val="32"/>
          <w:szCs w:val="32"/>
        </w:rPr>
        <w:t>人员提供应急性、过渡性、便利性救助庇护服务水平。</w:t>
      </w:r>
    </w:p>
    <w:p w14:paraId="2D355EF5">
      <w:pPr>
        <w:widowControl/>
        <w:spacing w:line="560" w:lineRule="exact"/>
        <w:ind w:firstLine="640" w:firstLineChars="200"/>
        <w:rPr>
          <w:rFonts w:hint="eastAsia" w:ascii="方正仿宋_GB2312" w:hAnsi="方正仿宋_GB2312" w:eastAsia="仿宋_GB2312" w:cs="方正仿宋_GB2312"/>
          <w:color w:val="000000"/>
          <w:kern w:val="0"/>
          <w:sz w:val="32"/>
          <w:szCs w:val="32"/>
        </w:rPr>
      </w:pPr>
      <w:r>
        <w:rPr>
          <w:rFonts w:hint="eastAsia" w:ascii="Times New Roman" w:hAnsi="Times New Roman" w:eastAsia="楷体" w:cs="Times New Roman"/>
          <w:color w:val="000000"/>
          <w:kern w:val="0"/>
          <w:sz w:val="32"/>
          <w:szCs w:val="32"/>
        </w:rPr>
        <w:t>35.提升救助管理服务质效。</w:t>
      </w:r>
      <w:r>
        <w:rPr>
          <w:rFonts w:hint="eastAsia" w:ascii="方正仿宋_GB2312" w:hAnsi="方正仿宋_GB2312" w:eastAsia="仿宋_GB2312" w:cs="方正仿宋_GB2312"/>
          <w:color w:val="000000"/>
          <w:kern w:val="0"/>
          <w:sz w:val="32"/>
          <w:szCs w:val="32"/>
        </w:rPr>
        <w:t>优化救助服务供给，将救助管理服务从以物质帮扶为主，逐步延伸拓展至心理抚慰、情感慰藉等服务，推进市、区两级救助服务协同联动机制建设，通过救助关口前移、提级办理、下沉指导、对接专业资源等形式延伸救助服务至区级救助管理机构，实现分级分类精准救助，加强救助管理机构安全管理，为受助人员提供标准化、个性化、精细化服务。</w:t>
      </w:r>
    </w:p>
    <w:p w14:paraId="2D1B0F1D">
      <w:pPr>
        <w:widowControl/>
        <w:spacing w:line="560" w:lineRule="exact"/>
        <w:ind w:firstLine="0" w:firstLineChars="0"/>
        <w:rPr>
          <w:rFonts w:ascii="Times New Roman" w:hAnsi="Times New Roman" w:eastAsia="仿宋" w:cs="Times New Roman"/>
          <w:color w:val="000000"/>
          <w:kern w:val="0"/>
          <w:sz w:val="32"/>
          <w:szCs w:val="32"/>
        </w:rPr>
      </w:pPr>
    </w:p>
    <w:p w14:paraId="4BD60B1B">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cs="黑体"/>
          <w:kern w:val="0"/>
        </w:rPr>
      </w:pPr>
      <w:bookmarkStart w:id="124" w:name="_Toc231311715"/>
      <w:r>
        <w:rPr>
          <w:rFonts w:hint="eastAsia" w:ascii="黑体" w:hAnsi="黑体" w:cs="黑体"/>
          <w:kern w:val="0"/>
          <w:szCs w:val="32"/>
        </w:rPr>
        <w:t xml:space="preserve">第三节  </w:t>
      </w:r>
      <w:r>
        <w:rPr>
          <w:rFonts w:hint="eastAsia" w:ascii="黑体" w:hAnsi="黑体" w:cs="黑体"/>
          <w:kern w:val="0"/>
          <w:szCs w:val="32"/>
          <w:lang w:val="en-US" w:eastAsia="zh-CN"/>
        </w:rPr>
        <w:t>加强</w:t>
      </w:r>
      <w:r>
        <w:rPr>
          <w:rFonts w:hint="eastAsia" w:ascii="黑体" w:hAnsi="黑体" w:cs="黑体"/>
          <w:kern w:val="0"/>
        </w:rPr>
        <w:t>殡葬</w:t>
      </w:r>
      <w:r>
        <w:rPr>
          <w:rFonts w:hint="eastAsia" w:ascii="黑体" w:hAnsi="黑体" w:cs="黑体"/>
          <w:kern w:val="0"/>
          <w:lang w:val="en-US" w:eastAsia="zh-CN"/>
        </w:rPr>
        <w:t>管理</w:t>
      </w:r>
      <w:r>
        <w:rPr>
          <w:rFonts w:hint="eastAsia" w:ascii="黑体" w:hAnsi="黑体" w:cs="黑体"/>
          <w:kern w:val="0"/>
        </w:rPr>
        <w:t>服务</w:t>
      </w:r>
      <w:bookmarkEnd w:id="124"/>
    </w:p>
    <w:p w14:paraId="0316E339">
      <w:pPr>
        <w:widowControl/>
        <w:numPr>
          <w:ilvl w:val="0"/>
          <w:numId w:val="0"/>
        </w:numPr>
        <w:spacing w:line="560" w:lineRule="exact"/>
        <w:ind w:firstLine="640" w:firstLineChars="200"/>
        <w:rPr>
          <w:rFonts w:ascii="Times New Roman" w:hAnsi="Times New Roman" w:eastAsia="仿宋" w:cs="Times New Roman"/>
          <w:color w:val="000000"/>
          <w:kern w:val="0"/>
          <w:sz w:val="32"/>
          <w:szCs w:val="22"/>
        </w:rPr>
      </w:pPr>
    </w:p>
    <w:p w14:paraId="7CA5ABF7">
      <w:pPr>
        <w:widowControl/>
        <w:spacing w:line="560" w:lineRule="exact"/>
        <w:ind w:firstLine="640" w:firstLineChars="200"/>
        <w:rPr>
          <w:rFonts w:hint="eastAsia" w:ascii="方正仿宋_GB2312" w:hAnsi="方正仿宋_GB2312" w:eastAsia="仿宋_GB2312" w:cs="方正仿宋_GB2312"/>
          <w:color w:val="000000"/>
          <w:kern w:val="0"/>
          <w:sz w:val="32"/>
          <w:szCs w:val="32"/>
        </w:rPr>
      </w:pPr>
      <w:r>
        <w:rPr>
          <w:rFonts w:hint="eastAsia" w:ascii="Times New Roman" w:hAnsi="Times New Roman" w:eastAsia="楷体" w:cs="Times New Roman"/>
          <w:color w:val="000000"/>
          <w:kern w:val="0"/>
          <w:sz w:val="32"/>
          <w:szCs w:val="32"/>
        </w:rPr>
        <w:t>36.强化基本殡葬服务保障。</w:t>
      </w:r>
      <w:r>
        <w:rPr>
          <w:rFonts w:hint="eastAsia" w:ascii="方正仿宋_GB2312" w:hAnsi="方正仿宋_GB2312" w:eastAsia="仿宋_GB2312" w:cs="方正仿宋_GB2312"/>
          <w:color w:val="000000"/>
          <w:kern w:val="0"/>
          <w:sz w:val="32"/>
          <w:szCs w:val="22"/>
        </w:rPr>
        <w:t>推动完善殡葬法规和政策体系，健全基本殡葬服务制度。持续优化“送亲人、找民政”殡葬服务品牌。完善基础与非基础殡葬服务清单。加强殡葬服务机构监督管理，提高服务专业化规范化水平。</w:t>
      </w:r>
    </w:p>
    <w:p w14:paraId="08CDB2C9">
      <w:pPr>
        <w:pStyle w:val="9"/>
        <w:widowControl/>
        <w:jc w:val="both"/>
        <w:rPr>
          <w:rFonts w:hint="eastAsia" w:ascii="方正仿宋_GB2312" w:hAnsi="方正仿宋_GB2312" w:eastAsia="仿宋_GB2312" w:cs="方正仿宋_GB2312"/>
          <w:kern w:val="0"/>
        </w:rPr>
      </w:pPr>
      <w:r>
        <w:rPr>
          <w:rFonts w:hint="eastAsia" w:eastAsia="楷体" w:cs="Times New Roman"/>
          <w:kern w:val="0"/>
          <w:szCs w:val="32"/>
        </w:rPr>
        <w:t>37.促进绿色生态殡葬服务均等可及。</w:t>
      </w:r>
      <w:r>
        <w:rPr>
          <w:rFonts w:hint="eastAsia" w:ascii="方正仿宋_GB2312" w:hAnsi="方正仿宋_GB2312" w:eastAsia="仿宋_GB2312" w:cs="方正仿宋_GB2312"/>
          <w:kern w:val="0"/>
        </w:rPr>
        <w:t>加强市区殡葬服务设施布局规划实施，推进完善公益性质殡葬服务设施供给保障。加强农村公益性墓地管理。大力推行节地生态安葬模式，重点推广骨灰撒海、骨灰格位存放、小型墓建设等节地生态新形式，推动京津冀三地骨灰撒海工作。加强公墓管理，严格限制公墓墓位占地面积和墓碑高度，鼓励使用可降解材料，巩固节地生态安葬工作成效。</w:t>
      </w:r>
    </w:p>
    <w:p w14:paraId="13DF69A5">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32"/>
        </w:rPr>
        <w:t>38.提升殡葬依法治理水平。</w:t>
      </w:r>
      <w:r>
        <w:rPr>
          <w:rFonts w:hint="eastAsia" w:ascii="方正仿宋_GB2312" w:hAnsi="方正仿宋_GB2312" w:eastAsia="仿宋_GB2312" w:cs="方正仿宋_GB2312"/>
          <w:color w:val="000000"/>
          <w:kern w:val="0"/>
          <w:sz w:val="32"/>
          <w:szCs w:val="22"/>
        </w:rPr>
        <w:t>深化殡葬领域专项整治成果，强化殡葬领域跨部门综合监管制度创新，加强殡葬设施用地不规范等问题治理，推进殡葬领域齐抓共管、协同治理。深化殡葬移风易俗，在清明节等群众集中祭扫时间节点，开展社区共祭、集体共祭、家庭追思等文明祭扫活动，引导社会公众积极参与。推行文明节俭治丧、绿色生态安葬、文明低碳祭扫，培育积极向上、文明健康的殡葬文化。全面提升殡葬领域信息化监管能力，推进殡葬单位数智化转型升级，深入拓展“互联网+殡葬服务”应用。整合殡葬服务资源，加强服务人员专业培训，大力推进服务标准化建设，提高殡仪服务能力水平。</w:t>
      </w:r>
    </w:p>
    <w:p w14:paraId="0299B742">
      <w:pPr>
        <w:widowControl/>
        <w:bidi w:val="0"/>
        <w:spacing w:line="560" w:lineRule="exact"/>
        <w:ind w:firstLine="640" w:firstLineChars="200"/>
        <w:rPr>
          <w:rFonts w:hint="eastAsia" w:ascii="Times New Roman" w:hAnsi="Times New Roman" w:eastAsia="仿宋" w:cs="Times New Roman"/>
          <w:color w:val="000000"/>
          <w:kern w:val="0"/>
          <w:sz w:val="32"/>
          <w:szCs w:val="22"/>
          <w:lang w:val="en-US" w:eastAsia="zh-CN" w:bidi="ar-SA"/>
        </w:rPr>
      </w:pPr>
    </w:p>
    <w:p w14:paraId="7A779B7C">
      <w:pPr>
        <w:widowControl/>
        <w:bidi w:val="0"/>
        <w:spacing w:line="560" w:lineRule="exact"/>
        <w:ind w:firstLine="640" w:firstLineChars="200"/>
        <w:rPr>
          <w:rFonts w:hint="eastAsia" w:ascii="Times New Roman" w:hAnsi="Times New Roman" w:eastAsia="仿宋" w:cs="Times New Roman"/>
          <w:color w:val="000000"/>
          <w:kern w:val="0"/>
          <w:sz w:val="32"/>
          <w:szCs w:val="22"/>
          <w:lang w:val="en-US" w:eastAsia="zh-CN"/>
        </w:rPr>
      </w:pPr>
    </w:p>
    <w:p w14:paraId="4F634E73">
      <w:pPr>
        <w:widowControl/>
        <w:bidi w:val="0"/>
        <w:spacing w:line="560" w:lineRule="exact"/>
        <w:ind w:firstLine="640" w:firstLineChars="200"/>
        <w:rPr>
          <w:rFonts w:hint="eastAsia" w:ascii="Times New Roman" w:hAnsi="Times New Roman" w:eastAsia="仿宋" w:cs="Times New Roman"/>
          <w:color w:val="000000"/>
          <w:kern w:val="0"/>
          <w:sz w:val="32"/>
          <w:szCs w:val="22"/>
          <w:lang w:val="en-US" w:eastAsia="zh-CN"/>
        </w:rPr>
      </w:pPr>
    </w:p>
    <w:p w14:paraId="016805A6">
      <w:pPr>
        <w:widowControl/>
        <w:bidi w:val="0"/>
        <w:spacing w:line="560" w:lineRule="exact"/>
        <w:ind w:firstLine="640" w:firstLineChars="200"/>
        <w:rPr>
          <w:rFonts w:hint="eastAsia" w:ascii="Times New Roman" w:hAnsi="Times New Roman" w:eastAsia="仿宋" w:cs="Times New Roman"/>
          <w:color w:val="000000"/>
          <w:kern w:val="0"/>
          <w:sz w:val="32"/>
          <w:szCs w:val="22"/>
          <w:lang w:val="en-US" w:eastAsia="zh-CN"/>
        </w:rPr>
      </w:pPr>
    </w:p>
    <w:p w14:paraId="548F124A">
      <w:pPr>
        <w:widowControl/>
        <w:tabs>
          <w:tab w:val="left" w:pos="354"/>
        </w:tabs>
        <w:bidi w:val="0"/>
        <w:spacing w:line="560" w:lineRule="exact"/>
        <w:ind w:left="0" w:leftChars="0" w:firstLine="0" w:firstLineChars="0"/>
        <w:jc w:val="left"/>
        <w:rPr>
          <w:rFonts w:hint="eastAsia" w:ascii="Times New Roman" w:hAnsi="Times New Roman" w:eastAsia="仿宋" w:cs="Times New Roman"/>
          <w:color w:val="000000"/>
          <w:kern w:val="0"/>
          <w:sz w:val="32"/>
          <w:szCs w:val="22"/>
          <w:lang w:val="en-US" w:eastAsia="zh-CN"/>
        </w:rPr>
      </w:pP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853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1" w:hRule="atLeast"/>
        </w:trPr>
        <w:tc>
          <w:tcPr>
            <w:tcW w:w="8522" w:type="dxa"/>
            <w:noWrap w:val="0"/>
            <w:vAlign w:val="top"/>
          </w:tcPr>
          <w:p w14:paraId="7EDE2DDC">
            <w:pPr>
              <w:pStyle w:val="6"/>
              <w:widowControl/>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rPr>
              <w:t>专栏</w:t>
            </w:r>
            <w:r>
              <w:rPr>
                <w:rFonts w:hint="default" w:ascii="Times New Roman" w:hAnsi="Times New Roman" w:eastAsia="仿宋_GB2312" w:cs="Times New Roman"/>
                <w:color w:val="000000"/>
                <w:kern w:val="0"/>
              </w:rPr>
              <w:t>7</w:t>
            </w:r>
            <w:r>
              <w:rPr>
                <w:rFonts w:hint="eastAsia" w:ascii="仿宋_GB2312" w:hAnsi="仿宋_GB2312" w:eastAsia="仿宋_GB2312" w:cs="仿宋_GB2312"/>
                <w:color w:val="000000"/>
                <w:kern w:val="0"/>
              </w:rPr>
              <w:t>：殡葬服务提质增效</w:t>
            </w:r>
          </w:p>
          <w:p w14:paraId="75E81120">
            <w:pPr>
              <w:pStyle w:val="8"/>
              <w:widowControl/>
              <w:jc w:val="both"/>
              <w:rPr>
                <w:rFonts w:hint="eastAsia" w:ascii="方正仿宋_GB2312" w:hAnsi="方正仿宋_GB2312" w:eastAsia="仿宋_GB2312" w:cs="方正仿宋_GB2312"/>
                <w:color w:val="000000"/>
                <w:kern w:val="0"/>
              </w:rPr>
            </w:pPr>
            <w:r>
              <w:rPr>
                <w:rFonts w:ascii="Times New Roman" w:hAnsi="Times New Roman"/>
                <w:color w:val="000000"/>
                <w:kern w:val="0"/>
              </w:rPr>
              <w:t>1</w:t>
            </w:r>
            <w:r>
              <w:rPr>
                <w:rFonts w:hint="eastAsia" w:ascii="Times New Roman" w:hAnsi="Times New Roman"/>
                <w:color w:val="000000"/>
                <w:kern w:val="0"/>
              </w:rPr>
              <w:t>7</w:t>
            </w:r>
            <w:r>
              <w:rPr>
                <w:color w:val="000000"/>
                <w:kern w:val="0"/>
              </w:rPr>
              <w:t xml:space="preserve"> </w:t>
            </w:r>
            <w:r>
              <w:rPr>
                <w:rFonts w:hint="eastAsia" w:ascii="方正仿宋_GB2312" w:hAnsi="方正仿宋_GB2312" w:eastAsia="仿宋_GB2312" w:cs="方正仿宋_GB2312"/>
                <w:color w:val="000000"/>
                <w:kern w:val="0"/>
              </w:rPr>
              <w:t>落实个人“身后一件事”办理，建设</w:t>
            </w:r>
            <w:r>
              <w:rPr>
                <w:rFonts w:hint="eastAsia" w:ascii="仿宋_GB2312" w:hAnsi="仿宋_GB2312" w:eastAsia="仿宋_GB2312" w:cs="仿宋_GB2312"/>
                <w:color w:val="000000"/>
                <w:kern w:val="0"/>
              </w:rPr>
              <w:t>“</w:t>
            </w:r>
            <w:r>
              <w:rPr>
                <w:rFonts w:hint="default" w:ascii="Times New Roman" w:hAnsi="Times New Roman" w:eastAsia="仿宋_GB2312" w:cs="Times New Roman"/>
                <w:color w:val="000000"/>
                <w:kern w:val="0"/>
              </w:rPr>
              <w:t>96456</w:t>
            </w:r>
            <w:r>
              <w:rPr>
                <w:rFonts w:hint="eastAsia" w:ascii="仿宋_GB2312" w:hAnsi="仿宋_GB2312" w:eastAsia="仿宋_GB2312" w:cs="仿宋_GB2312"/>
                <w:color w:val="000000"/>
                <w:kern w:val="0"/>
              </w:rPr>
              <w:t>”</w:t>
            </w:r>
            <w:r>
              <w:rPr>
                <w:rFonts w:hint="eastAsia" w:ascii="方正仿宋_GB2312" w:hAnsi="方正仿宋_GB2312" w:eastAsia="仿宋_GB2312" w:cs="方正仿宋_GB2312"/>
                <w:color w:val="000000"/>
                <w:kern w:val="0"/>
              </w:rPr>
              <w:t>调度指挥平台。平台作为群众办理身后一件事的重要载体和沟通渠道，以便民利民惠民为出发点，打造功能全面、服务优质、高效便捷的调度指挥中枢，实现对全市基本殡葬服务资源进行统一调度指挥，为群众提供</w:t>
            </w:r>
            <w:r>
              <w:rPr>
                <w:rFonts w:hint="default" w:ascii="Times New Roman" w:hAnsi="Times New Roman" w:eastAsia="仿宋_GB2312" w:cs="Times New Roman"/>
                <w:color w:val="000000"/>
                <w:kern w:val="0"/>
              </w:rPr>
              <w:t>24</w:t>
            </w:r>
            <w:r>
              <w:rPr>
                <w:rFonts w:hint="eastAsia" w:ascii="方正仿宋_GB2312" w:hAnsi="方正仿宋_GB2312" w:eastAsia="仿宋_GB2312" w:cs="方正仿宋_GB2312"/>
                <w:color w:val="000000"/>
                <w:kern w:val="0"/>
              </w:rPr>
              <w:t>小时“一站式”服务。整合殡仪服务有关的业务咨询、服务预约、资源调度、综合监管、数据分析等功能，不断优化“一级调度、两级响应”机制，采用扁平化调度指挥模式，进一步提升快捷化服务时效和暖心化服务水平。</w:t>
            </w:r>
            <w:r>
              <w:rPr>
                <w:rFonts w:hint="eastAsia" w:ascii="Times New Roman" w:hAnsi="Times New Roman" w:eastAsia="仿宋_GB2312" w:cs="Times New Roman"/>
                <w:color w:val="000000"/>
                <w:kern w:val="0"/>
                <w:lang w:val="en-US" w:eastAsia="zh-CN"/>
              </w:rPr>
              <w:t>2025</w:t>
            </w:r>
            <w:r>
              <w:rPr>
                <w:rFonts w:hint="eastAsia" w:ascii="方正仿宋_GB2312" w:hAnsi="方正仿宋_GB2312" w:eastAsia="仿宋_GB2312" w:cs="方正仿宋_GB2312"/>
                <w:color w:val="000000"/>
                <w:kern w:val="0"/>
                <w:lang w:val="en-US" w:eastAsia="zh-CN"/>
              </w:rPr>
              <w:t>年</w:t>
            </w:r>
            <w:r>
              <w:rPr>
                <w:rFonts w:hint="eastAsia" w:ascii="方正仿宋_GB2312" w:hAnsi="方正仿宋_GB2312" w:eastAsia="仿宋_GB2312" w:cs="方正仿宋_GB2312"/>
                <w:color w:val="000000"/>
                <w:kern w:val="0"/>
                <w:lang w:eastAsia="zh-CN"/>
              </w:rPr>
              <w:t>，</w:t>
            </w:r>
            <w:r>
              <w:rPr>
                <w:rFonts w:hint="eastAsia" w:ascii="方正仿宋_GB2312" w:hAnsi="方正仿宋_GB2312" w:eastAsia="仿宋_GB2312" w:cs="方正仿宋_GB2312"/>
                <w:color w:val="000000"/>
                <w:kern w:val="0"/>
              </w:rPr>
              <w:t>平台已完成建设并投入运行，计划在“十五五”期间进一步扩大调度范围和服务范围，逐步实现建设我市殡葬服务“一号通”的目标。</w:t>
            </w:r>
          </w:p>
          <w:p w14:paraId="468F4205">
            <w:pPr>
              <w:pStyle w:val="8"/>
              <w:widowControl/>
              <w:jc w:val="both"/>
              <w:rPr>
                <w:rFonts w:hint="eastAsia"/>
                <w:color w:val="000000"/>
                <w:kern w:val="0"/>
              </w:rPr>
            </w:pPr>
            <w:r>
              <w:rPr>
                <w:rFonts w:ascii="Times New Roman" w:hAnsi="Times New Roman"/>
                <w:color w:val="000000"/>
                <w:kern w:val="0"/>
              </w:rPr>
              <w:t>1</w:t>
            </w:r>
            <w:r>
              <w:rPr>
                <w:rFonts w:hint="eastAsia" w:ascii="Times New Roman" w:hAnsi="Times New Roman"/>
                <w:color w:val="000000"/>
                <w:kern w:val="0"/>
              </w:rPr>
              <w:t>8</w:t>
            </w:r>
            <w:r>
              <w:rPr>
                <w:color w:val="000000"/>
                <w:kern w:val="0"/>
              </w:rPr>
              <w:t xml:space="preserve"> </w:t>
            </w:r>
            <w:r>
              <w:rPr>
                <w:rFonts w:hint="eastAsia" w:ascii="方正仿宋_GB2312" w:hAnsi="方正仿宋_GB2312" w:eastAsia="仿宋_GB2312" w:cs="方正仿宋_GB2312"/>
                <w:color w:val="000000"/>
                <w:kern w:val="0"/>
              </w:rPr>
              <w:t>推广海葬、草坪葬等多种节地生态安葬模式。以生态优先、文明引领、服务提质为导向，不断提高建设、管理和服务水平，大力推行海葬、草坪葬等节地生态安葬服务。加强海葬后生态监测，合理规划草坪葬选址，全面推广环保可降解骨灰容器。加强奖补政策宣传，有效满足群众需求，激励和引导群众主动选择生态安葬方式，突出殡葬服务公益属性，切实减轻群众经济负担。优化“线上预约+线下办理”全流程，提升服务温度与专业水平。建立京津冀三地海葬服务协同机制，统一服务标准、共享信息资源、互认服务资质，为跨区域群众提供无缝衔接、便捷高效的海葬服务。打造集生命教育、文化传承、情感慰藉于一体的节地生态安葬文化载体，推动文明、绿色、节俭的殡葬理念深入人心。</w:t>
            </w:r>
          </w:p>
        </w:tc>
      </w:tr>
    </w:tbl>
    <w:p w14:paraId="56DF9A3E">
      <w:pPr>
        <w:widowControl/>
        <w:spacing w:line="560" w:lineRule="exact"/>
        <w:ind w:firstLine="0" w:firstLineChars="0"/>
        <w:rPr>
          <w:rFonts w:ascii="Times New Roman" w:hAnsi="Times New Roman" w:eastAsia="仿宋" w:cs="Times New Roman"/>
          <w:color w:val="000000"/>
          <w:kern w:val="0"/>
          <w:sz w:val="32"/>
          <w:szCs w:val="22"/>
        </w:rPr>
      </w:pP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B20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8522" w:type="dxa"/>
            <w:noWrap w:val="0"/>
            <w:vAlign w:val="top"/>
          </w:tcPr>
          <w:p w14:paraId="771BD2CD">
            <w:pPr>
              <w:pStyle w:val="6"/>
              <w:widowControl/>
              <w:ind w:firstLine="560" w:firstLineChars="200"/>
              <w:jc w:val="both"/>
              <w:rPr>
                <w:rFonts w:hint="eastAsia"/>
                <w:color w:val="000000"/>
                <w:kern w:val="0"/>
              </w:rPr>
            </w:pPr>
            <w:r>
              <w:rPr>
                <w:rFonts w:hint="eastAsia" w:ascii="Times New Roman" w:hAnsi="Times New Roman"/>
                <w:color w:val="000000"/>
                <w:kern w:val="0"/>
                <w:sz w:val="28"/>
                <w:szCs w:val="28"/>
              </w:rPr>
              <w:t>19</w:t>
            </w:r>
            <w:r>
              <w:rPr>
                <w:rFonts w:hint="eastAsia"/>
                <w:color w:val="000000"/>
                <w:kern w:val="0"/>
              </w:rPr>
              <w:t xml:space="preserve"> </w:t>
            </w:r>
            <w:r>
              <w:rPr>
                <w:rFonts w:hint="eastAsia" w:ascii="方正仿宋_GB2312" w:hAnsi="方正仿宋_GB2312" w:eastAsia="仿宋_GB2312" w:cs="方正仿宋_GB2312"/>
                <w:color w:val="000000"/>
                <w:kern w:val="0"/>
                <w:sz w:val="28"/>
                <w:szCs w:val="28"/>
              </w:rPr>
              <w:t>组织实施市第一回民公墓扩建（二期）工程。持续提高我市殡葬事业服务能力，保障好我市回民同胞逝者安葬需求，市第一回民公墓扩建（二期）工程总投资</w:t>
            </w:r>
            <w:r>
              <w:rPr>
                <w:rFonts w:hint="default" w:ascii="Times New Roman" w:hAnsi="Times New Roman" w:cs="Times New Roman"/>
                <w:color w:val="000000"/>
                <w:kern w:val="0"/>
                <w:sz w:val="28"/>
                <w:szCs w:val="28"/>
              </w:rPr>
              <w:t>1.5</w:t>
            </w:r>
            <w:r>
              <w:rPr>
                <w:rFonts w:hint="eastAsia" w:ascii="方正仿宋_GB2312" w:hAnsi="方正仿宋_GB2312" w:eastAsia="仿宋_GB2312" w:cs="方正仿宋_GB2312"/>
                <w:color w:val="000000"/>
                <w:kern w:val="0"/>
                <w:sz w:val="28"/>
                <w:szCs w:val="28"/>
              </w:rPr>
              <w:t>亿元左右，用地面积约</w:t>
            </w:r>
            <w:r>
              <w:rPr>
                <w:rFonts w:hint="eastAsia" w:ascii="Times New Roman" w:hAnsi="Times New Roman"/>
                <w:color w:val="000000"/>
                <w:kern w:val="0"/>
                <w:sz w:val="28"/>
                <w:szCs w:val="28"/>
              </w:rPr>
              <w:t>12</w:t>
            </w:r>
            <w:r>
              <w:rPr>
                <w:rFonts w:hint="eastAsia" w:ascii="方正仿宋_GB2312" w:hAnsi="方正仿宋_GB2312" w:eastAsia="仿宋_GB2312" w:cs="方正仿宋_GB2312"/>
                <w:color w:val="000000"/>
                <w:kern w:val="0"/>
                <w:sz w:val="28"/>
                <w:szCs w:val="28"/>
              </w:rPr>
              <w:t>万平方米，新建墓穴</w:t>
            </w:r>
            <w:r>
              <w:rPr>
                <w:rFonts w:hint="eastAsia" w:ascii="Times New Roman" w:hAnsi="Times New Roman"/>
                <w:color w:val="000000"/>
                <w:kern w:val="0"/>
                <w:sz w:val="28"/>
                <w:szCs w:val="28"/>
              </w:rPr>
              <w:t>7551</w:t>
            </w:r>
            <w:r>
              <w:rPr>
                <w:rFonts w:hint="eastAsia" w:ascii="方正仿宋_GB2312" w:hAnsi="方正仿宋_GB2312" w:eastAsia="仿宋_GB2312" w:cs="方正仿宋_GB2312"/>
                <w:color w:val="000000"/>
                <w:kern w:val="0"/>
                <w:sz w:val="28"/>
                <w:szCs w:val="28"/>
              </w:rPr>
              <w:t>个，可满足“十五五”期间我市少数民族同胞安葬需求。</w:t>
            </w:r>
          </w:p>
        </w:tc>
      </w:tr>
    </w:tbl>
    <w:p w14:paraId="7E4B3EE0">
      <w:pPr>
        <w:widowControl/>
        <w:bidi w:val="0"/>
        <w:spacing w:line="560" w:lineRule="exact"/>
        <w:ind w:firstLine="640" w:firstLineChars="200"/>
        <w:rPr>
          <w:rFonts w:hint="eastAsia" w:ascii="Times New Roman" w:hAnsi="Times New Roman" w:eastAsia="仿宋" w:cs="Times New Roman"/>
          <w:color w:val="000000"/>
          <w:kern w:val="0"/>
          <w:sz w:val="32"/>
          <w:szCs w:val="22"/>
        </w:rPr>
      </w:pPr>
      <w:bookmarkStart w:id="125" w:name="_Toc231311716"/>
    </w:p>
    <w:p w14:paraId="3AA18025">
      <w:pPr>
        <w:pStyle w:val="2"/>
        <w:keepNext/>
        <w:keepLines w:val="0"/>
        <w:pageBreakBefore w:val="0"/>
        <w:widowControl/>
        <w:numPr>
          <w:ilvl w:val="0"/>
          <w:numId w:val="1"/>
        </w:numPr>
        <w:kinsoku/>
        <w:wordWrap/>
        <w:overflowPunct/>
        <w:topLinePunct w:val="0"/>
        <w:autoSpaceDE/>
        <w:autoSpaceDN/>
        <w:bidi w:val="0"/>
        <w:adjustRightInd/>
        <w:snapToGrid/>
        <w:spacing w:before="0" w:after="0" w:line="560" w:lineRule="exact"/>
        <w:textAlignment w:val="auto"/>
        <w:rPr>
          <w:rFonts w:hint="eastAsia" w:hAnsi="方正小标宋简体" w:cs="方正小标宋简体"/>
          <w:kern w:val="0"/>
          <w:lang w:bidi="ar"/>
        </w:rPr>
      </w:pPr>
      <w:r>
        <w:rPr>
          <w:rFonts w:hint="eastAsia" w:hAnsi="方正小标宋简体" w:cs="方正小标宋简体"/>
          <w:kern w:val="0"/>
          <w:lang w:bidi="ar"/>
        </w:rPr>
        <w:t>坚持统筹发展和安全，激活社会治理</w:t>
      </w:r>
    </w:p>
    <w:p w14:paraId="53636351">
      <w:pPr>
        <w:pStyle w:val="2"/>
        <w:keepNext/>
        <w:keepLines w:val="0"/>
        <w:pageBreakBefore w:val="0"/>
        <w:widowControl/>
        <w:numPr>
          <w:ilvl w:val="0"/>
          <w:numId w:val="0"/>
        </w:numPr>
        <w:kinsoku/>
        <w:wordWrap/>
        <w:overflowPunct/>
        <w:topLinePunct w:val="0"/>
        <w:autoSpaceDE/>
        <w:autoSpaceDN/>
        <w:bidi w:val="0"/>
        <w:adjustRightInd/>
        <w:snapToGrid/>
        <w:spacing w:before="0" w:after="0" w:line="560" w:lineRule="exact"/>
        <w:jc w:val="center"/>
        <w:textAlignment w:val="auto"/>
        <w:outlineLvl w:val="0"/>
        <w:rPr>
          <w:rFonts w:hint="eastAsia" w:hAnsi="方正小标宋简体" w:cs="方正小标宋简体"/>
          <w:kern w:val="0"/>
          <w:lang w:bidi="ar"/>
        </w:rPr>
      </w:pPr>
      <w:r>
        <w:rPr>
          <w:rFonts w:hint="eastAsia" w:hAnsi="方正小标宋简体" w:cs="方正小标宋简体"/>
          <w:kern w:val="0"/>
          <w:lang w:bidi="ar"/>
        </w:rPr>
        <w:t>新动能</w:t>
      </w:r>
      <w:bookmarkEnd w:id="125"/>
    </w:p>
    <w:p w14:paraId="7BA14CFB">
      <w:pPr>
        <w:widowControl/>
        <w:spacing w:line="560" w:lineRule="exact"/>
        <w:ind w:firstLine="640" w:firstLineChars="200"/>
        <w:rPr>
          <w:rFonts w:ascii="Times New Roman" w:hAnsi="Times New Roman" w:eastAsia="仿宋" w:cs="Times New Roman"/>
          <w:color w:val="000000"/>
          <w:kern w:val="0"/>
          <w:sz w:val="32"/>
          <w:szCs w:val="22"/>
          <w:highlight w:val="yellow"/>
          <w:lang w:bidi="ar"/>
        </w:rPr>
      </w:pPr>
    </w:p>
    <w:p w14:paraId="16BBAC10">
      <w:pPr>
        <w:widowControl/>
        <w:spacing w:line="560" w:lineRule="exact"/>
        <w:ind w:firstLine="640" w:firstLineChars="200"/>
        <w:rPr>
          <w:rFonts w:hint="eastAsia" w:ascii="方正仿宋_GB2312" w:hAnsi="方正仿宋_GB2312" w:eastAsia="仿宋_GB2312" w:cs="方正仿宋_GB2312"/>
          <w:color w:val="000000"/>
          <w:kern w:val="0"/>
          <w:sz w:val="32"/>
          <w:szCs w:val="22"/>
          <w:lang w:bidi="ar"/>
        </w:rPr>
      </w:pPr>
      <w:r>
        <w:rPr>
          <w:rFonts w:hint="eastAsia" w:ascii="方正仿宋_GB2312" w:hAnsi="方正仿宋_GB2312" w:eastAsia="仿宋_GB2312" w:cs="方正仿宋_GB2312"/>
          <w:color w:val="000000"/>
          <w:kern w:val="0"/>
          <w:sz w:val="32"/>
          <w:szCs w:val="22"/>
          <w:lang w:bidi="ar"/>
        </w:rPr>
        <w:t>以党建引领强化风险防控，持续规范社会组织发展、提质增效慈善事业，立足公益</w:t>
      </w:r>
      <w:r>
        <w:rPr>
          <w:rFonts w:hint="eastAsia" w:ascii="方正仿宋_GB2312" w:hAnsi="方正仿宋_GB2312" w:eastAsia="仿宋_GB2312" w:cs="方正仿宋_GB2312"/>
          <w:color w:val="000000"/>
          <w:kern w:val="0"/>
          <w:sz w:val="32"/>
          <w:szCs w:val="22"/>
          <w:lang w:val="en-US" w:eastAsia="zh-CN" w:bidi="ar"/>
        </w:rPr>
        <w:t>属性</w:t>
      </w:r>
      <w:r>
        <w:rPr>
          <w:rFonts w:hint="eastAsia" w:ascii="方正仿宋_GB2312" w:hAnsi="方正仿宋_GB2312" w:eastAsia="仿宋_GB2312" w:cs="方正仿宋_GB2312"/>
          <w:color w:val="000000"/>
          <w:kern w:val="0"/>
          <w:sz w:val="32"/>
          <w:szCs w:val="22"/>
          <w:lang w:bidi="ar"/>
        </w:rPr>
        <w:t>用好福利彩票，充分释放行政区划治理效能</w:t>
      </w:r>
      <w:r>
        <w:rPr>
          <w:rFonts w:hint="eastAsia" w:ascii="方正仿宋_GB2312" w:hAnsi="方正仿宋_GB2312" w:eastAsia="仿宋_GB2312" w:cs="方正仿宋_GB2312"/>
          <w:color w:val="000000"/>
          <w:kern w:val="0"/>
          <w:sz w:val="32"/>
          <w:szCs w:val="22"/>
          <w:lang w:eastAsia="zh-CN" w:bidi="ar"/>
        </w:rPr>
        <w:t>，</w:t>
      </w:r>
      <w:r>
        <w:rPr>
          <w:rFonts w:hint="eastAsia" w:ascii="方正仿宋_GB2312" w:hAnsi="方正仿宋_GB2312" w:eastAsia="仿宋_GB2312" w:cs="方正仿宋_GB2312"/>
          <w:color w:val="000000"/>
          <w:kern w:val="0"/>
          <w:sz w:val="32"/>
          <w:szCs w:val="22"/>
          <w:lang w:val="en-US" w:eastAsia="zh-CN" w:bidi="ar"/>
        </w:rPr>
        <w:t>构建民政安全管理体系</w:t>
      </w:r>
      <w:r>
        <w:rPr>
          <w:rFonts w:hint="eastAsia" w:ascii="方正仿宋_GB2312" w:hAnsi="方正仿宋_GB2312" w:eastAsia="仿宋_GB2312" w:cs="方正仿宋_GB2312"/>
          <w:color w:val="000000"/>
          <w:kern w:val="0"/>
          <w:sz w:val="32"/>
          <w:szCs w:val="22"/>
          <w:lang w:bidi="ar"/>
        </w:rPr>
        <w:t>。激发多元主体参与活力，完善共建共治共享的社会治理机制，为高质量发展筑牢安全防线、汇聚治理合力。</w:t>
      </w:r>
    </w:p>
    <w:p w14:paraId="6CCF544C">
      <w:pPr>
        <w:widowControl/>
        <w:spacing w:line="560" w:lineRule="exact"/>
        <w:ind w:firstLine="640" w:firstLineChars="200"/>
        <w:rPr>
          <w:rFonts w:hint="eastAsia" w:ascii="方正仿宋_GB2312" w:hAnsi="方正仿宋_GB2312" w:eastAsia="仿宋_GB2312" w:cs="方正仿宋_GB2312"/>
          <w:color w:val="000000"/>
          <w:kern w:val="0"/>
          <w:sz w:val="32"/>
          <w:szCs w:val="22"/>
          <w:lang w:bidi="ar"/>
        </w:rPr>
      </w:pPr>
    </w:p>
    <w:p w14:paraId="787D3DDB">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eastAsia="黑体" w:cs="黑体"/>
          <w:kern w:val="0"/>
          <w:lang w:val="en-US" w:eastAsia="zh-CN"/>
        </w:rPr>
      </w:pPr>
      <w:bookmarkStart w:id="126" w:name="_Toc231311717"/>
      <w:r>
        <w:rPr>
          <w:rFonts w:hint="eastAsia" w:ascii="黑体" w:hAnsi="黑体" w:cs="黑体"/>
          <w:kern w:val="0"/>
        </w:rPr>
        <w:t>第一节</w:t>
      </w:r>
      <w:r>
        <w:rPr>
          <w:rFonts w:ascii="黑体" w:hAnsi="黑体" w:cs="黑体"/>
          <w:kern w:val="0"/>
        </w:rPr>
        <w:t xml:space="preserve"> </w:t>
      </w:r>
      <w:r>
        <w:rPr>
          <w:rFonts w:hint="eastAsia" w:ascii="黑体" w:hAnsi="黑体" w:cs="黑体"/>
          <w:kern w:val="0"/>
        </w:rPr>
        <w:t xml:space="preserve"> 加强社会组织管理</w:t>
      </w:r>
      <w:bookmarkEnd w:id="126"/>
      <w:r>
        <w:rPr>
          <w:rFonts w:hint="eastAsia" w:ascii="黑体" w:hAnsi="黑体" w:cs="黑体"/>
          <w:kern w:val="0"/>
          <w:lang w:val="en-US" w:eastAsia="zh-CN"/>
        </w:rPr>
        <w:t>培育</w:t>
      </w:r>
    </w:p>
    <w:p w14:paraId="3756FBCE">
      <w:pPr>
        <w:widowControl/>
        <w:bidi w:val="0"/>
        <w:spacing w:line="560" w:lineRule="exact"/>
        <w:ind w:firstLine="640" w:firstLineChars="200"/>
        <w:rPr>
          <w:rStyle w:val="16"/>
          <w:rFonts w:ascii="Times New Roman" w:hAnsi="Times New Roman" w:eastAsia="仿宋" w:cs="Times New Roman"/>
          <w:color w:val="000000"/>
          <w:kern w:val="0"/>
          <w:sz w:val="32"/>
          <w:szCs w:val="22"/>
        </w:rPr>
      </w:pPr>
    </w:p>
    <w:p w14:paraId="0C38E90C">
      <w:pPr>
        <w:widowControl/>
        <w:spacing w:line="560" w:lineRule="exact"/>
        <w:ind w:firstLine="640" w:firstLineChars="200"/>
        <w:rPr>
          <w:rFonts w:hint="eastAsia" w:ascii="方正仿宋_GB2312" w:hAnsi="方正仿宋_GB2312" w:eastAsia="仿宋_GB2312" w:cs="方正仿宋_GB2312"/>
          <w:color w:val="000000"/>
          <w:kern w:val="0"/>
          <w:sz w:val="32"/>
          <w:szCs w:val="32"/>
        </w:rPr>
      </w:pPr>
      <w:r>
        <w:rPr>
          <w:rStyle w:val="16"/>
          <w:rFonts w:hint="eastAsia" w:ascii="Times New Roman" w:hAnsi="Times New Roman" w:cs="Times New Roman"/>
          <w:kern w:val="0"/>
        </w:rPr>
        <w:t>39</w:t>
      </w:r>
      <w:r>
        <w:rPr>
          <w:rStyle w:val="16"/>
          <w:rFonts w:hint="eastAsia" w:cs="Times New Roman"/>
          <w:kern w:val="0"/>
        </w:rPr>
        <w:t>.完善政策制度体系。</w:t>
      </w:r>
      <w:r>
        <w:rPr>
          <w:rFonts w:hint="eastAsia" w:ascii="方正仿宋_GB2312" w:hAnsi="方正仿宋_GB2312" w:eastAsia="仿宋_GB2312" w:cs="方正仿宋_GB2312"/>
          <w:color w:val="000000"/>
          <w:kern w:val="0"/>
          <w:sz w:val="32"/>
          <w:szCs w:val="22"/>
        </w:rPr>
        <w:t>加强党建引领，健全党建工作管理体制，推进党的组织和党的工作覆盖扩面提质增效，强化党员队伍教育管理。优化政策供给，探索推进社会组织领域地方立法，完善社会组织登记管理、培育发展、内部治理、监督检查、行政执法、信用信息管理、评比表彰、退出注销等配套制度，形成全生命周期制度链条，确保社会组织发展有法可依、有章可循。</w:t>
      </w:r>
    </w:p>
    <w:p w14:paraId="3FD7AD36">
      <w:pPr>
        <w:widowControl/>
        <w:spacing w:line="560" w:lineRule="exact"/>
        <w:ind w:firstLine="640" w:firstLineChars="200"/>
        <w:rPr>
          <w:rFonts w:hint="eastAsia" w:ascii="方正仿宋_GB2312" w:hAnsi="方正仿宋_GB2312" w:eastAsia="仿宋_GB2312" w:cs="方正仿宋_GB2312"/>
          <w:color w:val="000000"/>
          <w:kern w:val="0"/>
          <w:sz w:val="32"/>
          <w:szCs w:val="32"/>
        </w:rPr>
      </w:pPr>
      <w:r>
        <w:rPr>
          <w:rFonts w:hint="eastAsia" w:ascii="Times New Roman" w:hAnsi="Times New Roman" w:eastAsia="楷体" w:cs="Times New Roman"/>
          <w:color w:val="000000"/>
          <w:kern w:val="0"/>
          <w:sz w:val="32"/>
          <w:szCs w:val="32"/>
        </w:rPr>
        <w:t>40.优化服务保障赋能。</w:t>
      </w:r>
      <w:r>
        <w:rPr>
          <w:rFonts w:hint="eastAsia" w:ascii="方正仿宋_GB2312" w:hAnsi="方正仿宋_GB2312" w:eastAsia="仿宋_GB2312" w:cs="方正仿宋_GB2312"/>
          <w:color w:val="000000"/>
          <w:kern w:val="0"/>
          <w:sz w:val="32"/>
          <w:szCs w:val="32"/>
        </w:rPr>
        <w:t>加强培育孵化体系建设，支持社会力量设立科技类社会组织。健全政府购买社会组织服务政策体系，健全目录动态调整、预算刚性保障、全过程监管、结果导向评价机制，推动社会组织高质量参与社会服务。推动社会力量资助和支持社会组织发展，鼓励金融机构加大对符合条件社会组织的支持力度。加强社会组织人才队伍建设，培育社会组织领域专家队伍。</w:t>
      </w:r>
    </w:p>
    <w:p w14:paraId="7CBB296F">
      <w:pPr>
        <w:widowControl/>
        <w:spacing w:line="560" w:lineRule="exact"/>
        <w:ind w:firstLine="640" w:firstLineChars="200"/>
        <w:rPr>
          <w:rFonts w:hint="eastAsia" w:ascii="方正仿宋_GB2312" w:hAnsi="方正仿宋_GB2312" w:eastAsia="仿宋_GB2312" w:cs="方正仿宋_GB2312"/>
          <w:color w:val="000000"/>
          <w:kern w:val="0"/>
          <w:sz w:val="32"/>
          <w:szCs w:val="32"/>
        </w:rPr>
      </w:pPr>
      <w:r>
        <w:rPr>
          <w:rFonts w:hint="eastAsia" w:ascii="Times New Roman" w:hAnsi="Times New Roman" w:eastAsia="楷体" w:cs="Times New Roman"/>
          <w:color w:val="000000"/>
          <w:kern w:val="0"/>
          <w:sz w:val="32"/>
          <w:szCs w:val="32"/>
        </w:rPr>
        <w:t>41.加强日常监督管理。</w:t>
      </w:r>
      <w:r>
        <w:rPr>
          <w:rFonts w:hint="eastAsia" w:ascii="方正仿宋_GB2312" w:hAnsi="方正仿宋_GB2312" w:eastAsia="仿宋_GB2312" w:cs="方正仿宋_GB2312"/>
          <w:color w:val="000000"/>
          <w:kern w:val="0"/>
          <w:sz w:val="32"/>
          <w:szCs w:val="32"/>
        </w:rPr>
        <w:t>深化社会组织规范化建设，持续完善社会组织监管体系。健全社会组织监管制度。持续加强社会组织内部治理。推进社会组织监管工作精细化、多元化、专业化，完善登记管理机关、业务主管单位、党建工作机构、行业管理部门、相关职能部门各司其职、协调配合、依法监管的综合监管体制。健全社会组织年检年报和信息公开机制。创新事中事后监管方式，提升信息化监管水平。</w:t>
      </w:r>
    </w:p>
    <w:p w14:paraId="1F247167">
      <w:pPr>
        <w:widowControl/>
        <w:spacing w:line="560" w:lineRule="exact"/>
        <w:ind w:firstLine="640" w:firstLineChars="200"/>
        <w:rPr>
          <w:rFonts w:hint="eastAsia" w:ascii="方正仿宋_GB2312" w:hAnsi="方正仿宋_GB2312" w:eastAsia="仿宋_GB2312" w:cs="方正仿宋_GB2312"/>
          <w:color w:val="000000"/>
          <w:kern w:val="0"/>
          <w:sz w:val="32"/>
          <w:szCs w:val="32"/>
        </w:rPr>
      </w:pPr>
      <w:r>
        <w:rPr>
          <w:rFonts w:hint="eastAsia" w:ascii="Times New Roman" w:hAnsi="Times New Roman" w:eastAsia="楷体" w:cs="Times New Roman"/>
          <w:color w:val="000000"/>
          <w:kern w:val="0"/>
          <w:sz w:val="32"/>
          <w:szCs w:val="32"/>
        </w:rPr>
        <w:t>42.强化违法行为查处。</w:t>
      </w:r>
      <w:r>
        <w:rPr>
          <w:rFonts w:hint="eastAsia" w:ascii="方正仿宋_GB2312" w:hAnsi="方正仿宋_GB2312" w:eastAsia="仿宋_GB2312" w:cs="方正仿宋_GB2312"/>
          <w:color w:val="000000"/>
          <w:kern w:val="0"/>
          <w:sz w:val="32"/>
          <w:szCs w:val="32"/>
        </w:rPr>
        <w:t>优化日常监管与行政执法衔接机制，完善社会组织领域行政处罚裁量基准。强化行政执法与刑事司法衔接制度落实，探索建立行政执法与纪检监察衔接制度。持续深化打击整治非法社会组织，净化社会组织发展生态。加强行政处罚、信用惩戒、公开曝光等措施的综合运用，依法严厉惩处社会组织重大违法行为。深化与公安、税务、网信等部门的协调联动，提升联合执法效能。</w:t>
      </w:r>
    </w:p>
    <w:p w14:paraId="776625D9">
      <w:pPr>
        <w:widowControl/>
        <w:spacing w:line="560" w:lineRule="exact"/>
        <w:ind w:firstLine="640" w:firstLineChars="200"/>
        <w:rPr>
          <w:rFonts w:ascii="Times New Roman" w:hAnsi="Times New Roman" w:eastAsia="仿宋" w:cs="Times New Roman"/>
          <w:color w:val="000000"/>
          <w:kern w:val="0"/>
          <w:sz w:val="32"/>
          <w:szCs w:val="32"/>
        </w:rPr>
      </w:pPr>
      <w:r>
        <w:rPr>
          <w:rFonts w:hint="eastAsia" w:ascii="Times New Roman" w:hAnsi="Times New Roman" w:eastAsia="楷体" w:cs="Times New Roman"/>
          <w:color w:val="000000"/>
          <w:kern w:val="0"/>
          <w:sz w:val="32"/>
          <w:szCs w:val="32"/>
        </w:rPr>
        <w:t>43.发挥多元优势作用。</w:t>
      </w:r>
      <w:r>
        <w:rPr>
          <w:rFonts w:hint="eastAsia" w:ascii="方正仿宋_GB2312" w:hAnsi="方正仿宋_GB2312" w:eastAsia="仿宋_GB2312" w:cs="方正仿宋_GB2312"/>
          <w:color w:val="000000"/>
          <w:kern w:val="0"/>
          <w:sz w:val="32"/>
          <w:szCs w:val="32"/>
        </w:rPr>
        <w:t>鼓励社会组织深度融入京津冀协同发展，深入落实发挥社会组织作用激发京津冀市场活力政策举措。鼓励社会组织促进发展新质生产力，聚焦重点产业链集群，推动科技类社会组织开展产学研合作、成果转化、科学普及、技术攻关。鼓励社会组织助力经济高质量发展，鼓励行业协会商会助力民营经济发展、服务现代化产业体系建设。鼓励社会组织协同加强和创新社会治理，</w:t>
      </w:r>
      <w:r>
        <w:rPr>
          <w:rFonts w:hint="eastAsia" w:ascii="方正仿宋_GB2312" w:hAnsi="方正仿宋_GB2312" w:eastAsia="仿宋_GB2312" w:cs="方正仿宋_GB2312"/>
          <w:color w:val="000000"/>
          <w:kern w:val="0"/>
          <w:sz w:val="32"/>
          <w:szCs w:val="36"/>
        </w:rPr>
        <w:t>引导社会组织参与社区事务，吸纳整合慈善资源深度融入基层治理</w:t>
      </w:r>
      <w:r>
        <w:rPr>
          <w:rFonts w:hint="eastAsia" w:ascii="方正仿宋_GB2312" w:hAnsi="方正仿宋_GB2312" w:eastAsia="仿宋_GB2312" w:cs="方正仿宋_GB2312"/>
          <w:color w:val="000000"/>
          <w:kern w:val="0"/>
          <w:sz w:val="32"/>
          <w:szCs w:val="32"/>
        </w:rPr>
        <w:t>。鼓励社会组织助力保障和改善民生，引导社会组织在扩大就业、托育照护、医疗卫生、教育普惠、残疾人服务、未成年人保护、法律援助、心理疏导、文体惠民等领域提供专业化、普惠化、个性化服务。鼓励社会组织发挥国际交流合作的桥梁作用，</w:t>
      </w:r>
      <w:r>
        <w:rPr>
          <w:rFonts w:hint="eastAsia" w:ascii="方正仿宋_GB2312" w:hAnsi="方正仿宋_GB2312" w:eastAsia="仿宋_GB2312" w:cs="方正仿宋_GB2312"/>
          <w:bCs/>
          <w:color w:val="000000"/>
          <w:kern w:val="0"/>
          <w:sz w:val="32"/>
          <w:szCs w:val="36"/>
        </w:rPr>
        <w:t>持续深入开展社会组织助力东西部协作和乡村振兴专项行动，</w:t>
      </w:r>
      <w:r>
        <w:rPr>
          <w:rFonts w:hint="eastAsia" w:ascii="方正仿宋_GB2312" w:hAnsi="方正仿宋_GB2312" w:eastAsia="仿宋_GB2312" w:cs="方正仿宋_GB2312"/>
          <w:color w:val="000000"/>
          <w:kern w:val="0"/>
          <w:sz w:val="32"/>
          <w:szCs w:val="32"/>
        </w:rPr>
        <w:t>鼓励社会组织走出去，积极参与全球治理，在国际舞台上讲好“中国故事”。</w:t>
      </w:r>
    </w:p>
    <w:tbl>
      <w:tblPr>
        <w:tblStyle w:val="13"/>
        <w:tblW w:w="8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6"/>
      </w:tblGrid>
      <w:tr w14:paraId="2067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0" w:hRule="atLeast"/>
          <w:jc w:val="center"/>
        </w:trPr>
        <w:tc>
          <w:tcPr>
            <w:tcW w:w="8606" w:type="dxa"/>
            <w:noWrap w:val="0"/>
            <w:vAlign w:val="top"/>
          </w:tcPr>
          <w:p w14:paraId="16556C7A">
            <w:pPr>
              <w:pStyle w:val="6"/>
              <w:widowControl/>
              <w:rPr>
                <w:rFonts w:hint="eastAsia" w:eastAsia="仿宋_GB2312"/>
                <w:strike/>
                <w:color w:val="000000"/>
                <w:kern w:val="0"/>
              </w:rPr>
            </w:pPr>
            <w:r>
              <w:rPr>
                <w:rFonts w:hint="eastAsia" w:ascii="方正仿宋_GB2312" w:hAnsi="方正仿宋_GB2312" w:eastAsia="仿宋_GB2312" w:cs="方正仿宋_GB2312"/>
                <w:color w:val="000000"/>
                <w:kern w:val="0"/>
              </w:rPr>
              <w:t>专栏</w:t>
            </w:r>
            <w:r>
              <w:rPr>
                <w:rFonts w:hint="default" w:ascii="Times New Roman" w:hAnsi="Times New Roman" w:cs="Times New Roman"/>
                <w:color w:val="000000"/>
                <w:kern w:val="0"/>
              </w:rPr>
              <w:t>8</w:t>
            </w:r>
            <w:r>
              <w:rPr>
                <w:rFonts w:hint="eastAsia" w:ascii="仿宋_GB2312" w:hAnsi="仿宋_GB2312" w:eastAsia="仿宋_GB2312" w:cs="仿宋_GB2312"/>
                <w:color w:val="000000"/>
                <w:kern w:val="0"/>
              </w:rPr>
              <w:t>：</w:t>
            </w:r>
            <w:r>
              <w:rPr>
                <w:rFonts w:hint="eastAsia" w:ascii="方正仿宋_GB2312" w:hAnsi="方正仿宋_GB2312" w:eastAsia="仿宋_GB2312" w:cs="方正仿宋_GB2312"/>
                <w:color w:val="000000"/>
                <w:kern w:val="0"/>
              </w:rPr>
              <w:t>社会组织孵化培育</w:t>
            </w:r>
          </w:p>
          <w:p w14:paraId="0CF1920B">
            <w:pPr>
              <w:pStyle w:val="8"/>
              <w:widowControl/>
              <w:jc w:val="both"/>
              <w:rPr>
                <w:rFonts w:hint="eastAsia"/>
                <w:color w:val="000000"/>
                <w:kern w:val="0"/>
              </w:rPr>
            </w:pPr>
            <w:r>
              <w:rPr>
                <w:rFonts w:hint="eastAsia" w:ascii="Times New Roman" w:hAnsi="Times New Roman"/>
                <w:color w:val="000000"/>
                <w:kern w:val="0"/>
              </w:rPr>
              <w:t>20</w:t>
            </w:r>
            <w:r>
              <w:rPr>
                <w:color w:val="000000"/>
                <w:kern w:val="0"/>
              </w:rPr>
              <w:t xml:space="preserve"> </w:t>
            </w:r>
            <w:r>
              <w:rPr>
                <w:rFonts w:hint="eastAsia" w:ascii="方正仿宋_GB2312" w:hAnsi="方正仿宋_GB2312" w:eastAsia="仿宋_GB2312" w:cs="方正仿宋_GB2312"/>
                <w:color w:val="000000"/>
                <w:kern w:val="0"/>
              </w:rPr>
              <w:t>实施社会组织孵化培育体系建设工程。优化市、区两级联动、行业特色支撑的</w:t>
            </w:r>
            <w:r>
              <w:rPr>
                <w:rFonts w:hint="eastAsia" w:ascii="仿宋_GB2312" w:hAnsi="仿宋_GB2312" w:eastAsia="仿宋_GB2312" w:cs="仿宋_GB2312"/>
                <w:color w:val="000000"/>
                <w:kern w:val="0"/>
              </w:rPr>
              <w:t>“</w:t>
            </w:r>
            <w:r>
              <w:rPr>
                <w:rFonts w:hint="default" w:ascii="Times New Roman" w:hAnsi="Times New Roman" w:eastAsia="仿宋_GB2312" w:cs="Times New Roman"/>
                <w:color w:val="000000"/>
                <w:kern w:val="0"/>
              </w:rPr>
              <w:t>1+16+N</w:t>
            </w:r>
            <w:r>
              <w:rPr>
                <w:rFonts w:hint="eastAsia" w:ascii="仿宋_GB2312" w:hAnsi="仿宋_GB2312" w:eastAsia="仿宋_GB2312" w:cs="仿宋_GB2312"/>
                <w:color w:val="000000"/>
                <w:kern w:val="0"/>
              </w:rPr>
              <w:t>”</w:t>
            </w:r>
            <w:r>
              <w:rPr>
                <w:rFonts w:hint="eastAsia" w:ascii="方正仿宋_GB2312" w:hAnsi="方正仿宋_GB2312" w:eastAsia="仿宋_GB2312" w:cs="方正仿宋_GB2312"/>
                <w:color w:val="000000"/>
                <w:kern w:val="0"/>
              </w:rPr>
              <w:t>社会组织孵化体系，做强市级综合孵化基地，做优</w:t>
            </w:r>
            <w:r>
              <w:rPr>
                <w:rFonts w:hint="eastAsia" w:ascii="Times New Roman" w:hAnsi="Times New Roman"/>
                <w:color w:val="000000"/>
                <w:kern w:val="0"/>
              </w:rPr>
              <w:t>16</w:t>
            </w:r>
            <w:r>
              <w:rPr>
                <w:rFonts w:hint="eastAsia" w:ascii="方正仿宋_GB2312" w:hAnsi="方正仿宋_GB2312" w:eastAsia="仿宋_GB2312" w:cs="方正仿宋_GB2312"/>
                <w:color w:val="000000"/>
                <w:kern w:val="0"/>
              </w:rPr>
              <w:t>个区级孵化载体，鼓励行业主管部门打造特色化、专业化孵化平台。依托天开园等创新集群优势，推动孵化基地与高校、科研院所、产业园区、枢纽型社会组织深度合作，健全科技类社会组织定向培育、精准赋能机制。</w:t>
            </w:r>
          </w:p>
        </w:tc>
      </w:tr>
    </w:tbl>
    <w:p w14:paraId="396AB09B">
      <w:pPr>
        <w:widowControl/>
        <w:spacing w:line="560" w:lineRule="exact"/>
        <w:ind w:left="0" w:leftChars="0" w:firstLine="0" w:firstLineChars="0"/>
        <w:rPr>
          <w:rStyle w:val="16"/>
          <w:rFonts w:ascii="Times New Roman" w:hAnsi="Times New Roman" w:eastAsia="仿宋" w:cs="Times New Roman"/>
          <w:color w:val="000000"/>
          <w:kern w:val="0"/>
          <w:sz w:val="32"/>
          <w:szCs w:val="22"/>
        </w:rPr>
      </w:pPr>
    </w:p>
    <w:p w14:paraId="3E546FFB">
      <w:pPr>
        <w:pStyle w:val="3"/>
        <w:keepNext/>
        <w:keepLines w:val="0"/>
        <w:pageBreakBefore w:val="0"/>
        <w:widowControl/>
        <w:kinsoku/>
        <w:wordWrap/>
        <w:overflowPunct/>
        <w:topLinePunct w:val="0"/>
        <w:autoSpaceDE/>
        <w:autoSpaceDN/>
        <w:bidi w:val="0"/>
        <w:adjustRightInd/>
        <w:snapToGrid/>
        <w:spacing w:before="0" w:after="0"/>
        <w:textAlignment w:val="auto"/>
        <w:rPr>
          <w:rStyle w:val="16"/>
          <w:rFonts w:hint="eastAsia" w:ascii="黑体" w:hAnsi="黑体" w:eastAsia="黑体" w:cs="黑体"/>
          <w:kern w:val="0"/>
        </w:rPr>
      </w:pPr>
      <w:bookmarkStart w:id="127" w:name="_Toc231311718"/>
      <w:r>
        <w:rPr>
          <w:rStyle w:val="16"/>
          <w:rFonts w:hint="eastAsia" w:ascii="黑体" w:hAnsi="黑体" w:eastAsia="黑体" w:cs="黑体"/>
          <w:kern w:val="0"/>
        </w:rPr>
        <w:t>第二节  促进慈善事业高质量发展</w:t>
      </w:r>
      <w:bookmarkEnd w:id="127"/>
    </w:p>
    <w:p w14:paraId="2A109C74">
      <w:pPr>
        <w:widowControl/>
        <w:bidi w:val="0"/>
        <w:spacing w:line="560" w:lineRule="exact"/>
        <w:ind w:left="0" w:leftChars="0" w:firstLine="0" w:firstLineChars="0"/>
        <w:rPr>
          <w:rStyle w:val="16"/>
          <w:rFonts w:ascii="Times New Roman" w:hAnsi="Times New Roman" w:eastAsia="仿宋" w:cs="Times New Roman"/>
          <w:color w:val="000000"/>
          <w:kern w:val="0"/>
          <w:sz w:val="32"/>
          <w:szCs w:val="22"/>
        </w:rPr>
      </w:pPr>
    </w:p>
    <w:p w14:paraId="2AB4A16E">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hint="eastAsia" w:ascii="Times New Roman" w:hAnsi="Times New Roman" w:cs="Times New Roman"/>
          <w:kern w:val="0"/>
        </w:rPr>
        <w:t>44</w:t>
      </w:r>
      <w:r>
        <w:rPr>
          <w:rStyle w:val="16"/>
          <w:rFonts w:hint="eastAsia" w:cs="Times New Roman"/>
          <w:kern w:val="0"/>
        </w:rPr>
        <w:t>.健全促进慈善事业高质量发展政策体系。</w:t>
      </w:r>
      <w:r>
        <w:rPr>
          <w:rFonts w:hint="eastAsia" w:ascii="方正仿宋_GB2312" w:hAnsi="方正仿宋_GB2312" w:eastAsia="仿宋_GB2312" w:cs="方正仿宋_GB2312"/>
          <w:color w:val="000000"/>
          <w:kern w:val="0"/>
          <w:sz w:val="32"/>
          <w:szCs w:val="22"/>
        </w:rPr>
        <w:t>制定天津慈善事业高质量发展实施方案，鼓励各区制定出台促进本地慈善事业发展的政策措施。依法优化完善慈善组织登记和认定程序，支持有意愿有能力的企业和个人申请成立慈善组织，支持符合条件的社会组织认定为慈善组织。围绕国家重大战略和天津高质量发展大局，培育发展慈善组织，优化结构布局。依法做好慈善信托备案，拓宽社会财富向慈善领域有序流动渠道。建立健全慈善助力民政事业发展的工作机制，引导慈善资源更多流向“一老一小”“一残一困”等困难群众。</w:t>
      </w:r>
    </w:p>
    <w:p w14:paraId="75B0869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32"/>
        </w:rPr>
        <w:t>45.完善慈善事业社会参与机制。</w:t>
      </w:r>
      <w:r>
        <w:rPr>
          <w:rFonts w:hint="eastAsia" w:ascii="方正仿宋_GB2312" w:hAnsi="方正仿宋_GB2312" w:eastAsia="仿宋_GB2312" w:cs="方正仿宋_GB2312"/>
          <w:color w:val="000000"/>
          <w:kern w:val="0"/>
          <w:sz w:val="32"/>
          <w:szCs w:val="22"/>
        </w:rPr>
        <w:t>传承发展慈善文化，广泛开展“中华慈善日”等主题活动，推动慈善文化进机关、进企业、进乡村、进社区、进家庭。推动市、区两级因地制宜开展特色慈善活动，探索设立慈善地标，结合人文历史、自然景观、公共空间开展慈善文化传播，形成“津派慈善”文化品牌。鼓励支持党政机关、事业单位动员干部职工带头参与慈善活动。鼓励支持企业和企业家积极参与和兴办慈善事业。将慈善融入家庭家教家风建设，充分发挥家庭、个人在慈善活动中的作用。充分发挥全国社区志愿者组织“发祥地”优势，鼓励发展社区慈善，为群众就近参与慈善活动提供便捷渠道。</w:t>
      </w:r>
    </w:p>
    <w:p w14:paraId="737AF05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32"/>
        </w:rPr>
        <w:t>46.健全慈善事业支持激励机制。</w:t>
      </w:r>
      <w:r>
        <w:rPr>
          <w:rFonts w:hint="eastAsia" w:ascii="方正仿宋_GB2312" w:hAnsi="方正仿宋_GB2312" w:eastAsia="仿宋_GB2312" w:cs="方正仿宋_GB2312"/>
          <w:color w:val="000000"/>
          <w:kern w:val="0"/>
          <w:sz w:val="32"/>
          <w:szCs w:val="22"/>
        </w:rPr>
        <w:t>依法落实慈善税收优惠政策，激发社会捐赠的积极性。鼓励社会力量通过多种方式为慈善组织提供资金支持和能力建设服务。建立健全慈善褒奖机制，依法依规开展“天津慈善奖”评选表彰活动，选树慈善典型，发挥引领作用。落实慈善组织负责人任前培训制度，开展从业人员法规政策培训。推动落实慈善信息统计制度。鼓励高等院校通过多种方式培育慈善专业人才，支持高等院校、智库等加强慈善理论研究。</w:t>
      </w:r>
    </w:p>
    <w:p w14:paraId="00B48ECF">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22"/>
        </w:rPr>
        <w:t>47.健全慈善组织管理机制。</w:t>
      </w:r>
      <w:r>
        <w:rPr>
          <w:rFonts w:hint="eastAsia" w:ascii="方正仿宋_GB2312" w:hAnsi="方正仿宋_GB2312" w:eastAsia="仿宋_GB2312" w:cs="方正仿宋_GB2312"/>
          <w:color w:val="000000"/>
          <w:kern w:val="0"/>
          <w:sz w:val="32"/>
          <w:szCs w:val="22"/>
        </w:rPr>
        <w:t>加强慈善组织党的建设，加强政治引领和政治把关，会同业务主管单位和党的工作机构推动慈善组织实现党的组织和党的工作全覆盖。实施“阳光慈善”工程，督促慈善组织依法履行信息公开义务，主动接受社会公众监督，提升慈善组织的透明度和公信力。会同业务主管单位和有关部门推动慈善组织规范化建设，督促慈善组织健全决策、执行、监督机制和内部制度，规范善款募集、管理和使用等行为。</w:t>
      </w:r>
    </w:p>
    <w:p w14:paraId="01769121">
      <w:pPr>
        <w:widowControl/>
        <w:spacing w:line="560" w:lineRule="exact"/>
        <w:ind w:firstLine="640" w:firstLineChars="200"/>
        <w:rPr>
          <w:rFonts w:hint="eastAsia" w:ascii="方正仿宋_GB2312" w:hAnsi="方正仿宋_GB2312" w:eastAsia="仿宋_GB2312" w:cs="方正仿宋_GB2312"/>
          <w:bCs/>
          <w:color w:val="000000"/>
          <w:kern w:val="0"/>
          <w:sz w:val="32"/>
          <w:szCs w:val="32"/>
        </w:rPr>
      </w:pPr>
      <w:r>
        <w:rPr>
          <w:rFonts w:hint="eastAsia" w:ascii="Times New Roman" w:hAnsi="Times New Roman" w:eastAsia="楷体" w:cs="Times New Roman"/>
          <w:color w:val="000000"/>
          <w:kern w:val="0"/>
          <w:sz w:val="32"/>
          <w:szCs w:val="32"/>
        </w:rPr>
        <w:t>48</w:t>
      </w:r>
      <w:r>
        <w:rPr>
          <w:rFonts w:ascii="Times New Roman" w:hAnsi="Times New Roman" w:eastAsia="楷体" w:cs="Times New Roman"/>
          <w:color w:val="000000"/>
          <w:kern w:val="0"/>
          <w:sz w:val="32"/>
          <w:szCs w:val="32"/>
        </w:rPr>
        <w:t>.</w:t>
      </w:r>
      <w:r>
        <w:rPr>
          <w:rFonts w:hint="eastAsia" w:ascii="Times New Roman" w:hAnsi="Times New Roman" w:eastAsia="楷体" w:cs="Times New Roman"/>
          <w:color w:val="000000"/>
          <w:kern w:val="0"/>
          <w:sz w:val="32"/>
          <w:szCs w:val="32"/>
        </w:rPr>
        <w:t>健全慈善领域综合监管机制。</w:t>
      </w:r>
      <w:r>
        <w:rPr>
          <w:rFonts w:hint="eastAsia" w:ascii="方正仿宋_GB2312" w:hAnsi="方正仿宋_GB2312" w:eastAsia="仿宋_GB2312" w:cs="方正仿宋_GB2312"/>
          <w:color w:val="000000"/>
          <w:kern w:val="0"/>
          <w:sz w:val="32"/>
          <w:szCs w:val="22"/>
        </w:rPr>
        <w:t>健全慈善综合监管机制，加强对各类参与慈善活动主体的监督管理，对慈善领域的违法违规行为依法进行处理。推动业务主管单位切实履行业务主管职责，推动行业管理部门加强业务指导和行业监管。加强对公开募捐活动、公开募捐方案备案、慈善信托监管。强化慈善领域作风建设，建立发展慈善行业组织，加强慈善行业自律。加强慈善标准化建设，推动符合高质量发展需要的慈善标准落细落实。</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3"/>
      </w:tblGrid>
      <w:tr w14:paraId="1583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3" w:type="dxa"/>
            <w:noWrap w:val="0"/>
            <w:vAlign w:val="top"/>
          </w:tcPr>
          <w:p w14:paraId="61BE0208">
            <w:pPr>
              <w:pStyle w:val="6"/>
              <w:widowControl/>
              <w:rPr>
                <w:rFonts w:hint="eastAsia" w:ascii="方正仿宋_GB2312" w:hAnsi="方正仿宋_GB2312" w:eastAsia="仿宋_GB2312" w:cs="方正仿宋_GB2312"/>
                <w:color w:val="000000"/>
                <w:kern w:val="0"/>
              </w:rPr>
            </w:pPr>
            <w:r>
              <w:rPr>
                <w:rFonts w:hint="eastAsia" w:ascii="仿宋_GB2312" w:hAnsi="仿宋_GB2312" w:eastAsia="仿宋_GB2312" w:cs="仿宋_GB2312"/>
                <w:color w:val="000000"/>
                <w:kern w:val="0"/>
              </w:rPr>
              <w:t>专栏</w:t>
            </w:r>
            <w:r>
              <w:rPr>
                <w:rFonts w:hint="default" w:ascii="Times New Roman" w:hAnsi="Times New Roman" w:eastAsia="仿宋_GB2312" w:cs="Times New Roman"/>
                <w:color w:val="000000"/>
                <w:kern w:val="0"/>
              </w:rPr>
              <w:t>9</w:t>
            </w:r>
            <w:r>
              <w:rPr>
                <w:rFonts w:hint="eastAsia" w:ascii="仿宋_GB2312" w:hAnsi="仿宋_GB2312" w:eastAsia="仿宋_GB2312" w:cs="仿宋_GB2312"/>
                <w:color w:val="000000"/>
                <w:kern w:val="0"/>
              </w:rPr>
              <w:t>：</w:t>
            </w:r>
            <w:r>
              <w:rPr>
                <w:rFonts w:hint="eastAsia" w:ascii="方正仿宋_GB2312" w:hAnsi="方正仿宋_GB2312" w:eastAsia="仿宋_GB2312" w:cs="方正仿宋_GB2312"/>
                <w:color w:val="000000"/>
                <w:kern w:val="0"/>
              </w:rPr>
              <w:t>“阳光慈善”工程</w:t>
            </w:r>
          </w:p>
          <w:p w14:paraId="3320D9C9">
            <w:pPr>
              <w:pStyle w:val="7"/>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cs="Times New Roman"/>
                <w:kern w:val="0"/>
              </w:rPr>
            </w:pPr>
            <w:r>
              <w:rPr>
                <w:rFonts w:eastAsia="宋体" w:cs="Times New Roman"/>
                <w:kern w:val="0"/>
                <w:szCs w:val="28"/>
              </w:rPr>
              <w:t>2</w:t>
            </w:r>
            <w:r>
              <w:rPr>
                <w:rFonts w:hint="eastAsia" w:eastAsia="宋体" w:cs="Times New Roman"/>
                <w:kern w:val="0"/>
                <w:szCs w:val="28"/>
              </w:rPr>
              <w:t>1</w:t>
            </w:r>
            <w:r>
              <w:rPr>
                <w:rFonts w:eastAsia="宋体" w:cs="Times New Roman"/>
                <w:kern w:val="0"/>
                <w:szCs w:val="28"/>
              </w:rPr>
              <w:t xml:space="preserve"> </w:t>
            </w:r>
            <w:r>
              <w:rPr>
                <w:rFonts w:hint="eastAsia" w:ascii="方正仿宋_GB2312" w:hAnsi="方正仿宋_GB2312" w:eastAsia="仿宋_GB2312" w:cs="方正仿宋_GB2312"/>
                <w:kern w:val="0"/>
                <w:lang w:bidi="ar"/>
              </w:rPr>
              <w:t>深化实施“阳光慈善”工程，通过宣讲培训、专项检查、随机抽查等方式，推动慈善组织、慈善信托的受托人全面贯彻落实</w:t>
            </w:r>
            <w:r>
              <w:rPr>
                <w:rFonts w:hint="eastAsia" w:ascii="方正仿宋_GB2312" w:hAnsi="方正仿宋_GB2312" w:eastAsia="仿宋_GB2312" w:cs="方正仿宋_GB2312"/>
                <w:kern w:val="0"/>
                <w:lang w:eastAsia="zh-CN" w:bidi="ar"/>
              </w:rPr>
              <w:t>《</w:t>
            </w:r>
            <w:r>
              <w:rPr>
                <w:rFonts w:hint="eastAsia" w:ascii="方正仿宋_GB2312" w:hAnsi="方正仿宋_GB2312" w:eastAsia="仿宋_GB2312" w:cs="方正仿宋_GB2312"/>
                <w:kern w:val="0"/>
                <w:lang w:val="en-US" w:eastAsia="zh-CN" w:bidi="ar"/>
              </w:rPr>
              <w:t>中华人民共和国</w:t>
            </w:r>
            <w:r>
              <w:rPr>
                <w:rFonts w:hint="eastAsia" w:ascii="方正仿宋_GB2312" w:hAnsi="方正仿宋_GB2312" w:eastAsia="仿宋_GB2312" w:cs="方正仿宋_GB2312"/>
                <w:kern w:val="0"/>
                <w:lang w:bidi="ar"/>
              </w:rPr>
              <w:t>慈善法</w:t>
            </w:r>
            <w:r>
              <w:rPr>
                <w:rFonts w:hint="eastAsia" w:ascii="方正仿宋_GB2312" w:hAnsi="方正仿宋_GB2312" w:eastAsia="仿宋_GB2312" w:cs="方正仿宋_GB2312"/>
                <w:kern w:val="0"/>
                <w:lang w:eastAsia="zh-CN" w:bidi="ar"/>
              </w:rPr>
              <w:t>》</w:t>
            </w:r>
            <w:r>
              <w:rPr>
                <w:rFonts w:hint="eastAsia" w:ascii="方正仿宋_GB2312" w:hAnsi="方正仿宋_GB2312" w:eastAsia="仿宋_GB2312" w:cs="方正仿宋_GB2312"/>
                <w:kern w:val="0"/>
                <w:lang w:bidi="ar"/>
              </w:rPr>
              <w:t>《慈善组织信息公开办法》《慈善信托信息公开办法》要求，提高慈善组织、受托人依法履行信息公开义务的意识和能力，提升透明度和公信力。推动慈善信息全面、准确、及时公开，鼓励公众、媒体对慈善活动进行社会监督，健全协同执法和社会监督机制，提升慈善组织和慈善活动透明度和公信力。</w:t>
            </w:r>
          </w:p>
        </w:tc>
      </w:tr>
    </w:tbl>
    <w:p w14:paraId="28E2D261">
      <w:pPr>
        <w:widowControl/>
        <w:bidi w:val="0"/>
        <w:spacing w:line="560" w:lineRule="exact"/>
        <w:ind w:firstLine="640" w:firstLineChars="200"/>
        <w:rPr>
          <w:rFonts w:ascii="Times New Roman" w:hAnsi="Times New Roman" w:eastAsia="仿宋" w:cs="Times New Roman"/>
          <w:color w:val="000000"/>
          <w:kern w:val="0"/>
          <w:sz w:val="32"/>
          <w:szCs w:val="22"/>
        </w:rPr>
      </w:pPr>
    </w:p>
    <w:p w14:paraId="10465738">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eastAsia="黑体" w:cs="Times New Roman"/>
          <w:kern w:val="0"/>
          <w:lang w:val="en-US" w:eastAsia="zh-CN"/>
        </w:rPr>
      </w:pPr>
      <w:bookmarkStart w:id="128" w:name="_Toc231311719"/>
      <w:r>
        <w:rPr>
          <w:rFonts w:hint="eastAsia" w:cs="Times New Roman"/>
          <w:kern w:val="0"/>
        </w:rPr>
        <w:t>第三节</w:t>
      </w:r>
      <w:r>
        <w:rPr>
          <w:rFonts w:cs="Times New Roman"/>
          <w:kern w:val="0"/>
        </w:rPr>
        <w:t xml:space="preserve"> </w:t>
      </w:r>
      <w:r>
        <w:rPr>
          <w:rFonts w:hint="eastAsia" w:cs="Times New Roman"/>
          <w:kern w:val="0"/>
        </w:rPr>
        <w:t xml:space="preserve"> 充分发挥福利彩票公益</w:t>
      </w:r>
      <w:bookmarkEnd w:id="128"/>
      <w:r>
        <w:rPr>
          <w:rFonts w:hint="eastAsia" w:cs="Times New Roman"/>
          <w:kern w:val="0"/>
          <w:lang w:val="en-US" w:eastAsia="zh-CN"/>
        </w:rPr>
        <w:t>作用</w:t>
      </w:r>
    </w:p>
    <w:p w14:paraId="5CB5B372">
      <w:pPr>
        <w:widowControl/>
        <w:spacing w:line="560" w:lineRule="exact"/>
        <w:ind w:firstLine="640" w:firstLineChars="200"/>
        <w:rPr>
          <w:rFonts w:ascii="Times New Roman" w:hAnsi="Times New Roman" w:eastAsia="仿宋_GB2312" w:cs="Times New Roman"/>
          <w:color w:val="000000"/>
          <w:kern w:val="0"/>
          <w:sz w:val="32"/>
          <w:szCs w:val="40"/>
        </w:rPr>
      </w:pPr>
    </w:p>
    <w:p w14:paraId="01EFD1AB">
      <w:pPr>
        <w:widowControl/>
        <w:spacing w:line="560" w:lineRule="exact"/>
        <w:ind w:firstLine="640" w:firstLineChars="200"/>
        <w:rPr>
          <w:rFonts w:hint="eastAsia" w:ascii="方正仿宋_GB2312" w:hAnsi="方正仿宋_GB2312" w:eastAsia="仿宋_GB2312" w:cs="方正仿宋_GB2312"/>
          <w:color w:val="000000"/>
          <w:kern w:val="0"/>
          <w:sz w:val="32"/>
          <w:szCs w:val="40"/>
        </w:rPr>
      </w:pPr>
      <w:r>
        <w:rPr>
          <w:rFonts w:hint="eastAsia" w:ascii="Times New Roman" w:hAnsi="Times New Roman" w:eastAsia="仿宋_GB2312" w:cs="Times New Roman"/>
          <w:color w:val="000000"/>
          <w:kern w:val="0"/>
          <w:sz w:val="32"/>
          <w:szCs w:val="40"/>
        </w:rPr>
        <w:t>49.</w:t>
      </w:r>
      <w:r>
        <w:rPr>
          <w:rFonts w:hint="eastAsia" w:ascii="楷体" w:hAnsi="楷体" w:eastAsia="楷体" w:cs="楷体"/>
          <w:color w:val="000000"/>
          <w:kern w:val="0"/>
          <w:sz w:val="32"/>
          <w:szCs w:val="40"/>
          <w:lang w:val="en-US" w:eastAsia="zh-CN"/>
        </w:rPr>
        <w:t>坚持</w:t>
      </w:r>
      <w:r>
        <w:rPr>
          <w:rFonts w:hint="eastAsia" w:ascii="Times New Roman" w:hAnsi="Times New Roman" w:eastAsia="楷体" w:cs="Times New Roman"/>
          <w:color w:val="000000"/>
          <w:kern w:val="0"/>
          <w:sz w:val="32"/>
          <w:szCs w:val="40"/>
        </w:rPr>
        <w:t>国家彩票公益</w:t>
      </w:r>
      <w:r>
        <w:rPr>
          <w:rFonts w:hint="eastAsia" w:ascii="Times New Roman" w:hAnsi="Times New Roman" w:eastAsia="楷体" w:cs="Times New Roman"/>
          <w:color w:val="000000"/>
          <w:kern w:val="0"/>
          <w:sz w:val="32"/>
          <w:szCs w:val="40"/>
          <w:lang w:val="en-US" w:eastAsia="zh-CN"/>
        </w:rPr>
        <w:t>属性</w:t>
      </w:r>
      <w:r>
        <w:rPr>
          <w:rFonts w:hint="eastAsia" w:ascii="Times New Roman" w:hAnsi="Times New Roman" w:eastAsia="楷体" w:cs="Times New Roman"/>
          <w:color w:val="000000"/>
          <w:kern w:val="0"/>
          <w:sz w:val="32"/>
          <w:szCs w:val="40"/>
        </w:rPr>
        <w:t>。</w:t>
      </w:r>
      <w:r>
        <w:rPr>
          <w:rFonts w:hint="eastAsia" w:ascii="方正仿宋_GB2312" w:hAnsi="方正仿宋_GB2312" w:eastAsia="仿宋_GB2312" w:cs="方正仿宋_GB2312"/>
          <w:color w:val="000000"/>
          <w:kern w:val="0"/>
          <w:sz w:val="32"/>
          <w:szCs w:val="40"/>
        </w:rPr>
        <w:t>持续打造“福彩圆梦”系列公益活动品牌，普及福利彩票知识，宣传公益贡献，树立“公益、责任、阳光”福彩形象。深化责任彩票理念与业务融合，加强理性购彩提醒，坚持责任彩票报告制度，营造“多人少买，寓募于乐”健康购彩氛围。</w:t>
      </w:r>
    </w:p>
    <w:p w14:paraId="6B9A3080">
      <w:pPr>
        <w:widowControl/>
        <w:spacing w:line="560" w:lineRule="exact"/>
        <w:ind w:firstLine="640" w:firstLineChars="200"/>
        <w:rPr>
          <w:rFonts w:hint="eastAsia" w:ascii="方正仿宋_GB2312" w:hAnsi="方正仿宋_GB2312" w:eastAsia="仿宋_GB2312" w:cs="方正仿宋_GB2312"/>
          <w:color w:val="000000"/>
          <w:kern w:val="0"/>
          <w:sz w:val="32"/>
          <w:szCs w:val="40"/>
        </w:rPr>
      </w:pPr>
      <w:r>
        <w:rPr>
          <w:rFonts w:hint="eastAsia" w:ascii="Times New Roman" w:hAnsi="Times New Roman" w:eastAsia="仿宋_GB2312" w:cs="Times New Roman"/>
          <w:color w:val="000000"/>
          <w:kern w:val="0"/>
          <w:sz w:val="32"/>
          <w:szCs w:val="40"/>
        </w:rPr>
        <w:t>50.</w:t>
      </w:r>
      <w:r>
        <w:rPr>
          <w:rFonts w:hint="eastAsia" w:ascii="Times New Roman" w:hAnsi="Times New Roman" w:eastAsia="楷体" w:cs="Times New Roman"/>
          <w:color w:val="000000"/>
          <w:kern w:val="0"/>
          <w:sz w:val="32"/>
          <w:szCs w:val="40"/>
        </w:rPr>
        <w:t>加强渠道运营管理。</w:t>
      </w:r>
      <w:r>
        <w:rPr>
          <w:rFonts w:hint="eastAsia" w:ascii="方正仿宋_GB2312" w:hAnsi="方正仿宋_GB2312" w:eastAsia="仿宋_GB2312" w:cs="方正仿宋_GB2312"/>
          <w:color w:val="000000"/>
          <w:kern w:val="0"/>
          <w:sz w:val="32"/>
          <w:szCs w:val="40"/>
        </w:rPr>
        <w:t>优化渠道布局，稳住传统网点基本盘，深化多业态合作，探索“＋福彩”和“福彩＋”等融合模式，不断释放增长动能。持续开展销售市场监督检查，加强代销者、代销行为和销售场所规范化精细化管理，实现渠道运营精细合规。</w:t>
      </w:r>
    </w:p>
    <w:p w14:paraId="1822BAC7">
      <w:pPr>
        <w:widowControl/>
        <w:spacing w:line="560" w:lineRule="exact"/>
        <w:ind w:firstLine="640" w:firstLineChars="200"/>
        <w:rPr>
          <w:rFonts w:hint="eastAsia" w:ascii="方正仿宋_GB2312" w:hAnsi="方正仿宋_GB2312" w:eastAsia="仿宋_GB2312" w:cs="方正仿宋_GB2312"/>
          <w:color w:val="000000"/>
          <w:kern w:val="0"/>
          <w:sz w:val="32"/>
          <w:szCs w:val="40"/>
        </w:rPr>
      </w:pPr>
      <w:r>
        <w:rPr>
          <w:rFonts w:hint="eastAsia" w:ascii="Times New Roman" w:hAnsi="Times New Roman" w:eastAsia="仿宋_GB2312" w:cs="Times New Roman"/>
          <w:color w:val="000000"/>
          <w:kern w:val="0"/>
          <w:sz w:val="32"/>
          <w:szCs w:val="40"/>
        </w:rPr>
        <w:t>51.</w:t>
      </w:r>
      <w:r>
        <w:rPr>
          <w:rFonts w:hint="eastAsia" w:ascii="Times New Roman" w:hAnsi="Times New Roman" w:eastAsia="楷体" w:cs="Times New Roman"/>
          <w:color w:val="000000"/>
          <w:kern w:val="0"/>
          <w:sz w:val="32"/>
          <w:szCs w:val="40"/>
        </w:rPr>
        <w:t>强化安全运行保障。</w:t>
      </w:r>
      <w:r>
        <w:rPr>
          <w:rFonts w:hint="eastAsia" w:ascii="方正仿宋_GB2312" w:hAnsi="方正仿宋_GB2312" w:eastAsia="仿宋_GB2312" w:cs="方正仿宋_GB2312"/>
          <w:color w:val="000000"/>
          <w:kern w:val="0"/>
          <w:sz w:val="32"/>
          <w:szCs w:val="40"/>
        </w:rPr>
        <w:t>加快形成“人防＋物防＋技防”相结合的安全管理机制。严格资金、资产管理，规范采购和对外合作。加强正面宣传力度，开展培训演练，增强</w:t>
      </w:r>
      <w:r>
        <w:rPr>
          <w:rFonts w:hint="eastAsia" w:ascii="方正仿宋_GB2312" w:hAnsi="方正仿宋_GB2312" w:eastAsia="仿宋_GB2312" w:cs="方正仿宋_GB2312"/>
          <w:color w:val="000000"/>
          <w:kern w:val="0"/>
          <w:sz w:val="32"/>
          <w:szCs w:val="22"/>
        </w:rPr>
        <w:t>宣传</w:t>
      </w:r>
      <w:r>
        <w:rPr>
          <w:rFonts w:hint="eastAsia" w:ascii="方正仿宋_GB2312" w:hAnsi="方正仿宋_GB2312" w:eastAsia="仿宋_GB2312" w:cs="方正仿宋_GB2312"/>
          <w:color w:val="000000"/>
          <w:kern w:val="0"/>
          <w:sz w:val="32"/>
          <w:szCs w:val="40"/>
        </w:rPr>
        <w:t>引导主动性。积极争取全国统一系统落地，提升技术系统支撑保障和风险防控能力。</w:t>
      </w:r>
    </w:p>
    <w:p w14:paraId="0A4732DC">
      <w:pPr>
        <w:widowControl/>
        <w:spacing w:line="560" w:lineRule="exact"/>
        <w:ind w:firstLine="640" w:firstLineChars="200"/>
        <w:rPr>
          <w:rFonts w:ascii="Times New Roman" w:hAnsi="Times New Roman" w:eastAsia="仿宋" w:cs="Times New Roman"/>
          <w:color w:val="000000"/>
          <w:kern w:val="0"/>
          <w:sz w:val="32"/>
          <w:szCs w:val="32"/>
        </w:rPr>
      </w:pPr>
      <w:r>
        <w:rPr>
          <w:rFonts w:hint="eastAsia" w:ascii="Times New Roman" w:hAnsi="Times New Roman" w:eastAsia="楷体" w:cs="Times New Roman"/>
          <w:color w:val="000000"/>
          <w:kern w:val="0"/>
          <w:sz w:val="32"/>
          <w:szCs w:val="40"/>
        </w:rPr>
        <w:t>52.科学高效使用福彩公益金。</w:t>
      </w:r>
      <w:r>
        <w:rPr>
          <w:rFonts w:hint="eastAsia" w:ascii="方正仿宋_GB2312" w:hAnsi="方正仿宋_GB2312" w:eastAsia="仿宋_GB2312" w:cs="方正仿宋_GB2312"/>
          <w:color w:val="000000"/>
          <w:kern w:val="0"/>
          <w:sz w:val="32"/>
          <w:szCs w:val="40"/>
        </w:rPr>
        <w:t>加大福利彩票规范营销与公益宣传力度，夯实公益金筹集基础，拓宽资金保障渠道。突出公益属性，坚持取之于民、造福于民，所有福利彩票公益金项目严格执行公益标识加挂制度。强化项目储备管理，争取更多彩票公益金支持。坚持民生导向、精准施策，健全科学高效的资金统筹使用机制，紧扣“扶老、助残、救孤、济困</w:t>
      </w:r>
      <w:r>
        <w:rPr>
          <w:rFonts w:hint="default" w:ascii="方正仿宋_GB2312" w:hAnsi="方正仿宋_GB2312" w:eastAsia="仿宋_GB2312" w:cs="方正仿宋_GB2312"/>
          <w:color w:val="000000"/>
          <w:kern w:val="0"/>
          <w:sz w:val="32"/>
          <w:szCs w:val="40"/>
          <w:lang w:val="en-US" w:eastAsia="zh-CN"/>
        </w:rPr>
        <w:t>”</w:t>
      </w:r>
      <w:r>
        <w:rPr>
          <w:rFonts w:hint="eastAsia" w:ascii="方正仿宋_GB2312" w:hAnsi="方正仿宋_GB2312" w:eastAsia="仿宋_GB2312" w:cs="方正仿宋_GB2312"/>
          <w:color w:val="000000"/>
          <w:kern w:val="0"/>
          <w:sz w:val="32"/>
          <w:szCs w:val="40"/>
        </w:rPr>
        <w:t>宗旨，依规优化资金分配、规范资金投向，重点支持社会福利和社会公益事业发展。突出绩效管理，从严规范公益金使用管理，加大监督检查力度，切实提升资金使用效益。</w:t>
      </w:r>
    </w:p>
    <w:tbl>
      <w:tblPr>
        <w:tblStyle w:val="13"/>
        <w:tblW w:w="8528"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4F28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8528" w:type="dxa"/>
            <w:noWrap w:val="0"/>
            <w:vAlign w:val="top"/>
          </w:tcPr>
          <w:p w14:paraId="57F3363D">
            <w:pPr>
              <w:pStyle w:val="6"/>
              <w:widowControl/>
              <w:rPr>
                <w:rFonts w:hint="eastAsia" w:ascii="方正仿宋_GB2312" w:hAnsi="方正仿宋_GB2312" w:eastAsia="仿宋_GB2312" w:cs="方正仿宋_GB2312"/>
                <w:color w:val="000000"/>
                <w:kern w:val="0"/>
              </w:rPr>
            </w:pPr>
            <w:r>
              <w:rPr>
                <w:rFonts w:hint="eastAsia" w:ascii="方正仿宋_GB2312" w:hAnsi="方正仿宋_GB2312" w:eastAsia="仿宋_GB2312" w:cs="方正仿宋_GB2312"/>
                <w:color w:val="000000"/>
                <w:kern w:val="0"/>
              </w:rPr>
              <w:t>专栏</w:t>
            </w:r>
            <w:r>
              <w:rPr>
                <w:rFonts w:hint="default" w:ascii="Times New Roman" w:hAnsi="Times New Roman" w:eastAsia="仿宋_GB2312" w:cs="Times New Roman"/>
                <w:color w:val="000000"/>
                <w:kern w:val="0"/>
              </w:rPr>
              <w:t>10</w:t>
            </w:r>
            <w:r>
              <w:rPr>
                <w:rFonts w:hint="eastAsia" w:ascii="仿宋_GB2312" w:hAnsi="仿宋_GB2312" w:eastAsia="仿宋_GB2312" w:cs="仿宋_GB2312"/>
                <w:color w:val="000000"/>
                <w:kern w:val="0"/>
              </w:rPr>
              <w:t>：</w:t>
            </w:r>
            <w:r>
              <w:rPr>
                <w:rFonts w:hint="eastAsia" w:ascii="方正仿宋_GB2312" w:hAnsi="方正仿宋_GB2312" w:eastAsia="仿宋_GB2312" w:cs="方正仿宋_GB2312"/>
                <w:color w:val="000000"/>
                <w:kern w:val="0"/>
              </w:rPr>
              <w:t>传播福彩“公益、责任、阳光”品牌价值</w:t>
            </w:r>
          </w:p>
          <w:p w14:paraId="3643876B">
            <w:pPr>
              <w:pStyle w:val="7"/>
              <w:widowControl/>
              <w:spacing w:line="560" w:lineRule="exact"/>
              <w:ind w:firstLine="560"/>
              <w:rPr>
                <w:rFonts w:cs="Times New Roman"/>
                <w:kern w:val="0"/>
              </w:rPr>
            </w:pPr>
            <w:r>
              <w:rPr>
                <w:rFonts w:hint="eastAsia" w:cs="Times New Roman"/>
                <w:kern w:val="0"/>
              </w:rPr>
              <w:t>22</w:t>
            </w:r>
            <w:r>
              <w:rPr>
                <w:rFonts w:cs="Times New Roman"/>
                <w:kern w:val="0"/>
              </w:rPr>
              <w:t xml:space="preserve"> </w:t>
            </w:r>
            <w:r>
              <w:rPr>
                <w:rFonts w:hint="eastAsia" w:ascii="方正仿宋_GB2312" w:hAnsi="方正仿宋_GB2312" w:eastAsia="仿宋_GB2312" w:cs="方正仿宋_GB2312"/>
                <w:kern w:val="0"/>
              </w:rPr>
              <w:t>深化福彩公益“社会共济”，打造“福彩圆梦”公益品牌。围绕老、残、孤、困群体开展系列社会帮扶活动，通过“实地交流、实际帮扶、实效宣传”三维发力，创新福彩公益帮扶形式。强化福彩公益“责任共治”，制定责任彩票建设工作计划，通过理性购彩宣传积极培育健康购彩行为，加强责任彩票报告编写和发布工作，不断推动责任彩票理念与业务深度融合。优化福彩公益“媒体共建”，打造覆盖电视台、电台、纸媒等传统媒体和互联网、移动互联网等新媒体的立体化传播渠道体系，普及公益金管理使用知识，宣传福彩公益金使用成效。</w:t>
            </w:r>
          </w:p>
        </w:tc>
      </w:tr>
    </w:tbl>
    <w:p w14:paraId="67E48355">
      <w:pPr>
        <w:pStyle w:val="17"/>
        <w:widowControl/>
        <w:ind w:left="1923" w:firstLine="0" w:firstLineChars="0"/>
        <w:outlineLvl w:val="1"/>
        <w:rPr>
          <w:rFonts w:ascii="黑体" w:hAnsi="黑体" w:eastAsia="黑体" w:cs="黑体"/>
          <w:kern w:val="0"/>
        </w:rPr>
      </w:pPr>
    </w:p>
    <w:p w14:paraId="30539D00">
      <w:pPr>
        <w:pStyle w:val="17"/>
        <w:widowControl/>
        <w:ind w:left="1923" w:firstLine="0" w:firstLineChars="0"/>
        <w:outlineLvl w:val="1"/>
        <w:rPr>
          <w:rFonts w:ascii="黑体" w:hAnsi="黑体" w:eastAsia="黑体" w:cs="黑体"/>
          <w:kern w:val="0"/>
        </w:rPr>
      </w:pPr>
    </w:p>
    <w:p w14:paraId="3C3FEB52">
      <w:pPr>
        <w:pStyle w:val="3"/>
        <w:widowControl/>
        <w:bidi w:val="0"/>
        <w:rPr>
          <w:rFonts w:hint="eastAsia"/>
          <w:kern w:val="0"/>
        </w:rPr>
      </w:pPr>
      <w:bookmarkStart w:id="129" w:name="_Toc231311720"/>
      <w:r>
        <w:rPr>
          <w:rFonts w:hint="eastAsia"/>
          <w:kern w:val="0"/>
        </w:rPr>
        <w:t>第四节  释放行政区划资源效能</w:t>
      </w:r>
      <w:bookmarkEnd w:id="129"/>
    </w:p>
    <w:p w14:paraId="030288EA">
      <w:pPr>
        <w:widowControl/>
        <w:spacing w:line="560" w:lineRule="exact"/>
        <w:ind w:left="0" w:leftChars="0" w:firstLine="0" w:firstLineChars="0"/>
        <w:rPr>
          <w:rFonts w:hint="eastAsia" w:ascii="黑体" w:hAnsi="黑体" w:eastAsia="黑体" w:cs="黑体"/>
          <w:color w:val="000000"/>
          <w:kern w:val="0"/>
          <w:sz w:val="32"/>
          <w:szCs w:val="22"/>
        </w:rPr>
      </w:pPr>
    </w:p>
    <w:p w14:paraId="63C18A7A">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32"/>
        </w:rPr>
        <w:t>53.全力服务党和国家重大战略。</w:t>
      </w:r>
      <w:r>
        <w:rPr>
          <w:rFonts w:hint="eastAsia" w:ascii="方正仿宋_GB2312" w:hAnsi="方正仿宋_GB2312" w:eastAsia="仿宋_GB2312" w:cs="方正仿宋_GB2312"/>
          <w:color w:val="000000"/>
          <w:kern w:val="0"/>
          <w:sz w:val="32"/>
          <w:szCs w:val="22"/>
        </w:rPr>
        <w:t>准确把握行政区划功能定位，深化战略研究，加强总体统筹，准确把握要求，发挥行政区划资源优势，更好服务京津冀协同发展和现代化首都都市圈建设。坚持总体稳定原则，遵循发展规律，强化顶层设计，立足全局谋划，稳慎优化设置，不断提升城市综合承载能力和内涵式发展水平。</w:t>
      </w:r>
    </w:p>
    <w:p w14:paraId="4EC6A7E4">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32"/>
        </w:rPr>
        <w:t>54.健全完善制度机制。</w:t>
      </w:r>
      <w:r>
        <w:rPr>
          <w:rFonts w:hint="eastAsia" w:ascii="方正仿宋_GB2312" w:hAnsi="方正仿宋_GB2312" w:eastAsia="仿宋_GB2312" w:cs="方正仿宋_GB2312"/>
          <w:color w:val="000000"/>
          <w:kern w:val="0"/>
          <w:sz w:val="32"/>
          <w:szCs w:val="22"/>
        </w:rPr>
        <w:t>贯彻落实党和国家关于行政区划工作的部署要求，进一步加强党对行政区划工作的领导，落实学习研究、总体统筹、优化设置、审批决策和请示报告等行政区划制度机制，推动行政区划工作健康发展。强化法治思维，健全完善行政区划法规体系建设，规范审批决策程序，完善专家论证、风险评估、征求意见、实地踏勘等工作制度，强化组织实施和评估监督，确保政策法规贯彻落实到位。严格审核把关，严肃工作纪律，保持行政区划总体稳定。</w:t>
      </w:r>
    </w:p>
    <w:p w14:paraId="2904662D">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Style w:val="16"/>
          <w:rFonts w:ascii="Times New Roman" w:hAnsi="Times New Roman" w:cs="Times New Roman"/>
          <w:kern w:val="0"/>
        </w:rPr>
        <w:t>5</w:t>
      </w:r>
      <w:r>
        <w:rPr>
          <w:rStyle w:val="16"/>
          <w:rFonts w:hint="eastAsia" w:ascii="Times New Roman" w:hAnsi="Times New Roman" w:cs="Times New Roman"/>
          <w:kern w:val="0"/>
        </w:rPr>
        <w:t>5</w:t>
      </w:r>
      <w:r>
        <w:rPr>
          <w:rStyle w:val="16"/>
          <w:rFonts w:ascii="Times New Roman" w:hAnsi="Times New Roman" w:cs="Times New Roman"/>
          <w:kern w:val="0"/>
        </w:rPr>
        <w:t>.</w:t>
      </w:r>
      <w:r>
        <w:rPr>
          <w:rStyle w:val="16"/>
          <w:rFonts w:hint="eastAsia" w:cs="Times New Roman"/>
          <w:kern w:val="0"/>
        </w:rPr>
        <w:t>积极助力治理现代化。</w:t>
      </w:r>
      <w:r>
        <w:rPr>
          <w:rFonts w:hint="eastAsia" w:ascii="方正仿宋_GB2312" w:hAnsi="方正仿宋_GB2312" w:eastAsia="仿宋_GB2312" w:cs="方正仿宋_GB2312"/>
          <w:color w:val="000000"/>
          <w:kern w:val="0"/>
          <w:sz w:val="32"/>
          <w:szCs w:val="22"/>
        </w:rPr>
        <w:t>围绕构建权责清晰的法治政府治理空间，充分利用行政区域界线勘定成果，开展省区界线联合检查和界线界桩更新增设，为基层治理提供精细化服务，维护行政区域界线法治权威。积极开展行政区和功能区管理体制调查研究，规范代管托管程序办法，厘清管理边界范围，明确权责事项清单，促进政区融合发展。丰富边界文化，开展睦邻友好活动，创建高水平平安边界。加强行政区划基础数据要素收录更新，推进乡级以上行政区域界线数字化、矢量化管理，共享行政区划资源成果，为社会提供更多优质服务。</w:t>
      </w:r>
    </w:p>
    <w:p w14:paraId="3A100483">
      <w:pPr>
        <w:widowControl/>
        <w:spacing w:line="560" w:lineRule="exact"/>
        <w:ind w:firstLine="640" w:firstLineChars="200"/>
        <w:rPr>
          <w:rFonts w:ascii="Times New Roman" w:hAnsi="Times New Roman" w:eastAsia="仿宋" w:cs="Times New Roman"/>
          <w:color w:val="000000"/>
          <w:kern w:val="0"/>
          <w:sz w:val="32"/>
          <w:szCs w:val="32"/>
        </w:rPr>
      </w:pPr>
      <w:r>
        <w:rPr>
          <w:rStyle w:val="16"/>
          <w:rFonts w:ascii="Times New Roman" w:hAnsi="Times New Roman" w:cs="Times New Roman"/>
          <w:kern w:val="0"/>
        </w:rPr>
        <w:t>5</w:t>
      </w:r>
      <w:r>
        <w:rPr>
          <w:rStyle w:val="16"/>
          <w:rFonts w:hint="eastAsia" w:ascii="Times New Roman" w:hAnsi="Times New Roman" w:cs="Times New Roman"/>
          <w:kern w:val="0"/>
        </w:rPr>
        <w:t>6</w:t>
      </w:r>
      <w:r>
        <w:rPr>
          <w:rStyle w:val="16"/>
          <w:rFonts w:ascii="Times New Roman" w:hAnsi="Times New Roman" w:cs="Times New Roman"/>
          <w:kern w:val="0"/>
        </w:rPr>
        <w:t>.</w:t>
      </w:r>
      <w:r>
        <w:rPr>
          <w:rStyle w:val="16"/>
          <w:rFonts w:hint="eastAsia" w:cs="Times New Roman"/>
          <w:kern w:val="0"/>
        </w:rPr>
        <w:t>深入挖掘区划文化内涵。</w:t>
      </w:r>
      <w:r>
        <w:rPr>
          <w:rFonts w:hint="eastAsia" w:ascii="方正仿宋_GB2312" w:hAnsi="方正仿宋_GB2312" w:eastAsia="仿宋_GB2312" w:cs="方正仿宋_GB2312"/>
          <w:color w:val="000000"/>
          <w:kern w:val="0"/>
          <w:sz w:val="32"/>
          <w:szCs w:val="22"/>
        </w:rPr>
        <w:t>加强行政区划历史文化研究阐释，深化行政区划历史文化的时代特征和丰富内涵，彰显标识作用，夯实保持行政区划总体稳定的历史文化根基。将行政区划调整变更与保护历史文化名城、名镇、名村、传统村落、文化街区等相衔接，加强宣传力度，讲好区划故事，凝聚情感认同，更好传承历史、赓续文脉、保护遗存。</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D4E2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0" w:hRule="atLeast"/>
        </w:trPr>
        <w:tc>
          <w:tcPr>
            <w:tcW w:w="8522" w:type="dxa"/>
            <w:noWrap w:val="0"/>
            <w:vAlign w:val="top"/>
          </w:tcPr>
          <w:p w14:paraId="1AD4B1AE">
            <w:pPr>
              <w:pStyle w:val="6"/>
              <w:widowControl/>
              <w:rPr>
                <w:rFonts w:hint="eastAsia"/>
                <w:color w:val="000000"/>
                <w:kern w:val="0"/>
              </w:rPr>
            </w:pPr>
            <w:r>
              <w:rPr>
                <w:rFonts w:hint="eastAsia" w:ascii="方正仿宋_GB2312" w:hAnsi="方正仿宋_GB2312" w:eastAsia="仿宋_GB2312" w:cs="方正仿宋_GB2312"/>
                <w:color w:val="000000"/>
                <w:kern w:val="0"/>
              </w:rPr>
              <w:t>专栏</w:t>
            </w:r>
            <w:r>
              <w:rPr>
                <w:rFonts w:hint="eastAsia" w:ascii="Times New Roman" w:hAnsi="Times New Roman"/>
                <w:color w:val="000000"/>
                <w:kern w:val="0"/>
              </w:rPr>
              <w:t>11</w:t>
            </w:r>
            <w:r>
              <w:rPr>
                <w:rFonts w:hint="eastAsia"/>
                <w:color w:val="000000"/>
                <w:kern w:val="0"/>
              </w:rPr>
              <w:t>：</w:t>
            </w:r>
            <w:r>
              <w:rPr>
                <w:rFonts w:hint="eastAsia" w:ascii="方正仿宋_GB2312" w:hAnsi="方正仿宋_GB2312" w:eastAsia="仿宋_GB2312" w:cs="方正仿宋_GB2312"/>
                <w:color w:val="000000"/>
                <w:kern w:val="0"/>
              </w:rPr>
              <w:t>赓续行政区划历史文脉传承</w:t>
            </w:r>
          </w:p>
          <w:p w14:paraId="4919A36F">
            <w:pPr>
              <w:pStyle w:val="7"/>
              <w:widowControl/>
              <w:spacing w:line="560" w:lineRule="exact"/>
              <w:ind w:firstLine="560"/>
              <w:rPr>
                <w:rFonts w:hint="eastAsia" w:cs="Times New Roman"/>
                <w:kern w:val="0"/>
              </w:rPr>
            </w:pPr>
            <w:r>
              <w:rPr>
                <w:rFonts w:cs="Times New Roman"/>
                <w:kern w:val="0"/>
              </w:rPr>
              <w:t>2</w:t>
            </w:r>
            <w:r>
              <w:rPr>
                <w:rFonts w:hint="eastAsia" w:cs="Times New Roman"/>
                <w:kern w:val="0"/>
              </w:rPr>
              <w:t xml:space="preserve">3 </w:t>
            </w:r>
            <w:r>
              <w:rPr>
                <w:rFonts w:hint="eastAsia" w:ascii="方正仿宋_GB2312" w:hAnsi="方正仿宋_GB2312" w:eastAsia="仿宋_GB2312" w:cs="方正仿宋_GB2312"/>
                <w:kern w:val="0"/>
              </w:rPr>
              <w:t>深化天津行政区划历史文化保护传承研究，汇集地方高校、史馆志办和专家学者等机构力量，深入挖掘天津行政区划设置的历史经验，阐发宣扬我市行政区划历史变迁中蕴含的思想理念和文化精髓，编汇区划历史文化图录典志等系列成果，不断夯实天津行政区划历史文化根基。</w:t>
            </w:r>
          </w:p>
        </w:tc>
      </w:tr>
    </w:tbl>
    <w:p w14:paraId="6E40FC8A">
      <w:pPr>
        <w:widowControl/>
        <w:bidi w:val="0"/>
        <w:spacing w:line="560" w:lineRule="exact"/>
        <w:ind w:firstLine="640" w:firstLineChars="200"/>
        <w:rPr>
          <w:rFonts w:hint="eastAsia" w:ascii="Times New Roman" w:hAnsi="Times New Roman" w:eastAsia="仿宋" w:cs="Times New Roman"/>
          <w:color w:val="000000"/>
          <w:kern w:val="0"/>
          <w:sz w:val="32"/>
          <w:szCs w:val="22"/>
        </w:rPr>
      </w:pPr>
    </w:p>
    <w:p w14:paraId="1E605835">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cs="黑体"/>
          <w:kern w:val="0"/>
        </w:rPr>
      </w:pPr>
      <w:r>
        <w:rPr>
          <w:rFonts w:hint="eastAsia" w:ascii="黑体" w:hAnsi="黑体" w:cs="黑体"/>
          <w:kern w:val="0"/>
        </w:rPr>
        <w:t>第</w:t>
      </w:r>
      <w:r>
        <w:rPr>
          <w:rFonts w:hint="eastAsia" w:ascii="黑体" w:hAnsi="黑体" w:cs="黑体"/>
          <w:kern w:val="0"/>
          <w:lang w:val="en-US" w:eastAsia="zh-CN"/>
        </w:rPr>
        <w:t>五</w:t>
      </w:r>
      <w:r>
        <w:rPr>
          <w:rFonts w:hint="eastAsia" w:ascii="黑体" w:hAnsi="黑体" w:cs="黑体"/>
          <w:kern w:val="0"/>
        </w:rPr>
        <w:t>节  筑牢民政领域安全防线</w:t>
      </w:r>
    </w:p>
    <w:p w14:paraId="0CA950DD">
      <w:pPr>
        <w:widowControl/>
        <w:spacing w:line="560" w:lineRule="exact"/>
        <w:ind w:firstLine="640" w:firstLineChars="200"/>
        <w:rPr>
          <w:rFonts w:hint="eastAsia" w:ascii="楷体" w:hAnsi="楷体" w:eastAsia="楷体" w:cs="Times New Roman"/>
          <w:color w:val="000000"/>
          <w:kern w:val="0"/>
          <w:sz w:val="32"/>
          <w:szCs w:val="22"/>
        </w:rPr>
      </w:pPr>
    </w:p>
    <w:p w14:paraId="53DA5AF3">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22"/>
          <w:lang w:val="en-US" w:eastAsia="zh-CN"/>
        </w:rPr>
        <w:t>5</w:t>
      </w:r>
      <w:r>
        <w:rPr>
          <w:rFonts w:hint="eastAsia" w:ascii="Times New Roman" w:hAnsi="Times New Roman" w:eastAsia="楷体" w:cs="Times New Roman"/>
          <w:color w:val="000000"/>
          <w:kern w:val="0"/>
          <w:sz w:val="32"/>
          <w:szCs w:val="22"/>
        </w:rPr>
        <w:t>7</w:t>
      </w:r>
      <w:r>
        <w:rPr>
          <w:rFonts w:hint="eastAsia" w:ascii="楷体" w:hAnsi="楷体" w:eastAsia="楷体" w:cs="Times New Roman"/>
          <w:color w:val="000000"/>
          <w:kern w:val="0"/>
          <w:sz w:val="32"/>
          <w:szCs w:val="22"/>
        </w:rPr>
        <w:t>.构建安全管理体系。</w:t>
      </w:r>
      <w:r>
        <w:rPr>
          <w:rFonts w:hint="eastAsia" w:ascii="方正仿宋_GB2312" w:hAnsi="方正仿宋_GB2312" w:eastAsia="仿宋_GB2312" w:cs="方正仿宋_GB2312"/>
          <w:color w:val="000000"/>
          <w:kern w:val="0"/>
          <w:sz w:val="32"/>
          <w:szCs w:val="22"/>
        </w:rPr>
        <w:t>统筹高质量发展和高水平安全，强化底线思维和红线意识，把安全发展理念贯穿民政工作各领域和全过程，以高水平安全保障民政事业高质量发展。严格落实安全生产和消防安全责任制，压实民政服务机构安全主体责任，全面落实消防安全、电气安全、燃气安全、食品安全、服务安全等管理要求。加强安全基础设施建设，推动设施提质增效，加强安全人员力量配备，提高防范重大安全风险、消除重大事故隐患的能力水平，坚决防范遏制重特大事故发生，有效保障民政服务对象生命安全。建立健全覆盖困难群众基本生活保障、养老服务监管、社会组织管理、慈善公益、殡葬服务、儿童福利、救助管理、网络数据和舆情应对等领域的风险分级管控、隐患排查整治、事故应急处置工作机制，常态化开展宣教、培训、演练，提升安全管理能力素养。深化防灾减灾能力建设，健全应急预案体系，加强应对断水断电等特殊情况的物资储备，切实提升自救避险能力。</w:t>
      </w:r>
    </w:p>
    <w:p w14:paraId="749C6F76">
      <w:pPr>
        <w:widowControl/>
        <w:spacing w:line="560" w:lineRule="exact"/>
        <w:ind w:left="0" w:leftChars="0" w:firstLine="0" w:firstLineChars="0"/>
        <w:rPr>
          <w:rFonts w:hint="eastAsia" w:ascii="仿宋_GB2312" w:hAnsi="仿宋_GB2312" w:eastAsia="仿宋_GB2312" w:cs="仿宋_GB2312"/>
          <w:color w:val="000000"/>
          <w:kern w:val="0"/>
          <w:sz w:val="32"/>
          <w:szCs w:val="22"/>
        </w:rPr>
      </w:pPr>
    </w:p>
    <w:p w14:paraId="0CD8450D">
      <w:pPr>
        <w:pStyle w:val="2"/>
        <w:keepNext/>
        <w:keepLines w:val="0"/>
        <w:pageBreakBefore w:val="0"/>
        <w:widowControl/>
        <w:numPr>
          <w:ilvl w:val="0"/>
          <w:numId w:val="0"/>
        </w:numPr>
        <w:kinsoku/>
        <w:wordWrap/>
        <w:overflowPunct/>
        <w:topLinePunct w:val="0"/>
        <w:autoSpaceDE/>
        <w:autoSpaceDN/>
        <w:bidi w:val="0"/>
        <w:adjustRightInd/>
        <w:snapToGrid/>
        <w:spacing w:before="0" w:after="0" w:line="560" w:lineRule="exact"/>
        <w:ind w:left="0" w:leftChars="0" w:firstLine="0" w:firstLineChars="0"/>
        <w:textAlignment w:val="auto"/>
        <w:outlineLvl w:val="0"/>
        <w:rPr>
          <w:rFonts w:hint="eastAsia" w:hAnsi="方正小标宋简体" w:cs="方正小标宋简体"/>
          <w:kern w:val="0"/>
        </w:rPr>
      </w:pPr>
      <w:bookmarkStart w:id="130" w:name="_Toc231311721"/>
      <w:r>
        <w:rPr>
          <w:rFonts w:hint="eastAsia" w:ascii="方正小标宋简体" w:hAnsi="方正小标宋简体" w:eastAsia="方正小标宋简体" w:cs="方正小标宋简体"/>
          <w:color w:val="000000"/>
          <w:kern w:val="0"/>
          <w:sz w:val="44"/>
          <w:szCs w:val="28"/>
          <w:lang w:val="en-US" w:eastAsia="zh-CN" w:bidi="ar-SA"/>
        </w:rPr>
        <w:t>第</w:t>
      </w:r>
      <w:r>
        <w:rPr>
          <w:rFonts w:hint="eastAsia" w:hAnsi="方正小标宋简体" w:cs="方正小标宋简体"/>
          <w:color w:val="000000"/>
          <w:kern w:val="0"/>
          <w:sz w:val="44"/>
          <w:szCs w:val="28"/>
          <w:lang w:val="en-US" w:eastAsia="zh-CN" w:bidi="ar-SA"/>
        </w:rPr>
        <w:t>七</w:t>
      </w:r>
      <w:r>
        <w:rPr>
          <w:rFonts w:hint="eastAsia" w:ascii="方正小标宋简体" w:hAnsi="方正小标宋简体" w:eastAsia="方正小标宋简体" w:cs="方正小标宋简体"/>
          <w:color w:val="000000"/>
          <w:kern w:val="0"/>
          <w:sz w:val="44"/>
          <w:szCs w:val="28"/>
          <w:lang w:val="en-US" w:eastAsia="zh-CN" w:bidi="ar-SA"/>
        </w:rPr>
        <w:t>章</w:t>
      </w:r>
      <w:r>
        <w:rPr>
          <w:rFonts w:hint="eastAsia" w:hAnsi="方正小标宋简体" w:cs="方正小标宋简体"/>
          <w:kern w:val="0"/>
        </w:rPr>
        <w:t xml:space="preserve"> 强化规划实施保障，推动民政事业</w:t>
      </w:r>
    </w:p>
    <w:p w14:paraId="2418AC3E">
      <w:pPr>
        <w:pStyle w:val="2"/>
        <w:keepNext/>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jc w:val="center"/>
        <w:textAlignment w:val="auto"/>
        <w:outlineLvl w:val="0"/>
        <w:rPr>
          <w:rFonts w:hint="eastAsia" w:hAnsi="方正小标宋简体" w:cs="方正小标宋简体"/>
          <w:kern w:val="0"/>
        </w:rPr>
      </w:pPr>
      <w:r>
        <w:rPr>
          <w:rFonts w:hint="eastAsia" w:hAnsi="方正小标宋简体" w:cs="方正小标宋简体"/>
          <w:kern w:val="0"/>
        </w:rPr>
        <w:t>高质量发展</w:t>
      </w:r>
      <w:bookmarkEnd w:id="130"/>
    </w:p>
    <w:p w14:paraId="5A3644BC">
      <w:pPr>
        <w:widowControl/>
        <w:spacing w:line="560" w:lineRule="exact"/>
        <w:ind w:firstLine="640" w:firstLineChars="200"/>
        <w:rPr>
          <w:rFonts w:hint="eastAsia" w:ascii="仿宋_GB2312" w:hAnsi="仿宋_GB2312" w:eastAsia="仿宋_GB2312" w:cs="仿宋_GB2312"/>
          <w:color w:val="000000"/>
          <w:kern w:val="0"/>
          <w:sz w:val="32"/>
          <w:szCs w:val="22"/>
          <w:highlight w:val="yellow"/>
        </w:rPr>
      </w:pPr>
    </w:p>
    <w:p w14:paraId="5C123F1C">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方正仿宋_GB2312" w:hAnsi="方正仿宋_GB2312" w:eastAsia="仿宋_GB2312" w:cs="方正仿宋_GB2312"/>
          <w:color w:val="000000"/>
          <w:kern w:val="0"/>
          <w:sz w:val="32"/>
          <w:szCs w:val="22"/>
        </w:rPr>
        <w:t>坚持党的全面领导，统筹法治规范、数智赋能与人才支撑，构建多维规划实施保障体系。压实资源配置责任，完善监测评价机制，确保各项任务落地见效，为建设社会主义现代化大都市贡献天津民政力量。</w:t>
      </w:r>
    </w:p>
    <w:p w14:paraId="7BC253CF">
      <w:pPr>
        <w:widowControl/>
        <w:bidi w:val="0"/>
        <w:spacing w:line="560" w:lineRule="exact"/>
        <w:ind w:firstLine="640" w:firstLineChars="200"/>
        <w:rPr>
          <w:rFonts w:ascii="Times New Roman" w:hAnsi="Times New Roman" w:eastAsia="仿宋" w:cs="Times New Roman"/>
          <w:color w:val="000000"/>
          <w:kern w:val="0"/>
          <w:sz w:val="32"/>
          <w:szCs w:val="22"/>
        </w:rPr>
      </w:pPr>
    </w:p>
    <w:p w14:paraId="6E3E8F59">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cs="黑体"/>
          <w:kern w:val="0"/>
        </w:rPr>
      </w:pPr>
      <w:bookmarkStart w:id="131" w:name="_Toc231311722"/>
      <w:r>
        <w:rPr>
          <w:rFonts w:hint="eastAsia" w:ascii="黑体" w:hAnsi="黑体" w:cs="黑体"/>
          <w:kern w:val="0"/>
        </w:rPr>
        <w:t>第一节  加强党的全面领导</w:t>
      </w:r>
      <w:bookmarkEnd w:id="131"/>
    </w:p>
    <w:p w14:paraId="1F145986">
      <w:pPr>
        <w:widowControl w:val="0"/>
        <w:spacing w:line="560" w:lineRule="exact"/>
        <w:ind w:firstLine="640" w:firstLineChars="200"/>
        <w:rPr>
          <w:rFonts w:hint="eastAsia" w:ascii="楷体" w:hAnsi="楷体" w:eastAsia="楷体" w:cs="Times New Roman"/>
          <w:color w:val="000000"/>
          <w:kern w:val="0"/>
          <w:sz w:val="32"/>
          <w:szCs w:val="22"/>
        </w:rPr>
      </w:pPr>
    </w:p>
    <w:p w14:paraId="0155804B">
      <w:pPr>
        <w:widowControl w:val="0"/>
        <w:numPr>
          <w:ilvl w:val="0"/>
          <w:numId w:val="0"/>
        </w:numPr>
        <w:spacing w:line="560" w:lineRule="exact"/>
        <w:ind w:firstLine="640" w:firstLineChars="200"/>
        <w:rPr>
          <w:rFonts w:ascii="Times New Roman" w:hAnsi="Times New Roman" w:eastAsia="仿宋" w:cs="Times New Roman"/>
          <w:color w:val="000000"/>
          <w:kern w:val="0"/>
          <w:sz w:val="32"/>
          <w:szCs w:val="22"/>
        </w:rPr>
      </w:pPr>
      <w:r>
        <w:rPr>
          <w:rFonts w:hint="eastAsia" w:ascii="Times New Roman" w:hAnsi="Times New Roman" w:eastAsia="楷体" w:cs="Times New Roman"/>
          <w:color w:val="000000"/>
          <w:kern w:val="0"/>
          <w:sz w:val="32"/>
          <w:szCs w:val="22"/>
        </w:rPr>
        <w:t>5</w:t>
      </w:r>
      <w:r>
        <w:rPr>
          <w:rFonts w:hint="eastAsia" w:ascii="Times New Roman" w:hAnsi="Times New Roman" w:eastAsia="楷体" w:cs="Times New Roman"/>
          <w:color w:val="000000"/>
          <w:kern w:val="0"/>
          <w:sz w:val="32"/>
          <w:szCs w:val="22"/>
          <w:lang w:val="en-US" w:eastAsia="zh-CN"/>
        </w:rPr>
        <w:t>8</w:t>
      </w:r>
      <w:r>
        <w:rPr>
          <w:rFonts w:hint="eastAsia" w:ascii="楷体" w:hAnsi="楷体" w:eastAsia="楷体" w:cs="Times New Roman"/>
          <w:color w:val="000000"/>
          <w:kern w:val="0"/>
          <w:sz w:val="32"/>
          <w:szCs w:val="22"/>
        </w:rPr>
        <w:t>.坚持党建统领全局。</w:t>
      </w:r>
      <w:r>
        <w:rPr>
          <w:rFonts w:hint="eastAsia" w:ascii="方正仿宋_GB2312" w:hAnsi="方正仿宋_GB2312" w:eastAsia="仿宋_GB2312" w:cs="方正仿宋_GB2312"/>
          <w:color w:val="000000"/>
          <w:kern w:val="0"/>
          <w:sz w:val="32"/>
          <w:szCs w:val="22"/>
        </w:rPr>
        <w:t>坚持把党的政治建设摆在首位，建立健全党组织领导下的规划实施机制，科学分解任务，压实工作责任，把党的领导贯彻到规划实施各领域、全过程，确保执行有力，落地见效。坚定不移推进全面从严治党，压紧压实全面从严治党主体责任，加强对“一把手”等关键少数和年轻干部等重点群体监督，锲而不舍落实中央八项规定精神，推进作风建设常态化、长效化，持续深化整治群众身边不正之风和腐败问题，一体推进不敢腐、不能腐、不想腐，不断涵养民政部门风清气正的良好政治生态。推进政治监督具体化、精准化、常态化，为实现规划目标任务，推动民政事业高质量发展提供坚强政治保障。</w:t>
      </w:r>
    </w:p>
    <w:p w14:paraId="599738D0">
      <w:pPr>
        <w:widowControl w:val="0"/>
        <w:spacing w:line="560" w:lineRule="exact"/>
        <w:ind w:firstLine="0" w:firstLineChars="0"/>
        <w:rPr>
          <w:rFonts w:ascii="Times New Roman" w:hAnsi="Times New Roman" w:eastAsia="仿宋" w:cs="Times New Roman"/>
          <w:color w:val="000000"/>
          <w:kern w:val="0"/>
          <w:sz w:val="32"/>
          <w:szCs w:val="22"/>
        </w:rPr>
      </w:pPr>
    </w:p>
    <w:p w14:paraId="6FC48673">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cs="黑体"/>
          <w:kern w:val="0"/>
        </w:rPr>
      </w:pPr>
      <w:bookmarkStart w:id="132" w:name="_Toc231311723"/>
      <w:r>
        <w:rPr>
          <w:rFonts w:hint="eastAsia" w:ascii="黑体" w:hAnsi="黑体" w:cs="黑体"/>
          <w:kern w:val="0"/>
        </w:rPr>
        <w:t>第二节  提升民政法治化、标准化水平</w:t>
      </w:r>
      <w:bookmarkEnd w:id="132"/>
    </w:p>
    <w:p w14:paraId="3E56CEF2">
      <w:pPr>
        <w:widowControl/>
        <w:spacing w:line="560" w:lineRule="exact"/>
        <w:ind w:firstLine="640" w:firstLineChars="200"/>
        <w:rPr>
          <w:rFonts w:hint="eastAsia" w:ascii="楷体" w:hAnsi="楷体" w:eastAsia="楷体" w:cs="Times New Roman"/>
          <w:color w:val="000000"/>
          <w:kern w:val="0"/>
          <w:sz w:val="32"/>
          <w:szCs w:val="22"/>
        </w:rPr>
      </w:pPr>
    </w:p>
    <w:p w14:paraId="4721B519">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22"/>
        </w:rPr>
        <w:t>5</w:t>
      </w:r>
      <w:r>
        <w:rPr>
          <w:rFonts w:hint="eastAsia" w:ascii="Times New Roman" w:hAnsi="Times New Roman" w:eastAsia="楷体" w:cs="Times New Roman"/>
          <w:color w:val="000000"/>
          <w:kern w:val="0"/>
          <w:sz w:val="32"/>
          <w:szCs w:val="22"/>
          <w:lang w:val="en-US" w:eastAsia="zh-CN"/>
        </w:rPr>
        <w:t>9</w:t>
      </w:r>
      <w:r>
        <w:rPr>
          <w:rFonts w:hint="eastAsia" w:ascii="楷体" w:hAnsi="楷体" w:eastAsia="楷体" w:cs="Times New Roman"/>
          <w:color w:val="000000"/>
          <w:kern w:val="0"/>
          <w:sz w:val="32"/>
          <w:szCs w:val="22"/>
        </w:rPr>
        <w:t>.</w:t>
      </w:r>
      <w:r>
        <w:rPr>
          <w:rFonts w:ascii="楷体" w:hAnsi="楷体" w:eastAsia="楷体" w:cs="Times New Roman"/>
          <w:color w:val="000000"/>
          <w:kern w:val="0"/>
          <w:sz w:val="32"/>
          <w:szCs w:val="22"/>
        </w:rPr>
        <w:t>全面推进依法行政</w:t>
      </w:r>
      <w:r>
        <w:rPr>
          <w:rFonts w:hint="eastAsia" w:ascii="仿宋_GB2312" w:hAnsi="仿宋_GB2312" w:eastAsia="仿宋_GB2312" w:cs="仿宋_GB2312"/>
          <w:color w:val="000000"/>
          <w:kern w:val="0"/>
          <w:sz w:val="32"/>
          <w:szCs w:val="22"/>
        </w:rPr>
        <w:t>。</w:t>
      </w:r>
      <w:r>
        <w:rPr>
          <w:rFonts w:hint="eastAsia" w:ascii="方正仿宋_GB2312" w:hAnsi="方正仿宋_GB2312" w:eastAsia="仿宋_GB2312" w:cs="方正仿宋_GB2312"/>
          <w:color w:val="000000"/>
          <w:kern w:val="0"/>
          <w:sz w:val="32"/>
          <w:szCs w:val="22"/>
        </w:rPr>
        <w:t>持续推动学习贯彻习近平法治思想走深走实，深入落实法治天津、法治政府、法治社会建设部署任务，全面推进依法行政。健全民政政策制度体系，积极推进重点领域地方性法规修订出台，不断加大和优化养老服务、社会救助、残疾人福利、殡葬管理、婚姻登记、社会组织、公益慈善、行政区划等政策制度供给。严格落实重大行政决策、规范性文件合法性审查机制，创新和拓展法律顾问、公职律师全程参与决策的渠道、载体和机制。强化民政行政执法能力建设，持续提升规范化水平。扎实做好行政复议答复和行政应诉工作，加大对违法和不当行政行为的纠错力度。广泛开展具有津味特色、民政特点的多样化普法宣传，助力法规制度有效实施。加强民政标准化体系建设，持续推进民政领域地方标准提质增效，以标准化提升民政工作专业化、规范化水平。</w:t>
      </w:r>
    </w:p>
    <w:p w14:paraId="24C4A8E0">
      <w:pPr>
        <w:widowControl/>
        <w:spacing w:line="560" w:lineRule="exact"/>
        <w:ind w:firstLine="640" w:firstLineChars="200"/>
        <w:rPr>
          <w:rFonts w:hint="eastAsia" w:ascii="楷体" w:hAnsi="楷体" w:eastAsia="楷体" w:cs="Times New Roman"/>
          <w:color w:val="000000"/>
          <w:kern w:val="0"/>
          <w:sz w:val="32"/>
          <w:szCs w:val="22"/>
        </w:rPr>
      </w:pPr>
    </w:p>
    <w:p w14:paraId="674D72DA">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cs="黑体"/>
          <w:kern w:val="0"/>
        </w:rPr>
      </w:pPr>
      <w:bookmarkStart w:id="133" w:name="_Toc231311724"/>
      <w:r>
        <w:rPr>
          <w:rFonts w:hint="eastAsia" w:ascii="黑体" w:hAnsi="黑体" w:cs="黑体"/>
          <w:kern w:val="0"/>
        </w:rPr>
        <w:t>第三节  推动民政数智化建设</w:t>
      </w:r>
      <w:bookmarkEnd w:id="133"/>
    </w:p>
    <w:p w14:paraId="5E752218">
      <w:pPr>
        <w:widowControl/>
        <w:spacing w:line="560" w:lineRule="exact"/>
        <w:ind w:firstLine="640" w:firstLineChars="200"/>
        <w:rPr>
          <w:rFonts w:hint="eastAsia" w:ascii="楷体" w:hAnsi="楷体" w:eastAsia="楷体" w:cs="Times New Roman"/>
          <w:color w:val="000000"/>
          <w:kern w:val="0"/>
          <w:sz w:val="32"/>
          <w:szCs w:val="22"/>
        </w:rPr>
      </w:pPr>
    </w:p>
    <w:p w14:paraId="4F748F60">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default" w:ascii="Times New Roman" w:hAnsi="Times New Roman" w:eastAsia="楷体" w:cs="Times New Roman"/>
          <w:color w:val="000000"/>
          <w:kern w:val="0"/>
          <w:sz w:val="32"/>
          <w:szCs w:val="22"/>
          <w:lang w:val="en-US" w:eastAsia="zh-CN"/>
        </w:rPr>
        <w:t>60</w:t>
      </w:r>
      <w:r>
        <w:rPr>
          <w:rFonts w:hint="eastAsia" w:ascii="楷体" w:hAnsi="楷体" w:eastAsia="楷体" w:cs="Times New Roman"/>
          <w:color w:val="000000"/>
          <w:kern w:val="0"/>
          <w:sz w:val="32"/>
          <w:szCs w:val="22"/>
        </w:rPr>
        <w:t>.坚持大网信工作格局。</w:t>
      </w:r>
      <w:r>
        <w:rPr>
          <w:rFonts w:hint="eastAsia" w:ascii="方正仿宋_GB2312" w:hAnsi="方正仿宋_GB2312" w:eastAsia="仿宋_GB2312" w:cs="方正仿宋_GB2312"/>
          <w:color w:val="000000"/>
          <w:kern w:val="0"/>
          <w:sz w:val="32"/>
          <w:szCs w:val="22"/>
        </w:rPr>
        <w:t>遵循“一盘棋”布局、“一张网”建设、一体化发展的战略要求，推动数字技术与民政业务双向融合，促进高质量发展与高水平安全良性互动。充分运用新一代信息技术，全面提升网络和数据安全的防护能力、监测预警能力和应急处置能力，健全天津民政数智化支撑体系，推动民政管理方式和服务模式创新，持续提升民政服务信息化水平。</w:t>
      </w:r>
    </w:p>
    <w:p w14:paraId="49C2A5C5">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22"/>
        </w:rPr>
        <w:t>6</w:t>
      </w:r>
      <w:r>
        <w:rPr>
          <w:rFonts w:hint="eastAsia" w:ascii="Times New Roman" w:hAnsi="Times New Roman" w:eastAsia="楷体" w:cs="Times New Roman"/>
          <w:color w:val="000000"/>
          <w:kern w:val="0"/>
          <w:sz w:val="32"/>
          <w:szCs w:val="22"/>
          <w:lang w:val="en-US" w:eastAsia="zh-CN"/>
        </w:rPr>
        <w:t>1</w:t>
      </w:r>
      <w:r>
        <w:rPr>
          <w:rFonts w:hint="eastAsia" w:ascii="楷体" w:hAnsi="楷体" w:eastAsia="楷体" w:cs="Times New Roman"/>
          <w:color w:val="000000"/>
          <w:kern w:val="0"/>
          <w:sz w:val="32"/>
          <w:szCs w:val="22"/>
        </w:rPr>
        <w:t>.充分发挥数据要素价值。</w:t>
      </w:r>
      <w:r>
        <w:rPr>
          <w:rFonts w:hint="eastAsia" w:ascii="方正仿宋_GB2312" w:hAnsi="方正仿宋_GB2312" w:eastAsia="仿宋_GB2312" w:cs="方正仿宋_GB2312"/>
          <w:color w:val="000000"/>
          <w:kern w:val="0"/>
          <w:sz w:val="32"/>
          <w:szCs w:val="22"/>
        </w:rPr>
        <w:t>依托民政数据综合管理平台，加强数据管理、共享与应用。完善数据标准体系，推进政务数据分类分级管理。健全民政数据共享开放机制，推动民政业务跨系统、跨部门、跨区域协同办理。深入挖掘民政数据价值，为政策研究、规划制定和决策部署提供科学支撑，实现数据驱动的精准治理与科学决策。</w:t>
      </w:r>
    </w:p>
    <w:p w14:paraId="5926CD38">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22"/>
        </w:rPr>
        <w:t>6</w:t>
      </w:r>
      <w:r>
        <w:rPr>
          <w:rFonts w:hint="eastAsia" w:ascii="Times New Roman" w:hAnsi="Times New Roman" w:eastAsia="楷体" w:cs="Times New Roman"/>
          <w:color w:val="000000"/>
          <w:kern w:val="0"/>
          <w:sz w:val="32"/>
          <w:szCs w:val="22"/>
          <w:lang w:val="en-US" w:eastAsia="zh-CN"/>
        </w:rPr>
        <w:t>2</w:t>
      </w:r>
      <w:r>
        <w:rPr>
          <w:rFonts w:hint="eastAsia" w:ascii="楷体" w:hAnsi="楷体" w:eastAsia="楷体" w:cs="Times New Roman"/>
          <w:color w:val="000000"/>
          <w:kern w:val="0"/>
          <w:sz w:val="32"/>
          <w:szCs w:val="22"/>
        </w:rPr>
        <w:t>.构建数智赋能新格局。</w:t>
      </w:r>
      <w:r>
        <w:rPr>
          <w:rFonts w:hint="eastAsia" w:ascii="方正仿宋_GB2312" w:hAnsi="方正仿宋_GB2312" w:eastAsia="仿宋_GB2312" w:cs="方正仿宋_GB2312"/>
          <w:color w:val="000000"/>
          <w:kern w:val="0"/>
          <w:sz w:val="32"/>
          <w:szCs w:val="22"/>
        </w:rPr>
        <w:t>坚持以自主高新科技为支撑，对接民政部“人工智能+”行动，争取优质科技成果试点项目，鼓励社会力量探索民政科技化服务，全方位赋能民政各业务领域。大力发展智慧养老，依托“津牌养老”平台，构建全场景、全周期智慧养老生态，建立多维度数据模型，以大数据赋能养老服务管理与供给。加强社会救助对象动态监测，完善市级监测信息平台，健全指标体系，强化协同联动。提升儿童福利救助数智化管理水平，依托人工智能精准对接儿童差异化需求。优化市级殡葬信息管理服务平台，推动殡葬单位数智化转型，拓展“互联网+殡葬服务”，打造高效透明服务环境。</w:t>
      </w:r>
    </w:p>
    <w:p w14:paraId="3E9AB829">
      <w:pPr>
        <w:widowControl/>
        <w:bidi w:val="0"/>
        <w:spacing w:line="560" w:lineRule="exact"/>
        <w:ind w:firstLine="640" w:firstLineChars="200"/>
        <w:rPr>
          <w:rFonts w:hint="eastAsia" w:ascii="Times New Roman" w:hAnsi="Times New Roman" w:eastAsia="仿宋" w:cs="Times New Roman"/>
          <w:color w:val="000000"/>
          <w:kern w:val="0"/>
          <w:sz w:val="32"/>
          <w:szCs w:val="22"/>
        </w:rPr>
      </w:pPr>
    </w:p>
    <w:p w14:paraId="026F452E">
      <w:pPr>
        <w:pStyle w:val="3"/>
        <w:keepNext/>
        <w:keepLines w:val="0"/>
        <w:pageBreakBefore w:val="0"/>
        <w:widowControl/>
        <w:kinsoku/>
        <w:wordWrap/>
        <w:overflowPunct/>
        <w:topLinePunct w:val="0"/>
        <w:autoSpaceDE/>
        <w:autoSpaceDN/>
        <w:bidi w:val="0"/>
        <w:adjustRightInd/>
        <w:snapToGrid/>
        <w:spacing w:before="0" w:after="0"/>
        <w:textAlignment w:val="auto"/>
        <w:rPr>
          <w:rFonts w:ascii="黑体" w:hAnsi="黑体" w:cs="黑体"/>
          <w:kern w:val="0"/>
        </w:rPr>
      </w:pPr>
      <w:bookmarkStart w:id="134" w:name="_Toc231311725"/>
      <w:r>
        <w:rPr>
          <w:rFonts w:hint="eastAsia" w:ascii="黑体" w:hAnsi="黑体" w:cs="黑体"/>
          <w:kern w:val="0"/>
        </w:rPr>
        <w:t>第四节  强化民政资源保障能力</w:t>
      </w:r>
      <w:bookmarkEnd w:id="134"/>
    </w:p>
    <w:p w14:paraId="1445FC96">
      <w:pPr>
        <w:widowControl/>
        <w:spacing w:line="560" w:lineRule="exact"/>
        <w:ind w:firstLine="640" w:firstLineChars="200"/>
        <w:rPr>
          <w:rFonts w:hint="eastAsia" w:ascii="Times New Roman" w:hAnsi="Times New Roman" w:eastAsia="仿宋" w:cs="Times New Roman"/>
          <w:color w:val="000000"/>
          <w:kern w:val="0"/>
          <w:sz w:val="32"/>
          <w:szCs w:val="22"/>
        </w:rPr>
      </w:pPr>
    </w:p>
    <w:p w14:paraId="02CFD103">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22"/>
        </w:rPr>
        <w:t>6</w:t>
      </w:r>
      <w:r>
        <w:rPr>
          <w:rFonts w:hint="eastAsia" w:ascii="Times New Roman" w:hAnsi="Times New Roman" w:eastAsia="楷体" w:cs="Times New Roman"/>
          <w:color w:val="000000"/>
          <w:kern w:val="0"/>
          <w:sz w:val="32"/>
          <w:szCs w:val="22"/>
          <w:lang w:val="en-US" w:eastAsia="zh-CN"/>
        </w:rPr>
        <w:t>3</w:t>
      </w:r>
      <w:r>
        <w:rPr>
          <w:rFonts w:hint="eastAsia" w:ascii="楷体" w:hAnsi="楷体" w:eastAsia="楷体" w:cs="Times New Roman"/>
          <w:color w:val="000000"/>
          <w:kern w:val="0"/>
          <w:sz w:val="32"/>
          <w:szCs w:val="22"/>
        </w:rPr>
        <w:t>.</w:t>
      </w:r>
      <w:r>
        <w:rPr>
          <w:rFonts w:ascii="楷体" w:hAnsi="楷体" w:eastAsia="楷体" w:cs="Times New Roman"/>
          <w:color w:val="000000"/>
          <w:kern w:val="0"/>
          <w:sz w:val="32"/>
          <w:szCs w:val="22"/>
        </w:rPr>
        <w:t>夯实基层治理根基。</w:t>
      </w:r>
      <w:r>
        <w:rPr>
          <w:rFonts w:hint="eastAsia" w:ascii="方正仿宋_GB2312" w:hAnsi="方正仿宋_GB2312" w:eastAsia="仿宋_GB2312" w:cs="方正仿宋_GB2312"/>
          <w:color w:val="000000"/>
          <w:kern w:val="0"/>
          <w:sz w:val="32"/>
          <w:szCs w:val="22"/>
        </w:rPr>
        <w:t>统筹区级民政服务供给，完善投入保障长效机制，推动中央和市级财政资金向基层倾斜，探索设立基层民政专项资金。加强</w:t>
      </w:r>
      <w:r>
        <w:rPr>
          <w:rFonts w:hint="eastAsia" w:ascii="方正仿宋_GB2312" w:hAnsi="方正仿宋_GB2312" w:eastAsia="仿宋_GB2312" w:cs="方正仿宋_GB2312"/>
          <w:color w:val="000000"/>
          <w:kern w:val="0"/>
          <w:sz w:val="32"/>
          <w:szCs w:val="22"/>
          <w:lang w:eastAsia="zh-CN"/>
        </w:rPr>
        <w:t>乡镇</w:t>
      </w:r>
      <w:r>
        <w:rPr>
          <w:rFonts w:hint="eastAsia" w:ascii="方正仿宋_GB2312" w:hAnsi="方正仿宋_GB2312" w:eastAsia="仿宋_GB2312" w:cs="方正仿宋_GB2312"/>
          <w:color w:val="000000"/>
          <w:kern w:val="0"/>
          <w:sz w:val="32"/>
          <w:szCs w:val="22"/>
        </w:rPr>
        <w:t>（</w:t>
      </w:r>
      <w:r>
        <w:rPr>
          <w:rFonts w:hint="eastAsia" w:ascii="方正仿宋_GB2312" w:hAnsi="方正仿宋_GB2312" w:eastAsia="仿宋_GB2312" w:cs="方正仿宋_GB2312"/>
          <w:color w:val="000000"/>
          <w:kern w:val="0"/>
          <w:sz w:val="32"/>
          <w:szCs w:val="22"/>
          <w:lang w:eastAsia="zh-CN"/>
        </w:rPr>
        <w:t>街道</w:t>
      </w:r>
      <w:r>
        <w:rPr>
          <w:rFonts w:hint="eastAsia" w:ascii="方正仿宋_GB2312" w:hAnsi="方正仿宋_GB2312" w:eastAsia="仿宋_GB2312" w:cs="方正仿宋_GB2312"/>
          <w:color w:val="000000"/>
          <w:kern w:val="0"/>
          <w:sz w:val="32"/>
          <w:szCs w:val="22"/>
        </w:rPr>
        <w:t>）民政服务队伍建设，加大“一老一小”“一残一困”等领域政府购买服务力度，推动政府购买服务人员、社会组织工作人员、银龄志愿者等多方力量协同参与，打造专业稳定基层工作力量。推动基层服务资源整合，创新服务提供方式，优化布局结构，扩大普惠民生服务供给。加强户籍地与居住地</w:t>
      </w:r>
      <w:r>
        <w:rPr>
          <w:rFonts w:hint="eastAsia" w:ascii="方正仿宋_GB2312" w:hAnsi="方正仿宋_GB2312" w:eastAsia="仿宋_GB2312" w:cs="方正仿宋_GB2312"/>
          <w:color w:val="000000"/>
          <w:kern w:val="0"/>
          <w:sz w:val="32"/>
          <w:szCs w:val="22"/>
          <w:lang w:eastAsia="zh-CN"/>
        </w:rPr>
        <w:t>乡镇</w:t>
      </w:r>
      <w:r>
        <w:rPr>
          <w:rFonts w:hint="eastAsia" w:ascii="方正仿宋_GB2312" w:hAnsi="方正仿宋_GB2312" w:eastAsia="仿宋_GB2312" w:cs="方正仿宋_GB2312"/>
          <w:color w:val="000000"/>
          <w:kern w:val="0"/>
          <w:sz w:val="32"/>
          <w:szCs w:val="22"/>
        </w:rPr>
        <w:t>（</w:t>
      </w:r>
      <w:r>
        <w:rPr>
          <w:rFonts w:hint="eastAsia" w:ascii="方正仿宋_GB2312" w:hAnsi="方正仿宋_GB2312" w:eastAsia="仿宋_GB2312" w:cs="方正仿宋_GB2312"/>
          <w:color w:val="000000"/>
          <w:kern w:val="0"/>
          <w:sz w:val="32"/>
          <w:szCs w:val="22"/>
          <w:lang w:eastAsia="zh-CN"/>
        </w:rPr>
        <w:t>街道</w:t>
      </w:r>
      <w:r>
        <w:rPr>
          <w:rFonts w:hint="eastAsia" w:ascii="方正仿宋_GB2312" w:hAnsi="方正仿宋_GB2312" w:eastAsia="仿宋_GB2312" w:cs="方正仿宋_GB2312"/>
          <w:color w:val="000000"/>
          <w:kern w:val="0"/>
          <w:sz w:val="32"/>
          <w:szCs w:val="22"/>
        </w:rPr>
        <w:t>）协作联动，探索以常住地为依托提供相关民政服务，健全群众诉求“接诉即办”闭环机制。</w:t>
      </w:r>
    </w:p>
    <w:p w14:paraId="77129FFA">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22"/>
        </w:rPr>
        <w:t>6</w:t>
      </w:r>
      <w:r>
        <w:rPr>
          <w:rFonts w:hint="eastAsia" w:ascii="Times New Roman" w:hAnsi="Times New Roman" w:eastAsia="楷体" w:cs="Times New Roman"/>
          <w:color w:val="000000"/>
          <w:kern w:val="0"/>
          <w:sz w:val="32"/>
          <w:szCs w:val="22"/>
          <w:lang w:val="en-US" w:eastAsia="zh-CN"/>
        </w:rPr>
        <w:t>4</w:t>
      </w:r>
      <w:r>
        <w:rPr>
          <w:rFonts w:hint="eastAsia" w:ascii="楷体" w:hAnsi="楷体" w:eastAsia="楷体" w:cs="Times New Roman"/>
          <w:color w:val="000000"/>
          <w:kern w:val="0"/>
          <w:sz w:val="32"/>
          <w:szCs w:val="22"/>
        </w:rPr>
        <w:t>.</w:t>
      </w:r>
      <w:r>
        <w:rPr>
          <w:rFonts w:ascii="楷体" w:hAnsi="楷体" w:eastAsia="楷体" w:cs="Times New Roman"/>
          <w:color w:val="000000"/>
          <w:kern w:val="0"/>
          <w:sz w:val="32"/>
          <w:szCs w:val="22"/>
        </w:rPr>
        <w:t>加强资金统筹保障。</w:t>
      </w:r>
      <w:r>
        <w:rPr>
          <w:rFonts w:hint="eastAsia" w:ascii="方正仿宋_GB2312" w:hAnsi="方正仿宋_GB2312" w:eastAsia="仿宋_GB2312" w:cs="方正仿宋_GB2312"/>
          <w:color w:val="000000"/>
          <w:kern w:val="0"/>
          <w:sz w:val="32"/>
          <w:szCs w:val="22"/>
        </w:rPr>
        <w:t>强化财务统筹保障，健全稳定可持续的民政资金保障机制。始终坚持过紧日子要求，从严从紧编制预算，优化支出结构，大力压减低效无效支出，集中财力保障基本民生和重点任务落地。主动对接政策导向，加强项目谋划储备，积极争取财政补助、一般债券、福彩公益金等资金支持，拓宽多元筹资渠道。广泛动员社会资本参与民生事业，引导、支持有意愿、有能力的企业、社会组织和个人依法参与公益慈善事业，形成对财政资金的有益补充。</w:t>
      </w:r>
    </w:p>
    <w:p w14:paraId="3A5A7F56">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22"/>
        </w:rPr>
        <w:t>6</w:t>
      </w:r>
      <w:r>
        <w:rPr>
          <w:rFonts w:hint="eastAsia" w:ascii="Times New Roman" w:hAnsi="Times New Roman" w:eastAsia="楷体" w:cs="Times New Roman"/>
          <w:color w:val="000000"/>
          <w:kern w:val="0"/>
          <w:sz w:val="32"/>
          <w:szCs w:val="22"/>
          <w:lang w:val="en-US" w:eastAsia="zh-CN"/>
        </w:rPr>
        <w:t>5</w:t>
      </w:r>
      <w:r>
        <w:rPr>
          <w:rFonts w:hint="eastAsia" w:ascii="楷体" w:hAnsi="楷体" w:eastAsia="楷体" w:cs="Times New Roman"/>
          <w:color w:val="000000"/>
          <w:kern w:val="0"/>
          <w:sz w:val="32"/>
          <w:szCs w:val="22"/>
        </w:rPr>
        <w:t>.深化区域协同发展。</w:t>
      </w:r>
      <w:r>
        <w:rPr>
          <w:rFonts w:hint="eastAsia" w:ascii="方正仿宋_GB2312" w:hAnsi="方正仿宋_GB2312" w:eastAsia="仿宋_GB2312" w:cs="方正仿宋_GB2312"/>
          <w:color w:val="000000"/>
          <w:kern w:val="0"/>
          <w:sz w:val="32"/>
          <w:szCs w:val="22"/>
        </w:rPr>
        <w:t>依托区域联动、双边多边合作机制，全面加强与京冀及环渤海城市精准对接、优势互补与资源共享，推动京津冀民政事业协同发展走深走实。围绕项目、政策、人才、区域、行业等关键环节，按照“政府引导、市场运作、合作共建、同质同标”的原则，推动三地在重点领域的支持政策、标准规范、数据信息等方面衔接共享，积极探索跨区域资源对接与合作的新路径。</w:t>
      </w:r>
    </w:p>
    <w:p w14:paraId="0CF6FDB8">
      <w:pPr>
        <w:widowControl/>
        <w:bidi w:val="0"/>
        <w:spacing w:line="560" w:lineRule="exact"/>
        <w:ind w:firstLine="640" w:firstLineChars="200"/>
        <w:rPr>
          <w:rFonts w:hint="eastAsia" w:ascii="Times New Roman" w:hAnsi="Times New Roman" w:eastAsia="仿宋" w:cs="Times New Roman"/>
          <w:color w:val="000000"/>
          <w:kern w:val="0"/>
          <w:sz w:val="32"/>
          <w:szCs w:val="22"/>
        </w:rPr>
      </w:pPr>
    </w:p>
    <w:p w14:paraId="5B89FC4C">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cs="黑体"/>
          <w:kern w:val="0"/>
        </w:rPr>
      </w:pPr>
      <w:bookmarkStart w:id="135" w:name="_Toc231311726"/>
      <w:r>
        <w:rPr>
          <w:rFonts w:hint="eastAsia" w:ascii="黑体" w:hAnsi="黑体" w:cs="黑体"/>
          <w:kern w:val="0"/>
        </w:rPr>
        <w:t>第五节  加强民政干部队伍建设</w:t>
      </w:r>
      <w:bookmarkEnd w:id="135"/>
    </w:p>
    <w:p w14:paraId="630FFA24">
      <w:pPr>
        <w:widowControl/>
        <w:spacing w:line="560" w:lineRule="exact"/>
        <w:ind w:firstLine="640" w:firstLineChars="200"/>
        <w:rPr>
          <w:rFonts w:hint="eastAsia" w:ascii="楷体" w:hAnsi="楷体" w:eastAsia="楷体" w:cs="Times New Roman"/>
          <w:color w:val="000000"/>
          <w:kern w:val="0"/>
          <w:sz w:val="32"/>
          <w:szCs w:val="22"/>
        </w:rPr>
      </w:pPr>
    </w:p>
    <w:p w14:paraId="051F3C75">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22"/>
        </w:rPr>
        <w:t>6</w:t>
      </w:r>
      <w:r>
        <w:rPr>
          <w:rFonts w:hint="eastAsia" w:ascii="Times New Roman" w:hAnsi="Times New Roman" w:eastAsia="楷体" w:cs="Times New Roman"/>
          <w:color w:val="000000"/>
          <w:kern w:val="0"/>
          <w:sz w:val="32"/>
          <w:szCs w:val="22"/>
          <w:lang w:val="en-US" w:eastAsia="zh-CN"/>
        </w:rPr>
        <w:t>6</w:t>
      </w:r>
      <w:r>
        <w:rPr>
          <w:rFonts w:hint="eastAsia" w:ascii="楷体" w:hAnsi="楷体" w:eastAsia="楷体" w:cs="Times New Roman"/>
          <w:color w:val="000000"/>
          <w:kern w:val="0"/>
          <w:sz w:val="32"/>
          <w:szCs w:val="22"/>
        </w:rPr>
        <w:t>.</w:t>
      </w:r>
      <w:r>
        <w:rPr>
          <w:rFonts w:hint="eastAsia" w:ascii="Times New Roman" w:hAnsi="Times New Roman" w:eastAsia="楷体" w:cs="Times New Roman"/>
          <w:color w:val="000000"/>
          <w:kern w:val="0"/>
          <w:sz w:val="32"/>
          <w:szCs w:val="22"/>
        </w:rPr>
        <w:t>建强新时代民政干部队伍。</w:t>
      </w:r>
      <w:r>
        <w:rPr>
          <w:rFonts w:hint="eastAsia" w:ascii="方正仿宋_GB2312" w:hAnsi="方正仿宋_GB2312" w:eastAsia="仿宋_GB2312" w:cs="方正仿宋_GB2312"/>
          <w:color w:val="000000"/>
          <w:kern w:val="0"/>
          <w:sz w:val="32"/>
          <w:szCs w:val="22"/>
        </w:rPr>
        <w:t>坚持以党的政治建设为统领，贯彻党管干部原则，加强领导班子建设，着力提升干部队伍专业化能力，严格干部管理监督，以正确的选人用人导向激发干事创业的热情与担当。加强干部资源统筹调配，推进干部交流和大项任务锻炼，推动高素质专业化干部向改革发展一线集聚。突出严的基调，强化监督执纪，紧盯重点人、重点岗位和薄弱环节，综合运用信访、审计、巡察、纪检监督等多种方式，严格执纪问责。认真落实“三个区分开来”，激励干部敢想敢试、敢闯敢干。加强人文关怀，落实谈心谈话制度，积极选树宣传先进典型，营造良好干事创业环境。</w:t>
      </w:r>
    </w:p>
    <w:p w14:paraId="63C6A65F">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22"/>
        </w:rPr>
        <w:t>6</w:t>
      </w:r>
      <w:r>
        <w:rPr>
          <w:rFonts w:hint="eastAsia" w:ascii="Times New Roman" w:hAnsi="Times New Roman" w:eastAsia="楷体" w:cs="Times New Roman"/>
          <w:color w:val="000000"/>
          <w:kern w:val="0"/>
          <w:sz w:val="32"/>
          <w:szCs w:val="22"/>
          <w:lang w:val="en-US" w:eastAsia="zh-CN"/>
        </w:rPr>
        <w:t>7</w:t>
      </w:r>
      <w:r>
        <w:rPr>
          <w:rFonts w:hint="eastAsia" w:ascii="楷体" w:hAnsi="楷体" w:eastAsia="楷体" w:cs="Times New Roman"/>
          <w:color w:val="000000"/>
          <w:kern w:val="0"/>
          <w:sz w:val="32"/>
          <w:szCs w:val="22"/>
        </w:rPr>
        <w:t>.强化调研与政策研究。</w:t>
      </w:r>
      <w:r>
        <w:rPr>
          <w:rFonts w:hint="eastAsia" w:ascii="方正仿宋_GB2312" w:hAnsi="方正仿宋_GB2312" w:eastAsia="仿宋_GB2312" w:cs="方正仿宋_GB2312"/>
          <w:color w:val="000000"/>
          <w:kern w:val="0"/>
          <w:sz w:val="32"/>
          <w:szCs w:val="22"/>
        </w:rPr>
        <w:t>围绕民政领域重点难点问题，健全常态化调研机制，推动干部深入基层、深入群众、深入一线，掌握实情、找准症结、提出对策。加强政策研究力量配备，完善政策理论研究支撑体系，紧跟民政前沿政策理论和新兴领域知识技能，精准分析干部知识盲区与能力弱项，分层分类开展教育培训，着力提升干部政策解读、精准服务、科技赋能、风险防控等本领能力。</w:t>
      </w:r>
    </w:p>
    <w:p w14:paraId="7AB8AB5B">
      <w:pPr>
        <w:widowControl/>
        <w:bidi w:val="0"/>
        <w:spacing w:line="560" w:lineRule="exact"/>
        <w:ind w:firstLine="640" w:firstLineChars="200"/>
        <w:rPr>
          <w:rFonts w:hint="eastAsia" w:ascii="Times New Roman" w:hAnsi="Times New Roman" w:eastAsia="仿宋" w:cs="Times New Roman"/>
          <w:color w:val="000000"/>
          <w:kern w:val="0"/>
          <w:sz w:val="32"/>
          <w:szCs w:val="22"/>
        </w:rPr>
      </w:pPr>
    </w:p>
    <w:p w14:paraId="410E1B32">
      <w:pPr>
        <w:pStyle w:val="3"/>
        <w:keepNext/>
        <w:keepLines w:val="0"/>
        <w:pageBreakBefore w:val="0"/>
        <w:widowControl/>
        <w:kinsoku/>
        <w:wordWrap/>
        <w:overflowPunct/>
        <w:topLinePunct w:val="0"/>
        <w:autoSpaceDE/>
        <w:autoSpaceDN/>
        <w:bidi w:val="0"/>
        <w:adjustRightInd/>
        <w:snapToGrid/>
        <w:spacing w:before="0" w:after="0"/>
        <w:textAlignment w:val="auto"/>
        <w:rPr>
          <w:rFonts w:hint="eastAsia" w:ascii="黑体" w:hAnsi="黑体" w:cs="黑体"/>
          <w:kern w:val="0"/>
        </w:rPr>
      </w:pPr>
      <w:bookmarkStart w:id="136" w:name="_Toc231311728"/>
      <w:r>
        <w:rPr>
          <w:rFonts w:hint="eastAsia" w:ascii="黑体" w:hAnsi="黑体" w:cs="黑体"/>
          <w:kern w:val="0"/>
        </w:rPr>
        <w:t>第</w:t>
      </w:r>
      <w:r>
        <w:rPr>
          <w:rFonts w:hint="eastAsia" w:ascii="黑体" w:hAnsi="黑体" w:cs="黑体"/>
          <w:kern w:val="0"/>
          <w:lang w:val="en-US" w:eastAsia="zh-CN"/>
        </w:rPr>
        <w:t>六</w:t>
      </w:r>
      <w:r>
        <w:rPr>
          <w:rFonts w:hint="eastAsia" w:ascii="黑体" w:hAnsi="黑体" w:cs="黑体"/>
          <w:kern w:val="0"/>
        </w:rPr>
        <w:t>节  完善规划实施保障机制</w:t>
      </w:r>
      <w:bookmarkEnd w:id="136"/>
    </w:p>
    <w:p w14:paraId="427FA65A">
      <w:pPr>
        <w:widowControl/>
        <w:spacing w:line="560" w:lineRule="exact"/>
        <w:ind w:firstLine="640" w:firstLineChars="200"/>
        <w:rPr>
          <w:rFonts w:hint="eastAsia" w:ascii="楷体" w:hAnsi="楷体" w:eastAsia="楷体" w:cs="Times New Roman"/>
          <w:color w:val="000000"/>
          <w:kern w:val="0"/>
          <w:sz w:val="32"/>
          <w:szCs w:val="22"/>
        </w:rPr>
      </w:pPr>
    </w:p>
    <w:p w14:paraId="674CEE13">
      <w:pPr>
        <w:widowControl/>
        <w:spacing w:line="560" w:lineRule="exact"/>
        <w:ind w:firstLine="640" w:firstLineChars="200"/>
        <w:rPr>
          <w:rFonts w:hint="default" w:ascii="方正仿宋_GB2312" w:hAnsi="方正仿宋_GB2312" w:eastAsia="仿宋_GB2312" w:cs="方正仿宋_GB2312"/>
          <w:color w:val="000000"/>
          <w:kern w:val="0"/>
          <w:sz w:val="32"/>
          <w:szCs w:val="22"/>
          <w:lang w:val="en-US" w:eastAsia="zh-CN"/>
        </w:rPr>
      </w:pPr>
      <w:r>
        <w:rPr>
          <w:rFonts w:hint="eastAsia" w:ascii="Times New Roman" w:hAnsi="Times New Roman" w:eastAsia="楷体" w:cs="Times New Roman"/>
          <w:color w:val="000000"/>
          <w:kern w:val="0"/>
          <w:sz w:val="32"/>
          <w:szCs w:val="22"/>
        </w:rPr>
        <w:t>6</w:t>
      </w:r>
      <w:r>
        <w:rPr>
          <w:rFonts w:hint="eastAsia" w:ascii="Times New Roman" w:hAnsi="Times New Roman" w:eastAsia="楷体" w:cs="Times New Roman"/>
          <w:color w:val="000000"/>
          <w:kern w:val="0"/>
          <w:sz w:val="32"/>
          <w:szCs w:val="22"/>
          <w:lang w:val="en-US" w:eastAsia="zh-CN"/>
        </w:rPr>
        <w:t>8</w:t>
      </w:r>
      <w:r>
        <w:rPr>
          <w:rFonts w:hint="eastAsia" w:ascii="楷体" w:hAnsi="楷体" w:eastAsia="楷体" w:cs="Times New Roman"/>
          <w:color w:val="000000"/>
          <w:kern w:val="0"/>
          <w:sz w:val="32"/>
          <w:szCs w:val="22"/>
        </w:rPr>
        <w:t>.健全统筹协调机制。</w:t>
      </w:r>
      <w:r>
        <w:rPr>
          <w:rFonts w:hint="eastAsia" w:ascii="方正仿宋_GB2312" w:hAnsi="方正仿宋_GB2312" w:eastAsia="仿宋_GB2312" w:cs="方正仿宋_GB2312"/>
          <w:color w:val="000000"/>
          <w:kern w:val="0"/>
          <w:sz w:val="32"/>
          <w:szCs w:val="22"/>
        </w:rPr>
        <w:t>指导各区聚焦短板弱项、精准施策，统筹用好中央财政资金、预算内投资、彩票公益金及各类专项资金，引导社会资本有序参与，</w:t>
      </w:r>
      <w:r>
        <w:rPr>
          <w:rFonts w:hint="eastAsia" w:ascii="方正仿宋_GB2312" w:hAnsi="方正仿宋_GB2312" w:eastAsia="仿宋_GB2312" w:cs="方正仿宋_GB2312"/>
          <w:color w:val="000000"/>
          <w:kern w:val="0"/>
          <w:sz w:val="32"/>
          <w:szCs w:val="22"/>
          <w:lang w:val="en-US" w:eastAsia="zh-CN"/>
        </w:rPr>
        <w:t>进一步加强民政系统存量资源盘活，</w:t>
      </w:r>
      <w:r>
        <w:rPr>
          <w:rFonts w:hint="eastAsia" w:ascii="方正仿宋_GB2312" w:hAnsi="方正仿宋_GB2312" w:eastAsia="仿宋_GB2312" w:cs="方正仿宋_GB2312"/>
          <w:color w:val="000000"/>
          <w:kern w:val="0"/>
          <w:sz w:val="32"/>
          <w:szCs w:val="22"/>
        </w:rPr>
        <w:t>提高资源配置效率，结合我市财力和实际，切实做好民政事业发展资金保障。健全“年度监测—中期评估—总结评估”相衔接的规划实施监测评估体系，委托第三方专业机构深度参与，强化大数据统计分析，动态跟踪重点领域、关键指标完成情况，综合运用实地调研、定期通报、评估督导等方式，扎实推进规划落地实施。</w:t>
      </w:r>
      <w:r>
        <w:rPr>
          <w:rFonts w:hint="eastAsia" w:ascii="方正仿宋_GB2312" w:hAnsi="方正仿宋_GB2312" w:eastAsia="仿宋_GB2312" w:cs="方正仿宋_GB2312"/>
          <w:color w:val="000000"/>
          <w:kern w:val="0"/>
          <w:sz w:val="32"/>
          <w:szCs w:val="22"/>
          <w:lang w:val="en-US" w:eastAsia="zh-CN"/>
        </w:rPr>
        <w:t>进一步优化民政领域事业单位结构布局。</w:t>
      </w:r>
    </w:p>
    <w:p w14:paraId="57018A6F">
      <w:pPr>
        <w:widowControl/>
        <w:spacing w:line="560" w:lineRule="exact"/>
        <w:ind w:firstLine="640" w:firstLineChars="200"/>
        <w:rPr>
          <w:rFonts w:hint="eastAsia" w:ascii="方正仿宋_GB2312" w:hAnsi="方正仿宋_GB2312" w:eastAsia="仿宋_GB2312" w:cs="方正仿宋_GB2312"/>
          <w:color w:val="000000"/>
          <w:kern w:val="0"/>
          <w:sz w:val="32"/>
          <w:szCs w:val="22"/>
        </w:rPr>
      </w:pPr>
      <w:r>
        <w:rPr>
          <w:rFonts w:hint="eastAsia" w:ascii="Times New Roman" w:hAnsi="Times New Roman" w:eastAsia="楷体" w:cs="Times New Roman"/>
          <w:color w:val="000000"/>
          <w:kern w:val="0"/>
          <w:sz w:val="32"/>
          <w:szCs w:val="22"/>
        </w:rPr>
        <w:t>6</w:t>
      </w:r>
      <w:r>
        <w:rPr>
          <w:rFonts w:hint="eastAsia" w:ascii="Times New Roman" w:hAnsi="Times New Roman" w:eastAsia="楷体" w:cs="Times New Roman"/>
          <w:color w:val="000000"/>
          <w:kern w:val="0"/>
          <w:sz w:val="32"/>
          <w:szCs w:val="22"/>
          <w:lang w:val="en-US" w:eastAsia="zh-CN"/>
        </w:rPr>
        <w:t>9</w:t>
      </w:r>
      <w:r>
        <w:rPr>
          <w:rFonts w:hint="eastAsia" w:ascii="楷体" w:hAnsi="楷体" w:eastAsia="楷体" w:cs="Times New Roman"/>
          <w:color w:val="000000"/>
          <w:kern w:val="0"/>
          <w:sz w:val="32"/>
          <w:szCs w:val="22"/>
        </w:rPr>
        <w:t>.深入开展宣贯工作。</w:t>
      </w:r>
      <w:r>
        <w:rPr>
          <w:rFonts w:hint="eastAsia" w:ascii="方正仿宋_GB2312" w:hAnsi="方正仿宋_GB2312" w:eastAsia="仿宋_GB2312" w:cs="方正仿宋_GB2312"/>
          <w:color w:val="000000"/>
          <w:kern w:val="0"/>
          <w:sz w:val="32"/>
          <w:szCs w:val="22"/>
        </w:rPr>
        <w:t>紧扣以“重大战略任务、重大改革举措、重大工程项目”为牵引的落实机制，明确部门责任分工，强化部门协同和上下联动，推动民政事业各项任务有效落实。畅通群众诉求和意见表达渠道，发挥群众监督和媒体监督的积极作用，形成社会各界群策群力、共促落实的良好局面。</w:t>
      </w:r>
    </w:p>
    <w:p w14:paraId="5F3B5AA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0FD76986-D50D-42E3-B479-2985C7D7EF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631A5C0-9A5A-4639-B2AD-B62657F70384}"/>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3" w:fontKey="{589082F9-DD9E-4481-9C3D-0F9C4F70CF79}"/>
  </w:font>
  <w:font w:name="仿宋">
    <w:panose1 w:val="02010609060101010101"/>
    <w:charset w:val="86"/>
    <w:family w:val="modern"/>
    <w:pitch w:val="default"/>
    <w:sig w:usb0="800002BF" w:usb1="38CF7CFA" w:usb2="00000016" w:usb3="00000000" w:csb0="00040001" w:csb1="00000000"/>
    <w:embedRegular r:id="rId4" w:fontKey="{D5AF90D9-139A-46A6-8A35-DD646F6CCD81}"/>
  </w:font>
  <w:font w:name="方正小标宋_GBK">
    <w:panose1 w:val="02000000000000000000"/>
    <w:charset w:val="86"/>
    <w:family w:val="script"/>
    <w:pitch w:val="default"/>
    <w:sig w:usb0="A00002BF" w:usb1="38CF7CFA" w:usb2="00082016" w:usb3="00000000" w:csb0="00040001" w:csb1="00000000"/>
    <w:embedRegular r:id="rId5" w:fontKey="{7838A567-FA19-451C-A7B4-15B669EF30F3}"/>
  </w:font>
  <w:font w:name="仿宋_GB2312">
    <w:altName w:val="仿宋"/>
    <w:panose1 w:val="02010609030101010101"/>
    <w:charset w:val="86"/>
    <w:family w:val="modern"/>
    <w:pitch w:val="default"/>
    <w:sig w:usb0="00000000" w:usb1="00000000" w:usb2="00000000" w:usb3="00000000" w:csb0="00040000" w:csb1="00000000"/>
    <w:embedRegular r:id="rId6" w:fontKey="{0E4362CF-C788-4AA9-89DA-40DBF9810869}"/>
  </w:font>
  <w:font w:name="方正公文小标宋">
    <w:panose1 w:val="02000500000000000000"/>
    <w:charset w:val="86"/>
    <w:family w:val="auto"/>
    <w:pitch w:val="default"/>
    <w:sig w:usb0="A00002BF" w:usb1="38CF7CFA" w:usb2="00000016" w:usb3="00000000" w:csb0="00040001" w:csb1="00000000"/>
    <w:embedRegular r:id="rId7" w:fontKey="{F0F5B9ED-5A71-49BB-879D-68C67B308962}"/>
  </w:font>
  <w:font w:name="方正楷体_GB2312">
    <w:panose1 w:val="02000000000000000000"/>
    <w:charset w:val="86"/>
    <w:family w:val="auto"/>
    <w:pitch w:val="default"/>
    <w:sig w:usb0="A00002BF" w:usb1="184F6CFA" w:usb2="00000012" w:usb3="00000000" w:csb0="00040001" w:csb1="00000000"/>
    <w:embedRegular r:id="rId8" w:fontKey="{284EF93F-0F57-41D2-99FB-99DB3088A9C6}"/>
  </w:font>
  <w:font w:name="方正仿宋_GB2312">
    <w:panose1 w:val="02000000000000000000"/>
    <w:charset w:val="86"/>
    <w:family w:val="auto"/>
    <w:pitch w:val="default"/>
    <w:sig w:usb0="A00002BF" w:usb1="184F6CFA" w:usb2="00000012" w:usb3="00000000" w:csb0="00040001" w:csb1="00000000"/>
    <w:embedRegular r:id="rId9" w:fontKey="{FE6DA251-FD1A-473E-9021-0DCCEB63B907}"/>
  </w:font>
  <w:font w:name="楷体_GB2312">
    <w:altName w:val="楷体"/>
    <w:panose1 w:val="02010609030101010101"/>
    <w:charset w:val="86"/>
    <w:family w:val="auto"/>
    <w:pitch w:val="default"/>
    <w:sig w:usb0="00000000" w:usb1="00000000" w:usb2="00000000" w:usb3="00000000" w:csb0="00040000" w:csb1="00000000"/>
    <w:embedRegular r:id="rId10" w:fontKey="{35B013A9-2F4D-4622-BB48-FE2B86B79E5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EA9BC8"/>
    <w:multiLevelType w:val="singleLevel"/>
    <w:tmpl w:val="69EA9BC8"/>
    <w:lvl w:ilvl="0" w:tentative="0">
      <w:start w:val="6"/>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F726F3"/>
    <w:rsid w:val="65F72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9"/>
    <w:pPr>
      <w:keepNext/>
      <w:spacing w:before="360" w:after="240" w:line="600" w:lineRule="exact"/>
      <w:ind w:firstLine="0" w:firstLineChars="0"/>
      <w:jc w:val="center"/>
      <w:outlineLvl w:val="0"/>
    </w:pPr>
    <w:rPr>
      <w:rFonts w:ascii="方正小标宋简体" w:hAnsi="宋体" w:eastAsia="方正小标宋简体" w:cs="宋体"/>
      <w:color w:val="000000"/>
      <w:sz w:val="44"/>
      <w:szCs w:val="28"/>
      <w:lang w:val="en-US" w:eastAsia="zh-CN" w:bidi="ar-SA"/>
    </w:rPr>
  </w:style>
  <w:style w:type="paragraph" w:styleId="3">
    <w:name w:val="heading 2"/>
    <w:next w:val="1"/>
    <w:unhideWhenUsed/>
    <w:qFormat/>
    <w:uiPriority w:val="9"/>
    <w:pPr>
      <w:keepNext/>
      <w:spacing w:before="240" w:after="120" w:line="560" w:lineRule="exact"/>
      <w:ind w:firstLine="0" w:firstLineChars="0"/>
      <w:jc w:val="center"/>
      <w:outlineLvl w:val="1"/>
    </w:pPr>
    <w:rPr>
      <w:rFonts w:ascii="Times New Roman" w:hAnsi="Times New Roman" w:eastAsia="黑体" w:cs="Times New Roman"/>
      <w:color w:val="000000"/>
      <w:sz w:val="32"/>
      <w:szCs w:val="22"/>
      <w:lang w:val="en-US" w:eastAsia="zh-CN" w:bidi="ar-SA"/>
    </w:rPr>
  </w:style>
  <w:style w:type="paragraph" w:styleId="4">
    <w:name w:val="heading 3"/>
    <w:next w:val="1"/>
    <w:link w:val="16"/>
    <w:unhideWhenUsed/>
    <w:qFormat/>
    <w:uiPriority w:val="9"/>
    <w:pPr>
      <w:spacing w:line="560" w:lineRule="exact"/>
      <w:ind w:firstLine="640" w:firstLineChars="200"/>
      <w:jc w:val="both"/>
      <w:outlineLvl w:val="2"/>
    </w:pPr>
    <w:rPr>
      <w:rFonts w:ascii="楷体" w:hAnsi="楷体" w:eastAsia="楷体" w:cs="Times New Roman"/>
      <w:color w:val="000000"/>
      <w:sz w:val="32"/>
      <w:szCs w:val="22"/>
      <w:lang w:val="en-US" w:eastAsia="zh-CN" w:bidi="ar-SA"/>
    </w:rPr>
  </w:style>
  <w:style w:type="paragraph" w:styleId="5">
    <w:name w:val="heading 6"/>
    <w:next w:val="1"/>
    <w:unhideWhenUsed/>
    <w:qFormat/>
    <w:uiPriority w:val="9"/>
    <w:pPr>
      <w:spacing w:after="400" w:line="680" w:lineRule="exact"/>
      <w:ind w:firstLine="0" w:firstLineChars="200"/>
      <w:jc w:val="center"/>
      <w:outlineLvl w:val="5"/>
    </w:pPr>
    <w:rPr>
      <w:rFonts w:ascii="Times New Roman" w:hAnsi="Times New Roman" w:eastAsia="方正小标宋简体" w:cs="Times New Roman"/>
      <w:color w:val="000000"/>
      <w:sz w:val="52"/>
      <w:szCs w:val="22"/>
      <w:lang w:val="en-US" w:eastAsia="zh-CN" w:bidi="ar-SA"/>
    </w:rPr>
  </w:style>
  <w:style w:type="paragraph" w:styleId="6">
    <w:name w:val="heading 7"/>
    <w:next w:val="1"/>
    <w:unhideWhenUsed/>
    <w:qFormat/>
    <w:uiPriority w:val="9"/>
    <w:pPr>
      <w:framePr w:hSpace="180" w:wrap="around" w:vAnchor="text" w:hAnchor="page" w:x="1761" w:y="89"/>
      <w:spacing w:line="560" w:lineRule="exact"/>
      <w:ind w:firstLine="0" w:firstLineChars="0"/>
      <w:jc w:val="center"/>
      <w:outlineLvl w:val="6"/>
    </w:pPr>
    <w:rPr>
      <w:rFonts w:ascii="仿宋" w:hAnsi="仿宋" w:eastAsia="仿宋" w:cs="Times New Roman"/>
      <w:color w:val="auto"/>
      <w:sz w:val="32"/>
      <w:szCs w:val="32"/>
      <w:lang w:val="en-US" w:eastAsia="zh-CN" w:bidi="ar-SA"/>
    </w:rPr>
  </w:style>
  <w:style w:type="paragraph" w:styleId="7">
    <w:name w:val="heading 8"/>
    <w:next w:val="1"/>
    <w:unhideWhenUsed/>
    <w:qFormat/>
    <w:uiPriority w:val="9"/>
    <w:pPr>
      <w:spacing w:line="440" w:lineRule="exact"/>
      <w:ind w:firstLine="556" w:firstLineChars="200"/>
      <w:jc w:val="both"/>
      <w:outlineLvl w:val="7"/>
    </w:pPr>
    <w:rPr>
      <w:rFonts w:ascii="Times New Roman" w:hAnsi="Times New Roman" w:eastAsia="仿宋" w:cs="Times New Roman"/>
      <w:color w:val="000000"/>
      <w:sz w:val="28"/>
      <w:szCs w:val="22"/>
      <w:lang w:val="en-US" w:eastAsia="zh-CN" w:bidi="ar-SA"/>
    </w:rPr>
  </w:style>
  <w:style w:type="paragraph" w:styleId="8">
    <w:name w:val="heading 9"/>
    <w:next w:val="1"/>
    <w:unhideWhenUsed/>
    <w:qFormat/>
    <w:uiPriority w:val="9"/>
    <w:pPr>
      <w:framePr w:hSpace="180" w:wrap="around" w:vAnchor="text" w:hAnchor="page" w:x="1761" w:y="89"/>
      <w:spacing w:line="560" w:lineRule="exact"/>
      <w:ind w:firstLine="560" w:firstLineChars="200"/>
      <w:jc w:val="left"/>
      <w:outlineLvl w:val="8"/>
    </w:pPr>
    <w:rPr>
      <w:rFonts w:ascii="仿宋" w:hAnsi="仿宋" w:eastAsia="仿宋" w:cs="Times New Roman"/>
      <w:color w:val="auto"/>
      <w:sz w:val="28"/>
      <w:szCs w:val="28"/>
      <w:lang w:val="en-US" w:eastAsia="zh-CN" w:bidi="ar-SA"/>
    </w:rPr>
  </w:style>
  <w:style w:type="character" w:default="1" w:styleId="14">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9">
    <w:name w:val="annotation text"/>
    <w:qFormat/>
    <w:uiPriority w:val="99"/>
    <w:pPr>
      <w:spacing w:line="560" w:lineRule="exact"/>
      <w:ind w:firstLine="640" w:firstLineChars="200"/>
      <w:jc w:val="left"/>
    </w:pPr>
    <w:rPr>
      <w:rFonts w:ascii="Times New Roman" w:hAnsi="Times New Roman" w:eastAsia="仿宋" w:cs="Times New Roman"/>
      <w:color w:val="000000"/>
      <w:sz w:val="32"/>
      <w:szCs w:val="22"/>
      <w:lang w:val="en-US" w:eastAsia="zh-CN" w:bidi="ar-SA"/>
    </w:rPr>
  </w:style>
  <w:style w:type="paragraph" w:styleId="10">
    <w:name w:val="Body Text Indent 2"/>
    <w:next w:val="1"/>
    <w:qFormat/>
    <w:uiPriority w:val="0"/>
    <w:pPr>
      <w:spacing w:after="120" w:line="560" w:lineRule="exact"/>
      <w:ind w:left="200" w:leftChars="200" w:firstLine="200" w:firstLineChars="200"/>
      <w:jc w:val="both"/>
    </w:pPr>
    <w:rPr>
      <w:rFonts w:ascii="Times New Roman" w:hAnsi="Times New Roman" w:eastAsia="仿宋" w:cs="Times New Roman"/>
      <w:color w:val="000000"/>
      <w:sz w:val="32"/>
      <w:szCs w:val="22"/>
      <w:lang w:val="en-US" w:eastAsia="zh-CN" w:bidi="ar-SA"/>
    </w:rPr>
  </w:style>
  <w:style w:type="paragraph" w:styleId="11">
    <w:name w:val="Normal (Web)"/>
    <w:qFormat/>
    <w:uiPriority w:val="0"/>
    <w:pPr>
      <w:spacing w:before="100" w:beforeAutospacing="1" w:after="100" w:afterAutospacing="1" w:line="560" w:lineRule="exact"/>
      <w:ind w:firstLine="640" w:firstLineChars="200"/>
      <w:jc w:val="left"/>
    </w:pPr>
    <w:rPr>
      <w:rFonts w:ascii="Calibri" w:hAnsi="Calibri" w:eastAsia="仿宋" w:cs="Times New Roman"/>
      <w:color w:val="000000"/>
      <w:sz w:val="24"/>
      <w:szCs w:val="22"/>
      <w:lang w:val="en-US" w:eastAsia="zh-CN" w:bidi="ar-SA"/>
    </w:rPr>
  </w:style>
  <w:style w:type="paragraph" w:styleId="12">
    <w:name w:val="Body Text First Indent 2"/>
    <w:qFormat/>
    <w:uiPriority w:val="0"/>
    <w:pPr>
      <w:spacing w:after="120" w:line="560" w:lineRule="exact"/>
      <w:ind w:left="420" w:leftChars="200" w:firstLine="420" w:firstLineChars="200"/>
      <w:jc w:val="both"/>
    </w:pPr>
    <w:rPr>
      <w:rFonts w:ascii="Times New Roman" w:hAnsi="Times New Roman" w:eastAsia="仿宋" w:cs="Times New Roman"/>
      <w:color w:val="000000"/>
      <w:sz w:val="32"/>
      <w:szCs w:val="22"/>
      <w:lang w:val="en-US" w:eastAsia="zh-CN" w:bidi="ar-SA"/>
    </w:rPr>
  </w:style>
  <w:style w:type="character" w:styleId="15">
    <w:name w:val="Strong"/>
    <w:qFormat/>
    <w:uiPriority w:val="22"/>
    <w:rPr>
      <w:b/>
      <w:bCs/>
    </w:rPr>
  </w:style>
  <w:style w:type="character" w:customStyle="1" w:styleId="16">
    <w:name w:val="标题 3 字符"/>
    <w:link w:val="4"/>
    <w:qFormat/>
    <w:uiPriority w:val="9"/>
    <w:rPr>
      <w:rFonts w:ascii="楷体" w:hAnsi="楷体" w:eastAsia="楷体" w:cs="Times New Roman"/>
      <w:color w:val="000000"/>
      <w:sz w:val="32"/>
      <w:szCs w:val="22"/>
      <w:lang w:val="en-US" w:eastAsia="zh-CN" w:bidi="ar-SA"/>
    </w:rPr>
  </w:style>
  <w:style w:type="paragraph" w:styleId="17">
    <w:name w:val="List Paragraph"/>
    <w:qFormat/>
    <w:uiPriority w:val="34"/>
    <w:pPr>
      <w:spacing w:line="560" w:lineRule="exact"/>
      <w:ind w:left="720" w:firstLine="640" w:firstLineChars="200"/>
      <w:contextualSpacing/>
      <w:jc w:val="both"/>
    </w:pPr>
    <w:rPr>
      <w:rFonts w:ascii="Times New Roman" w:hAnsi="Times New Roman" w:eastAsia="仿宋" w:cs="Times New Roman"/>
      <w:color w:val="000000"/>
      <w:sz w:val="3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2026-08-31T06:34:00Z</dcterms:created>
  <dc:creator>sai</dc:creator>
  <cp:lastModifiedBy>sai</cp:lastModifiedBy>
  <dcterms:modified xsi:type="dcterms:W3CDTF">2026-08-31T06:35:00Z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8A43C821254547958C8B890117BBC52B_11</vt:lpwstr>
  </property>
  <property fmtid="{D5CDD505-2E9C-101B-9397-08002B2CF9AE}" pid="4" name="KSOTemplateDocerSaveRecord">
    <vt:lpwstr>eyJoZGlkIjoiNDNiYTBmOTgyNjFiYmNkYjM5ZDQxMGE1MWU3YjlhM2UiLCJ1c2VySWQiOiI3OTExMDQzNDEifQ==</vt:lpwstr>
  </property>
</Properties>
</file>