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55025">
      <w:pPr>
        <w:rPr>
          <w:rFonts w:ascii="黑体" w:eastAsia="黑体" w:hAnsi="华文仿宋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00000" w:rsidRDefault="00655025">
      <w:pPr>
        <w:spacing w:beforeLines="100" w:before="312" w:afterLines="100" w:after="312" w:line="64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穿心莲注射液说明书修订</w:t>
      </w:r>
      <w:r>
        <w:rPr>
          <w:rFonts w:ascii="方正小标宋简体" w:eastAsia="方正小标宋简体" w:hAnsi="仿宋" w:hint="eastAsia"/>
          <w:sz w:val="44"/>
          <w:szCs w:val="44"/>
        </w:rPr>
        <w:t>要求</w:t>
      </w:r>
    </w:p>
    <w:p w:rsidR="00000000" w:rsidRDefault="00655025">
      <w:pPr>
        <w:spacing w:line="54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一、</w:t>
      </w:r>
      <w:r>
        <w:rPr>
          <w:rFonts w:ascii="黑体" w:eastAsia="黑体" w:hAnsi="黑体" w:hint="eastAsia"/>
          <w:color w:val="000000"/>
          <w:sz w:val="32"/>
          <w:szCs w:val="32"/>
        </w:rPr>
        <w:t>【</w:t>
      </w:r>
      <w:r>
        <w:rPr>
          <w:rFonts w:ascii="黑体" w:eastAsia="黑体" w:hAnsi="黑体"/>
          <w:color w:val="000000"/>
          <w:sz w:val="32"/>
          <w:szCs w:val="32"/>
        </w:rPr>
        <w:t>警示语</w:t>
      </w:r>
      <w:r>
        <w:rPr>
          <w:rFonts w:ascii="黑体" w:eastAsia="黑体" w:hAnsi="黑体" w:hint="eastAsia"/>
          <w:color w:val="000000"/>
          <w:sz w:val="32"/>
          <w:szCs w:val="32"/>
        </w:rPr>
        <w:t>】项</w:t>
      </w:r>
      <w:r>
        <w:rPr>
          <w:rFonts w:ascii="黑体" w:eastAsia="黑体" w:hAnsi="黑体"/>
          <w:color w:val="000000"/>
          <w:sz w:val="32"/>
          <w:szCs w:val="32"/>
        </w:rPr>
        <w:t>应</w:t>
      </w:r>
      <w:r>
        <w:rPr>
          <w:rFonts w:ascii="黑体" w:eastAsia="黑体" w:hAnsi="黑体" w:hint="eastAsia"/>
          <w:color w:val="000000"/>
          <w:sz w:val="32"/>
          <w:szCs w:val="32"/>
        </w:rPr>
        <w:t>当</w:t>
      </w:r>
      <w:r>
        <w:rPr>
          <w:rFonts w:ascii="黑体" w:eastAsia="黑体" w:hAnsi="黑体"/>
          <w:color w:val="000000"/>
          <w:sz w:val="32"/>
          <w:szCs w:val="32"/>
        </w:rPr>
        <w:t>增加</w:t>
      </w:r>
      <w:r>
        <w:rPr>
          <w:rFonts w:ascii="黑体" w:eastAsia="黑体" w:hAnsi="黑体" w:hint="eastAsia"/>
          <w:color w:val="000000"/>
          <w:sz w:val="32"/>
          <w:szCs w:val="32"/>
        </w:rPr>
        <w:t>以下</w:t>
      </w:r>
      <w:r>
        <w:rPr>
          <w:rFonts w:ascii="黑体" w:eastAsia="黑体" w:hAnsi="黑体"/>
          <w:color w:val="000000"/>
          <w:sz w:val="32"/>
          <w:szCs w:val="32"/>
        </w:rPr>
        <w:t>内容：</w:t>
      </w:r>
    </w:p>
    <w:p w:rsidR="00000000" w:rsidRDefault="00655025">
      <w:pPr>
        <w:spacing w:line="54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1.</w:t>
      </w:r>
      <w:r>
        <w:rPr>
          <w:rFonts w:eastAsia="仿宋_GB2312"/>
          <w:color w:val="000000"/>
          <w:sz w:val="32"/>
          <w:szCs w:val="32"/>
        </w:rPr>
        <w:t>本品不良反应包括过敏性休克，应</w:t>
      </w:r>
      <w:r>
        <w:rPr>
          <w:rFonts w:eastAsia="仿宋_GB2312" w:hint="eastAsia"/>
          <w:color w:val="000000"/>
          <w:sz w:val="32"/>
          <w:szCs w:val="32"/>
        </w:rPr>
        <w:t>当</w:t>
      </w:r>
      <w:r>
        <w:rPr>
          <w:rFonts w:eastAsia="仿宋_GB2312"/>
          <w:color w:val="000000"/>
          <w:sz w:val="32"/>
          <w:szCs w:val="32"/>
        </w:rPr>
        <w:t>在有抢救条件的医疗机构使用，使用者应</w:t>
      </w:r>
      <w:r>
        <w:rPr>
          <w:rFonts w:eastAsia="仿宋_GB2312" w:hint="eastAsia"/>
          <w:color w:val="000000"/>
          <w:sz w:val="32"/>
          <w:szCs w:val="32"/>
        </w:rPr>
        <w:t>当</w:t>
      </w:r>
      <w:r>
        <w:rPr>
          <w:rFonts w:eastAsia="仿宋_GB2312"/>
          <w:color w:val="000000"/>
          <w:sz w:val="32"/>
          <w:szCs w:val="32"/>
        </w:rPr>
        <w:t>接受过过敏性休克抢救培训，用药后出现过敏反应或其他严重不良反应须立即停药并及时救治。</w:t>
      </w:r>
    </w:p>
    <w:p w:rsidR="00000000" w:rsidRDefault="00655025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2.</w:t>
      </w:r>
      <w:r>
        <w:rPr>
          <w:rFonts w:eastAsia="仿宋_GB2312" w:hint="eastAsia"/>
          <w:color w:val="000000"/>
          <w:sz w:val="32"/>
          <w:szCs w:val="32"/>
        </w:rPr>
        <w:t>禁止静脉给药。</w:t>
      </w:r>
    </w:p>
    <w:p w:rsidR="00000000" w:rsidRDefault="00655025">
      <w:pPr>
        <w:spacing w:line="54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二、【不良反应】项应</w:t>
      </w:r>
      <w:r>
        <w:rPr>
          <w:rFonts w:ascii="黑体" w:eastAsia="黑体" w:hAnsi="黑体" w:hint="eastAsia"/>
          <w:color w:val="000000"/>
          <w:sz w:val="32"/>
          <w:szCs w:val="32"/>
        </w:rPr>
        <w:t>当</w:t>
      </w:r>
      <w:r>
        <w:rPr>
          <w:rFonts w:ascii="黑体" w:eastAsia="黑体" w:hAnsi="黑体" w:hint="eastAsia"/>
          <w:color w:val="000000"/>
          <w:sz w:val="32"/>
          <w:szCs w:val="32"/>
        </w:rPr>
        <w:t>增加以下内容</w:t>
      </w:r>
      <w:r>
        <w:rPr>
          <w:rFonts w:ascii="黑体" w:eastAsia="黑体" w:hAnsi="黑体"/>
          <w:color w:val="000000"/>
          <w:sz w:val="32"/>
          <w:szCs w:val="32"/>
        </w:rPr>
        <w:t>：</w:t>
      </w:r>
    </w:p>
    <w:p w:rsidR="00000000" w:rsidRDefault="00655025">
      <w:pPr>
        <w:spacing w:line="54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监测数据显示，本品可见以下不良反应：</w:t>
      </w:r>
    </w:p>
    <w:p w:rsidR="00000000" w:rsidRDefault="00655025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过敏反应：皮肤潮红、皮疹、瘙痒、呼吸困难、心悸、过敏或过敏样反应、</w:t>
      </w:r>
      <w:r>
        <w:rPr>
          <w:rFonts w:eastAsia="仿宋_GB2312"/>
          <w:color w:val="000000"/>
          <w:sz w:val="32"/>
          <w:szCs w:val="32"/>
        </w:rPr>
        <w:t>过敏性休克</w:t>
      </w:r>
      <w:r>
        <w:rPr>
          <w:rFonts w:eastAsia="仿宋_GB2312" w:hint="eastAsia"/>
          <w:color w:val="000000"/>
          <w:sz w:val="32"/>
          <w:szCs w:val="32"/>
        </w:rPr>
        <w:t>等。</w:t>
      </w:r>
    </w:p>
    <w:p w:rsidR="00000000" w:rsidRDefault="00655025">
      <w:pPr>
        <w:spacing w:line="54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全</w:t>
      </w:r>
      <w:r>
        <w:rPr>
          <w:rFonts w:eastAsia="仿宋_GB2312"/>
          <w:color w:val="000000"/>
          <w:sz w:val="32"/>
          <w:szCs w:val="32"/>
        </w:rPr>
        <w:t>身</w:t>
      </w:r>
      <w:r>
        <w:rPr>
          <w:rFonts w:eastAsia="仿宋_GB2312" w:hint="eastAsia"/>
          <w:color w:val="000000"/>
          <w:sz w:val="32"/>
          <w:szCs w:val="32"/>
        </w:rPr>
        <w:t>：胸部不适、发热等。</w:t>
      </w:r>
    </w:p>
    <w:p w:rsidR="00000000" w:rsidRDefault="00655025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皮肤及皮下组织：皮疹、瘙痒、多汗、潮红等。</w:t>
      </w:r>
    </w:p>
    <w:p w:rsidR="00000000" w:rsidRDefault="00655025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神经系统：头晕、头痛等</w:t>
      </w:r>
      <w:r>
        <w:rPr>
          <w:rFonts w:eastAsia="仿宋_GB2312"/>
          <w:color w:val="000000"/>
          <w:sz w:val="32"/>
          <w:szCs w:val="32"/>
        </w:rPr>
        <w:t>。</w:t>
      </w:r>
    </w:p>
    <w:p w:rsidR="00000000" w:rsidRDefault="00655025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胃肠</w:t>
      </w:r>
      <w:r>
        <w:rPr>
          <w:rFonts w:eastAsia="仿宋_GB2312"/>
          <w:color w:val="000000"/>
          <w:sz w:val="32"/>
          <w:szCs w:val="32"/>
        </w:rPr>
        <w:t>系统</w:t>
      </w:r>
      <w:r>
        <w:rPr>
          <w:rFonts w:eastAsia="仿宋_GB2312" w:hint="eastAsia"/>
          <w:color w:val="000000"/>
          <w:sz w:val="32"/>
          <w:szCs w:val="32"/>
        </w:rPr>
        <w:t>：恶心、呕吐、腹痛等</w:t>
      </w:r>
      <w:r>
        <w:rPr>
          <w:rFonts w:eastAsia="仿宋_GB2312"/>
          <w:color w:val="000000"/>
          <w:sz w:val="32"/>
          <w:szCs w:val="32"/>
        </w:rPr>
        <w:t>。</w:t>
      </w:r>
    </w:p>
    <w:p w:rsidR="00000000" w:rsidRDefault="00655025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其他：心悸、呼吸困难、注射部位疼痛等。</w:t>
      </w:r>
    </w:p>
    <w:p w:rsidR="00000000" w:rsidRDefault="00655025">
      <w:pPr>
        <w:spacing w:line="54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三、【禁忌】项</w:t>
      </w:r>
      <w:r>
        <w:rPr>
          <w:rFonts w:ascii="黑体" w:eastAsia="黑体" w:hAnsi="黑体" w:hint="eastAsia"/>
          <w:color w:val="000000"/>
          <w:sz w:val="32"/>
          <w:szCs w:val="32"/>
        </w:rPr>
        <w:t>应</w:t>
      </w:r>
      <w:r>
        <w:rPr>
          <w:rFonts w:ascii="黑体" w:eastAsia="黑体" w:hAnsi="黑体" w:hint="eastAsia"/>
          <w:color w:val="000000"/>
          <w:sz w:val="32"/>
          <w:szCs w:val="32"/>
        </w:rPr>
        <w:t>当</w:t>
      </w:r>
      <w:r>
        <w:rPr>
          <w:rFonts w:ascii="黑体" w:eastAsia="黑体" w:hAnsi="黑体" w:hint="eastAsia"/>
          <w:color w:val="000000"/>
          <w:sz w:val="32"/>
          <w:szCs w:val="32"/>
        </w:rPr>
        <w:t>增加以下内容</w:t>
      </w:r>
      <w:r>
        <w:rPr>
          <w:rFonts w:ascii="黑体" w:eastAsia="黑体" w:hAnsi="黑体"/>
          <w:color w:val="000000"/>
          <w:sz w:val="32"/>
          <w:szCs w:val="32"/>
        </w:rPr>
        <w:t>：</w:t>
      </w:r>
    </w:p>
    <w:p w:rsidR="00000000" w:rsidRDefault="00655025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．对本品及所含成份过敏者禁用。</w:t>
      </w:r>
    </w:p>
    <w:p w:rsidR="00000000" w:rsidRDefault="00655025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．本品含苯甲醇，禁止用于儿童肌肉注射。</w:t>
      </w:r>
    </w:p>
    <w:p w:rsidR="00000000" w:rsidRDefault="00655025">
      <w:pPr>
        <w:spacing w:line="54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四、【注意事项】项</w:t>
      </w:r>
      <w:r>
        <w:rPr>
          <w:rFonts w:ascii="黑体" w:eastAsia="黑体" w:hAnsi="黑体" w:hint="eastAsia"/>
          <w:color w:val="000000"/>
          <w:sz w:val="32"/>
          <w:szCs w:val="32"/>
        </w:rPr>
        <w:t>应</w:t>
      </w:r>
      <w:r>
        <w:rPr>
          <w:rFonts w:ascii="黑体" w:eastAsia="黑体" w:hAnsi="黑体" w:hint="eastAsia"/>
          <w:color w:val="000000"/>
          <w:sz w:val="32"/>
          <w:szCs w:val="32"/>
        </w:rPr>
        <w:t>当</w:t>
      </w:r>
      <w:r>
        <w:rPr>
          <w:rFonts w:ascii="黑体" w:eastAsia="黑体" w:hAnsi="黑体"/>
          <w:color w:val="000000"/>
          <w:sz w:val="32"/>
          <w:szCs w:val="32"/>
        </w:rPr>
        <w:t>增加以下内容：</w:t>
      </w:r>
    </w:p>
    <w:p w:rsidR="00000000" w:rsidRDefault="00655025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．本品不良反应包括过敏性休克，应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在有抢救条件的医疗机构使用，使用者应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接受过过敏性休克抢救培训，用药后出</w:t>
      </w:r>
      <w:r>
        <w:rPr>
          <w:rFonts w:eastAsia="仿宋_GB2312"/>
          <w:sz w:val="32"/>
          <w:szCs w:val="32"/>
        </w:rPr>
        <w:lastRenderedPageBreak/>
        <w:t>现过敏反应或其他严重不良反应须立即停药并及时救治。</w:t>
      </w:r>
    </w:p>
    <w:p w:rsidR="00000000" w:rsidRDefault="00655025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．严格按照药品说明书规定的功能主治使</w:t>
      </w:r>
      <w:r>
        <w:rPr>
          <w:rFonts w:eastAsia="仿宋_GB2312"/>
          <w:sz w:val="32"/>
          <w:szCs w:val="32"/>
        </w:rPr>
        <w:t>用，禁止超功能主治用药。</w:t>
      </w:r>
    </w:p>
    <w:p w:rsidR="00000000" w:rsidRDefault="00655025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．严格按照药品说明书推荐</w:t>
      </w:r>
      <w:r>
        <w:rPr>
          <w:rFonts w:eastAsia="仿宋_GB2312" w:hint="eastAsia"/>
          <w:sz w:val="32"/>
          <w:szCs w:val="32"/>
        </w:rPr>
        <w:t>的用法用量使用，禁止静脉给药</w:t>
      </w:r>
      <w:r>
        <w:rPr>
          <w:rFonts w:eastAsia="仿宋_GB2312"/>
          <w:sz w:val="32"/>
          <w:szCs w:val="32"/>
        </w:rPr>
        <w:t>。</w:t>
      </w:r>
    </w:p>
    <w:p w:rsidR="00000000" w:rsidRDefault="00655025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用药前应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仔细询问患者</w:t>
      </w:r>
      <w:r>
        <w:rPr>
          <w:rFonts w:eastAsia="仿宋_GB2312" w:hint="eastAsia"/>
          <w:sz w:val="32"/>
          <w:szCs w:val="32"/>
        </w:rPr>
        <w:t>情况、</w:t>
      </w:r>
      <w:r>
        <w:rPr>
          <w:rFonts w:eastAsia="仿宋_GB2312"/>
          <w:sz w:val="32"/>
          <w:szCs w:val="32"/>
        </w:rPr>
        <w:t>用药史和过敏史。</w:t>
      </w:r>
      <w:r>
        <w:rPr>
          <w:rFonts w:eastAsia="仿宋_GB2312" w:hint="eastAsia"/>
          <w:sz w:val="32"/>
          <w:szCs w:val="32"/>
        </w:rPr>
        <w:t>有药物过敏史或过敏体质者慎用。</w:t>
      </w:r>
      <w:r>
        <w:rPr>
          <w:rFonts w:eastAsia="仿宋_GB2312" w:hint="eastAsia"/>
          <w:sz w:val="32"/>
          <w:szCs w:val="32"/>
        </w:rPr>
        <w:t xml:space="preserve"> </w:t>
      </w:r>
    </w:p>
    <w:p w:rsidR="00000000" w:rsidRDefault="00655025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．本品保存不当可能会影响药品质量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用药前应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认真检查本品，发现药液出现浑浊、沉淀、变色、结晶等药物性状改变以及瓶身有漏气、裂纹等现象时，均不得使用。</w:t>
      </w:r>
    </w:p>
    <w:p w:rsidR="00000000" w:rsidRDefault="00655025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．严禁混合配伍，谨慎联合用药。本品应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单独使用，禁忌与其他药品混合配伍使用。</w:t>
      </w:r>
    </w:p>
    <w:p w:rsidR="00000000" w:rsidRDefault="00655025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．</w:t>
      </w:r>
      <w:r>
        <w:rPr>
          <w:rFonts w:eastAsia="仿宋_GB2312" w:hint="eastAsia"/>
          <w:sz w:val="32"/>
          <w:szCs w:val="32"/>
        </w:rPr>
        <w:t>对老人、肝肾功能异常患者等特殊人群和初次使用中药注射剂的患者应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 w:hint="eastAsia"/>
          <w:sz w:val="32"/>
          <w:szCs w:val="32"/>
        </w:rPr>
        <w:t>慎重使用，加强监测。</w:t>
      </w:r>
    </w:p>
    <w:p w:rsidR="00000000" w:rsidRDefault="00655025" w:rsidP="0084321D">
      <w:pPr>
        <w:spacing w:line="54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加强用药监护。用药过</w:t>
      </w:r>
      <w:r>
        <w:rPr>
          <w:rFonts w:eastAsia="仿宋_GB2312"/>
          <w:sz w:val="32"/>
          <w:szCs w:val="32"/>
        </w:rPr>
        <w:t>程中，应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密切观察用药反应，特别是开始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分钟。发现异常，立即停药，采用积极救治措施，救治患者。</w:t>
      </w:r>
    </w:p>
    <w:p w:rsidR="00655025" w:rsidRDefault="00655025" w:rsidP="0084321D">
      <w:pPr>
        <w:rPr>
          <w:rFonts w:ascii="仿宋_GB2312" w:eastAsia="仿宋_GB2312" w:hAnsi="仿宋" w:hint="eastAsia"/>
          <w:sz w:val="28"/>
          <w:szCs w:val="28"/>
        </w:rPr>
      </w:pPr>
    </w:p>
    <w:sectPr w:rsidR="00655025">
      <w:footerReference w:type="default" r:id="rId7"/>
      <w:pgSz w:w="11906" w:h="16838"/>
      <w:pgMar w:top="1928" w:right="1531" w:bottom="1701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025" w:rsidRDefault="00655025">
      <w:r>
        <w:separator/>
      </w:r>
    </w:p>
  </w:endnote>
  <w:endnote w:type="continuationSeparator" w:id="0">
    <w:p w:rsidR="00655025" w:rsidRDefault="0065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4321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0" r="127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55025">
                          <w:pPr>
                            <w:pStyle w:val="a6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D0918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JvnV1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655025">
                    <w:pPr>
                      <w:pStyle w:val="a6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9D0918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025" w:rsidRDefault="00655025">
      <w:r>
        <w:separator/>
      </w:r>
    </w:p>
  </w:footnote>
  <w:footnote w:type="continuationSeparator" w:id="0">
    <w:p w:rsidR="00655025" w:rsidRDefault="00655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55025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321D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0918"/>
    <w:rsid w:val="009D7C65"/>
    <w:rsid w:val="009F63A3"/>
    <w:rsid w:val="00A03AD8"/>
    <w:rsid w:val="00A15B0E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9D726E4"/>
    <w:rsid w:val="0BEC7EA0"/>
    <w:rsid w:val="0F9E0E77"/>
    <w:rsid w:val="15D212CB"/>
    <w:rsid w:val="2A8D465A"/>
    <w:rsid w:val="2AF7CA9C"/>
    <w:rsid w:val="2FF5A3F4"/>
    <w:rsid w:val="3FBFB699"/>
    <w:rsid w:val="43E2636A"/>
    <w:rsid w:val="4BFEBFDD"/>
    <w:rsid w:val="4C1A048F"/>
    <w:rsid w:val="52FB0CEB"/>
    <w:rsid w:val="5379375C"/>
    <w:rsid w:val="591D3208"/>
    <w:rsid w:val="5B79972C"/>
    <w:rsid w:val="5F297A5F"/>
    <w:rsid w:val="5F863CF7"/>
    <w:rsid w:val="5FDE84D4"/>
    <w:rsid w:val="63E446CD"/>
    <w:rsid w:val="67F29B23"/>
    <w:rsid w:val="69F71742"/>
    <w:rsid w:val="6DEFF632"/>
    <w:rsid w:val="7375B8DF"/>
    <w:rsid w:val="77FBD4EB"/>
    <w:rsid w:val="77FF7911"/>
    <w:rsid w:val="7BCD5928"/>
    <w:rsid w:val="7BFD055D"/>
    <w:rsid w:val="7BFF21C0"/>
    <w:rsid w:val="7DFE657A"/>
    <w:rsid w:val="7ED62E8A"/>
    <w:rsid w:val="7EE20694"/>
    <w:rsid w:val="7EFED5D9"/>
    <w:rsid w:val="7F7B194F"/>
    <w:rsid w:val="7FBC91AB"/>
    <w:rsid w:val="7FCF183F"/>
    <w:rsid w:val="8A3FAF16"/>
    <w:rsid w:val="8FDB7D5C"/>
    <w:rsid w:val="BBB9B585"/>
    <w:rsid w:val="BF9FF04B"/>
    <w:rsid w:val="BFFB0430"/>
    <w:rsid w:val="DF95A614"/>
    <w:rsid w:val="DFCC5ED2"/>
    <w:rsid w:val="DFFDE57E"/>
    <w:rsid w:val="EBFF2591"/>
    <w:rsid w:val="EFAF212E"/>
    <w:rsid w:val="EFFF9E2E"/>
    <w:rsid w:val="F2CC5E57"/>
    <w:rsid w:val="F7EEDA73"/>
    <w:rsid w:val="F9A6FC19"/>
    <w:rsid w:val="FAC37599"/>
    <w:rsid w:val="FB7FD129"/>
    <w:rsid w:val="FBA7267C"/>
    <w:rsid w:val="FCFF63BF"/>
    <w:rsid w:val="FD678252"/>
    <w:rsid w:val="FF503400"/>
    <w:rsid w:val="FF7F17A2"/>
    <w:rsid w:val="FFDB1B90"/>
    <w:rsid w:val="FFE26A4C"/>
    <w:rsid w:val="FFF64853"/>
    <w:rsid w:val="FFF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D50C43-4315-4272-A575-0B7F9200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0"/>
      <w:ind w:leftChars="0" w:left="0" w:firstLineChars="200" w:firstLine="420"/>
    </w:pPr>
    <w:rPr>
      <w:rFonts w:eastAsia="黑体"/>
      <w:sz w:val="32"/>
    </w:r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Pr>
      <w:kern w:val="2"/>
      <w:sz w:val="18"/>
      <w:szCs w:val="18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85EF7-E8B0-4FCC-A87E-ADFFD5576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654</Characters>
  <Application>Microsoft Office Word</Application>
  <DocSecurity>0</DocSecurity>
  <Lines>5</Lines>
  <Paragraphs>1</Paragraphs>
  <ScaleCrop>false</ScaleCrop>
  <Company>Xtzj.Com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2023-11-03T08:17:00Z</cp:lastPrinted>
  <dcterms:created xsi:type="dcterms:W3CDTF">2023-11-22T06:47:00Z</dcterms:created>
  <dcterms:modified xsi:type="dcterms:W3CDTF">2023-11-22T06:47:00Z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51848843D83EEBA4FC6638651E80DC66</vt:lpwstr>
  </property>
</Properties>
</file>