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3"/>
        <w:tabs>
          <w:tab w:val="right" w:leader="dot" w:pos="8844"/>
        </w:tabs>
        <w:spacing w:line="560" w:lineRule="exact"/>
        <w:rPr>
          <w:rFonts w:eastAsia="黑体"/>
          <w:sz w:val="32"/>
          <w:szCs w:val="32"/>
          <w:highlight w:val="none"/>
        </w:rPr>
      </w:pPr>
      <w:r>
        <w:rPr>
          <w:rFonts w:hint="eastAsia" w:eastAsia="黑体"/>
          <w:sz w:val="32"/>
          <w:szCs w:val="32"/>
          <w:highlight w:val="none"/>
        </w:rPr>
        <w:t>附件3</w:t>
      </w:r>
    </w:p>
    <w:p>
      <w:pPr>
        <w:pStyle w:val="13"/>
        <w:tabs>
          <w:tab w:val="right" w:leader="dot" w:pos="8844"/>
        </w:tabs>
        <w:spacing w:before="156" w:beforeLines="50" w:after="156" w:afterLines="50" w:line="300" w:lineRule="auto"/>
        <w:jc w:val="center"/>
        <w:rPr>
          <w:rFonts w:eastAsia="黑体"/>
          <w:sz w:val="32"/>
          <w:szCs w:val="32"/>
          <w:highlight w:val="none"/>
        </w:rPr>
      </w:pPr>
      <w:r>
        <w:rPr>
          <w:rFonts w:hint="eastAsia" w:eastAsia="黑体"/>
          <w:sz w:val="32"/>
          <w:szCs w:val="32"/>
          <w:highlight w:val="none"/>
        </w:rPr>
        <w:t>体外皮肤变态反应 动力学直接多肽反应试验方法</w:t>
      </w:r>
    </w:p>
    <w:p>
      <w:pPr>
        <w:spacing w:before="156" w:beforeLines="50" w:after="156" w:afterLines="50" w:line="300" w:lineRule="auto"/>
        <w:jc w:val="center"/>
        <w:outlineLvl w:val="2"/>
        <w:rPr>
          <w:rFonts w:ascii="Times New Roman" w:hAnsi="Times New Roman"/>
          <w:b w:val="0"/>
          <w:bCs w:val="0"/>
          <w:szCs w:val="21"/>
          <w:highlight w:val="none"/>
        </w:rPr>
      </w:pPr>
      <w:bookmarkStart w:id="0" w:name="_Toc25532"/>
      <w:r>
        <w:rPr>
          <w:rFonts w:ascii="Times New Roman" w:hAnsi="Times New Roman"/>
          <w:b w:val="0"/>
          <w:bCs w:val="0"/>
          <w:i/>
          <w:iCs/>
          <w:szCs w:val="21"/>
          <w:highlight w:val="none"/>
        </w:rPr>
        <w:t>In Chemico</w:t>
      </w:r>
      <w:r>
        <w:rPr>
          <w:rFonts w:ascii="Times New Roman" w:hAnsi="Times New Roman"/>
          <w:b w:val="0"/>
          <w:bCs w:val="0"/>
          <w:szCs w:val="21"/>
          <w:highlight w:val="none"/>
        </w:rPr>
        <w:t xml:space="preserve"> Skin Sensitisation: Kinetic Direct Peptide Reactivity Assay</w:t>
      </w:r>
      <w:r>
        <w:rPr>
          <w:rFonts w:hint="eastAsia" w:ascii="Times New Roman" w:hAnsi="Times New Roman"/>
          <w:b w:val="0"/>
          <w:bCs w:val="0"/>
          <w:szCs w:val="21"/>
          <w:highlight w:val="none"/>
        </w:rPr>
        <w:t xml:space="preserve"> (</w:t>
      </w:r>
      <w:r>
        <w:rPr>
          <w:rFonts w:ascii="Times New Roman" w:hAnsi="Times New Roman"/>
          <w:b w:val="0"/>
          <w:bCs w:val="0"/>
          <w:szCs w:val="21"/>
          <w:highlight w:val="none"/>
        </w:rPr>
        <w:t>kDPRA</w:t>
      </w:r>
      <w:r>
        <w:rPr>
          <w:rFonts w:hint="eastAsia" w:ascii="Times New Roman" w:hAnsi="Times New Roman"/>
          <w:b w:val="0"/>
          <w:bCs w:val="0"/>
          <w:szCs w:val="21"/>
          <w:highlight w:val="none"/>
        </w:rPr>
        <w:t>)</w:t>
      </w:r>
    </w:p>
    <w:p>
      <w:pPr>
        <w:spacing w:before="156" w:beforeLines="50" w:after="156" w:afterLines="50" w:line="300" w:lineRule="auto"/>
        <w:outlineLvl w:val="2"/>
        <w:rPr>
          <w:rFonts w:ascii="Times New Roman" w:hAnsi="Times New Roman" w:eastAsia="黑体"/>
          <w:szCs w:val="21"/>
          <w:highlight w:val="none"/>
        </w:rPr>
      </w:pPr>
      <w:bookmarkStart w:id="1" w:name="_Toc19077"/>
      <w:r>
        <w:rPr>
          <w:rFonts w:ascii="Times New Roman" w:hAnsi="Times New Roman" w:eastAsia="黑体"/>
          <w:szCs w:val="21"/>
          <w:highlight w:val="none"/>
        </w:rPr>
        <w:t>1 范围</w:t>
      </w:r>
      <w:bookmarkEnd w:id="0"/>
      <w:bookmarkEnd w:id="1"/>
    </w:p>
    <w:p>
      <w:pPr>
        <w:spacing w:line="300" w:lineRule="auto"/>
        <w:ind w:firstLine="420" w:firstLineChars="200"/>
        <w:rPr>
          <w:rFonts w:ascii="Times New Roman" w:hAnsi="Times New Roman" w:cs="Calibri"/>
          <w:szCs w:val="21"/>
          <w:highlight w:val="none"/>
        </w:rPr>
      </w:pPr>
      <w:r>
        <w:rPr>
          <w:rFonts w:ascii="Times New Roman" w:hAnsi="Times New Roman" w:cs="Calibri"/>
          <w:szCs w:val="21"/>
          <w:highlight w:val="none"/>
        </w:rPr>
        <w:t>本方法规定了动力学直接多肽反应试验的基本</w:t>
      </w:r>
      <w:r>
        <w:rPr>
          <w:rFonts w:hint="eastAsia" w:ascii="Times New Roman" w:hAnsi="Times New Roman" w:cs="Calibri"/>
          <w:szCs w:val="21"/>
          <w:highlight w:val="none"/>
        </w:rPr>
        <w:t>原则、试验</w:t>
      </w:r>
      <w:r>
        <w:rPr>
          <w:rFonts w:ascii="Times New Roman" w:hAnsi="Times New Roman" w:cs="Calibri"/>
          <w:szCs w:val="21"/>
          <w:highlight w:val="none"/>
        </w:rPr>
        <w:t>方法</w:t>
      </w:r>
      <w:r>
        <w:rPr>
          <w:rFonts w:hint="eastAsia" w:ascii="Times New Roman" w:hAnsi="Times New Roman" w:cs="Calibri"/>
          <w:szCs w:val="21"/>
          <w:highlight w:val="none"/>
        </w:rPr>
        <w:t>和技术要求</w:t>
      </w:r>
      <w:r>
        <w:rPr>
          <w:rFonts w:ascii="Times New Roman" w:hAnsi="Times New Roman" w:cs="Calibri"/>
          <w:szCs w:val="21"/>
          <w:highlight w:val="none"/>
        </w:rPr>
        <w:t>。</w:t>
      </w:r>
    </w:p>
    <w:p>
      <w:pPr>
        <w:spacing w:line="300" w:lineRule="auto"/>
        <w:ind w:firstLine="420" w:firstLineChars="200"/>
        <w:rPr>
          <w:rFonts w:ascii="Times New Roman" w:hAnsi="Times New Roman" w:cs="Calibri"/>
          <w:szCs w:val="21"/>
          <w:highlight w:val="none"/>
        </w:rPr>
      </w:pPr>
      <w:bookmarkStart w:id="2" w:name="OLE_LINK54"/>
      <w:r>
        <w:rPr>
          <w:rFonts w:ascii="Times New Roman" w:hAnsi="Times New Roman" w:cs="Calibri"/>
          <w:szCs w:val="21"/>
          <w:highlight w:val="none"/>
        </w:rPr>
        <w:t>本方法用于化妆品用</w:t>
      </w:r>
      <w:r>
        <w:rPr>
          <w:rFonts w:hint="eastAsia" w:ascii="Times New Roman" w:hAnsi="Times New Roman" w:cs="Calibri"/>
          <w:szCs w:val="21"/>
          <w:highlight w:val="none"/>
        </w:rPr>
        <w:t>化学</w:t>
      </w:r>
      <w:r>
        <w:rPr>
          <w:rFonts w:ascii="Times New Roman" w:hAnsi="Times New Roman" w:cs="Calibri"/>
          <w:szCs w:val="21"/>
          <w:highlight w:val="none"/>
        </w:rPr>
        <w:t>原料的</w:t>
      </w:r>
      <w:r>
        <w:rPr>
          <w:rFonts w:hint="eastAsia" w:ascii="Times New Roman" w:hAnsi="Times New Roman" w:cs="Calibri"/>
          <w:szCs w:val="21"/>
          <w:highlight w:val="none"/>
        </w:rPr>
        <w:t>皮肤致敏性评价</w:t>
      </w:r>
      <w:r>
        <w:rPr>
          <w:rFonts w:ascii="Times New Roman" w:hAnsi="Times New Roman" w:cs="Calibri"/>
          <w:szCs w:val="21"/>
          <w:highlight w:val="none"/>
        </w:rPr>
        <w:t>，适用于单一成分物质、多成分物质和</w:t>
      </w:r>
      <w:r>
        <w:rPr>
          <w:rFonts w:hint="eastAsia" w:ascii="Times New Roman" w:hAnsi="Times New Roman" w:cs="Calibri"/>
          <w:szCs w:val="21"/>
          <w:highlight w:val="none"/>
        </w:rPr>
        <w:t>已知成分及含量的混合物</w:t>
      </w:r>
      <w:r>
        <w:rPr>
          <w:rFonts w:hint="eastAsia" w:ascii="Times New Roman" w:hAnsi="Times New Roman" w:cs="Calibri"/>
          <w:b/>
          <w:bCs/>
          <w:szCs w:val="21"/>
          <w:highlight w:val="none"/>
        </w:rPr>
        <w:t>。</w:t>
      </w:r>
    </w:p>
    <w:bookmarkEnd w:id="2"/>
    <w:p>
      <w:pPr>
        <w:spacing w:before="156" w:beforeLines="50" w:after="156" w:afterLines="50" w:line="300" w:lineRule="auto"/>
        <w:outlineLvl w:val="2"/>
        <w:rPr>
          <w:rFonts w:ascii="Times New Roman" w:hAnsi="Times New Roman" w:eastAsia="黑体" w:cs="Calibri"/>
          <w:szCs w:val="21"/>
          <w:highlight w:val="none"/>
        </w:rPr>
      </w:pPr>
      <w:bookmarkStart w:id="3" w:name="_Toc13914"/>
      <w:bookmarkStart w:id="4" w:name="_Toc31159"/>
      <w:r>
        <w:rPr>
          <w:rFonts w:ascii="Times New Roman" w:hAnsi="Times New Roman" w:eastAsia="黑体" w:cs="Calibri"/>
          <w:szCs w:val="21"/>
          <w:highlight w:val="none"/>
        </w:rPr>
        <w:t>2 试验目的</w:t>
      </w:r>
      <w:bookmarkEnd w:id="3"/>
      <w:bookmarkEnd w:id="4"/>
    </w:p>
    <w:p>
      <w:pPr>
        <w:spacing w:line="300" w:lineRule="auto"/>
        <w:ind w:firstLine="420" w:firstLineChars="200"/>
        <w:rPr>
          <w:rFonts w:ascii="Times New Roman" w:hAnsi="Times New Roman" w:cs="Calibri"/>
          <w:szCs w:val="21"/>
          <w:highlight w:val="none"/>
        </w:rPr>
      </w:pPr>
      <w:r>
        <w:rPr>
          <w:rFonts w:ascii="Times New Roman" w:hAnsi="Times New Roman" w:cs="Calibri"/>
          <w:szCs w:val="21"/>
          <w:highlight w:val="none"/>
        </w:rPr>
        <w:t>预测和评价化妆品用化学原料是否具有潜在的皮肤致敏性</w:t>
      </w:r>
      <w:r>
        <w:rPr>
          <w:rFonts w:hint="eastAsia" w:ascii="Times New Roman" w:hAnsi="Times New Roman" w:cs="Calibri"/>
          <w:szCs w:val="21"/>
          <w:highlight w:val="none"/>
        </w:rPr>
        <w:t>及其分级。</w:t>
      </w:r>
    </w:p>
    <w:p>
      <w:pPr>
        <w:spacing w:before="156" w:beforeLines="50" w:after="156" w:afterLines="50" w:line="300" w:lineRule="auto"/>
        <w:outlineLvl w:val="2"/>
        <w:rPr>
          <w:rFonts w:ascii="Times New Roman" w:hAnsi="Times New Roman" w:eastAsia="黑体" w:cs="Calibri"/>
          <w:szCs w:val="21"/>
          <w:highlight w:val="none"/>
        </w:rPr>
      </w:pPr>
      <w:bookmarkStart w:id="5" w:name="_Toc29194"/>
      <w:bookmarkStart w:id="6" w:name="_Toc7853"/>
      <w:r>
        <w:rPr>
          <w:rFonts w:ascii="Times New Roman" w:hAnsi="Times New Roman" w:eastAsia="黑体" w:cs="Calibri"/>
          <w:szCs w:val="21"/>
          <w:highlight w:val="none"/>
        </w:rPr>
        <w:t>3 定义</w:t>
      </w:r>
      <w:bookmarkEnd w:id="5"/>
      <w:bookmarkEnd w:id="6"/>
    </w:p>
    <w:p>
      <w:pPr>
        <w:spacing w:before="156" w:beforeLines="50" w:after="156" w:afterLines="50" w:line="300" w:lineRule="auto"/>
        <w:rPr>
          <w:rFonts w:ascii="Times New Roman" w:hAnsi="Times New Roman" w:cs="Calibri"/>
          <w:szCs w:val="21"/>
          <w:highlight w:val="none"/>
        </w:rPr>
      </w:pPr>
      <w:r>
        <w:rPr>
          <w:rFonts w:ascii="Times New Roman" w:hAnsi="Times New Roman" w:cs="Calibri"/>
          <w:szCs w:val="21"/>
          <w:highlight w:val="none"/>
        </w:rPr>
        <w:t>3.1 多肽消耗百分比</w:t>
      </w:r>
      <w:r>
        <w:rPr>
          <w:rFonts w:hint="eastAsia" w:ascii="Times New Roman" w:hAnsi="Times New Roman" w:cs="Calibri"/>
          <w:szCs w:val="21"/>
          <w:highlight w:val="none"/>
        </w:rPr>
        <w:t>p</w:t>
      </w:r>
      <w:r>
        <w:rPr>
          <w:rFonts w:ascii="Times New Roman" w:hAnsi="Times New Roman" w:cs="Calibri"/>
          <w:szCs w:val="21"/>
          <w:highlight w:val="none"/>
        </w:rPr>
        <w:t xml:space="preserve">ercent </w:t>
      </w:r>
      <w:r>
        <w:rPr>
          <w:rFonts w:hint="eastAsia" w:ascii="Times New Roman" w:hAnsi="Times New Roman" w:cs="Calibri"/>
          <w:szCs w:val="21"/>
          <w:highlight w:val="none"/>
        </w:rPr>
        <w:t>p</w:t>
      </w:r>
      <w:r>
        <w:rPr>
          <w:rFonts w:ascii="Times New Roman" w:hAnsi="Times New Roman" w:cs="Calibri"/>
          <w:szCs w:val="21"/>
          <w:highlight w:val="none"/>
        </w:rPr>
        <w:t xml:space="preserve">eptide </w:t>
      </w:r>
      <w:r>
        <w:rPr>
          <w:rFonts w:hint="eastAsia" w:ascii="Times New Roman" w:hAnsi="Times New Roman" w:cs="Calibri"/>
          <w:szCs w:val="21"/>
          <w:highlight w:val="none"/>
        </w:rPr>
        <w:t>d</w:t>
      </w:r>
      <w:r>
        <w:rPr>
          <w:rFonts w:ascii="Times New Roman" w:hAnsi="Times New Roman" w:cs="Calibri"/>
          <w:szCs w:val="21"/>
          <w:highlight w:val="none"/>
        </w:rPr>
        <w:t>epletion</w:t>
      </w:r>
    </w:p>
    <w:p>
      <w:pPr>
        <w:spacing w:line="300" w:lineRule="auto"/>
        <w:ind w:firstLine="420" w:firstLineChars="200"/>
        <w:rPr>
          <w:rFonts w:ascii="Times New Roman" w:hAnsi="Times New Roman" w:cs="Calibri"/>
          <w:szCs w:val="21"/>
          <w:highlight w:val="none"/>
        </w:rPr>
      </w:pPr>
      <w:r>
        <w:rPr>
          <w:rFonts w:ascii="Times New Roman" w:hAnsi="Times New Roman" w:cs="Calibri"/>
          <w:szCs w:val="21"/>
          <w:highlight w:val="none"/>
        </w:rPr>
        <w:t>与溶剂对照相比，受试物消耗多肽的程度。</w:t>
      </w:r>
    </w:p>
    <w:p>
      <w:pPr>
        <w:spacing w:before="156" w:beforeLines="50" w:after="156" w:afterLines="50" w:line="300" w:lineRule="auto"/>
        <w:rPr>
          <w:rFonts w:ascii="Times New Roman" w:hAnsi="Times New Roman" w:cs="Calibri"/>
          <w:szCs w:val="21"/>
          <w:highlight w:val="none"/>
        </w:rPr>
      </w:pPr>
      <w:r>
        <w:rPr>
          <w:rFonts w:ascii="Times New Roman" w:hAnsi="Times New Roman" w:cs="Calibri"/>
          <w:szCs w:val="21"/>
          <w:highlight w:val="none"/>
        </w:rPr>
        <w:t xml:space="preserve">3.2 单一成分物质 </w:t>
      </w:r>
      <w:r>
        <w:rPr>
          <w:rFonts w:hint="eastAsia" w:ascii="Times New Roman" w:hAnsi="Times New Roman" w:cs="Calibri"/>
          <w:szCs w:val="21"/>
          <w:highlight w:val="none"/>
        </w:rPr>
        <w:t>m</w:t>
      </w:r>
      <w:r>
        <w:rPr>
          <w:rFonts w:ascii="Times New Roman" w:hAnsi="Times New Roman" w:cs="Calibri"/>
          <w:szCs w:val="21"/>
          <w:highlight w:val="none"/>
        </w:rPr>
        <w:t>ono-constituent substance</w:t>
      </w:r>
    </w:p>
    <w:p>
      <w:pPr>
        <w:spacing w:line="300" w:lineRule="auto"/>
        <w:ind w:firstLine="420" w:firstLineChars="200"/>
        <w:rPr>
          <w:rFonts w:ascii="Times New Roman" w:hAnsi="Times New Roman" w:cs="Calibri"/>
          <w:szCs w:val="21"/>
          <w:highlight w:val="none"/>
        </w:rPr>
      </w:pPr>
      <w:r>
        <w:rPr>
          <w:rFonts w:hint="eastAsia" w:ascii="Times New Roman" w:hAnsi="Times New Roman" w:cs="Calibri"/>
          <w:szCs w:val="21"/>
          <w:highlight w:val="none"/>
        </w:rPr>
        <w:t>组成可定量的物质，单一</w:t>
      </w:r>
      <w:r>
        <w:rPr>
          <w:rFonts w:ascii="Times New Roman" w:hAnsi="Times New Roman" w:cs="Calibri"/>
          <w:szCs w:val="21"/>
          <w:highlight w:val="none"/>
        </w:rPr>
        <w:t>主要成分</w:t>
      </w:r>
      <w:r>
        <w:rPr>
          <w:rFonts w:hint="eastAsia" w:ascii="Times New Roman" w:hAnsi="Times New Roman" w:cs="Calibri"/>
          <w:szCs w:val="21"/>
          <w:highlight w:val="none"/>
        </w:rPr>
        <w:t>含量</w:t>
      </w:r>
      <w:r>
        <w:rPr>
          <w:rFonts w:ascii="Times New Roman" w:hAnsi="Times New Roman" w:cs="Calibri"/>
          <w:szCs w:val="21"/>
          <w:highlight w:val="none"/>
        </w:rPr>
        <w:t>至少</w:t>
      </w:r>
      <w:r>
        <w:rPr>
          <w:rFonts w:hint="eastAsia" w:ascii="Times New Roman" w:hAnsi="Times New Roman" w:cs="Calibri"/>
          <w:szCs w:val="21"/>
          <w:highlight w:val="none"/>
        </w:rPr>
        <w:t>为</w:t>
      </w:r>
      <w:r>
        <w:rPr>
          <w:rFonts w:ascii="Times New Roman" w:hAnsi="Times New Roman" w:cs="Calibri"/>
          <w:szCs w:val="21"/>
          <w:highlight w:val="none"/>
        </w:rPr>
        <w:t>80%</w:t>
      </w:r>
      <w:r>
        <w:rPr>
          <w:rFonts w:hint="eastAsia" w:ascii="Times New Roman" w:hAnsi="Times New Roman" w:cs="Calibri"/>
          <w:szCs w:val="21"/>
          <w:highlight w:val="none"/>
        </w:rPr>
        <w:t>（</w:t>
      </w:r>
      <w:r>
        <w:rPr>
          <w:rFonts w:ascii="Times New Roman" w:hAnsi="Times New Roman" w:cs="Calibri"/>
          <w:szCs w:val="21"/>
          <w:highlight w:val="none"/>
        </w:rPr>
        <w:t>w/w</w:t>
      </w:r>
      <w:r>
        <w:rPr>
          <w:rFonts w:hint="eastAsia" w:ascii="Times New Roman" w:hAnsi="Times New Roman" w:cs="Calibri"/>
          <w:szCs w:val="21"/>
          <w:highlight w:val="none"/>
        </w:rPr>
        <w:t>）</w:t>
      </w:r>
      <w:r>
        <w:rPr>
          <w:rFonts w:ascii="Times New Roman" w:hAnsi="Times New Roman" w:cs="Calibri"/>
          <w:szCs w:val="21"/>
          <w:highlight w:val="none"/>
        </w:rPr>
        <w:t>。</w:t>
      </w:r>
    </w:p>
    <w:p>
      <w:pPr>
        <w:spacing w:before="156" w:beforeLines="50" w:after="156" w:afterLines="50" w:line="300" w:lineRule="auto"/>
        <w:rPr>
          <w:rFonts w:ascii="Times New Roman" w:hAnsi="Times New Roman" w:cs="Calibri"/>
          <w:szCs w:val="21"/>
          <w:highlight w:val="none"/>
        </w:rPr>
      </w:pPr>
      <w:r>
        <w:rPr>
          <w:rFonts w:ascii="Times New Roman" w:hAnsi="Times New Roman" w:cs="Calibri"/>
          <w:szCs w:val="21"/>
          <w:highlight w:val="none"/>
        </w:rPr>
        <w:t>3.3 多成分物质</w:t>
      </w:r>
      <w:r>
        <w:rPr>
          <w:rFonts w:hint="eastAsia" w:ascii="Times New Roman" w:hAnsi="Times New Roman" w:cs="Calibri"/>
          <w:szCs w:val="21"/>
          <w:highlight w:val="none"/>
        </w:rPr>
        <w:t>m</w:t>
      </w:r>
      <w:r>
        <w:rPr>
          <w:rFonts w:ascii="Times New Roman" w:hAnsi="Times New Roman" w:cs="Calibri"/>
          <w:szCs w:val="21"/>
          <w:highlight w:val="none"/>
        </w:rPr>
        <w:t>ulti-constituent substance</w:t>
      </w:r>
    </w:p>
    <w:p>
      <w:pPr>
        <w:spacing w:line="300" w:lineRule="auto"/>
        <w:ind w:firstLine="420" w:firstLineChars="200"/>
        <w:rPr>
          <w:rFonts w:ascii="Times New Roman" w:hAnsi="Times New Roman" w:cs="Calibri"/>
          <w:szCs w:val="21"/>
          <w:highlight w:val="none"/>
        </w:rPr>
      </w:pPr>
      <w:r>
        <w:rPr>
          <w:rFonts w:hint="eastAsia" w:ascii="Times New Roman" w:hAnsi="Times New Roman" w:cs="Calibri"/>
          <w:szCs w:val="21"/>
          <w:highlight w:val="none"/>
        </w:rPr>
        <w:t>组成可定量的物质，其中</w:t>
      </w:r>
      <w:r>
        <w:rPr>
          <w:rFonts w:ascii="Times New Roman" w:hAnsi="Times New Roman" w:cs="Calibri"/>
          <w:szCs w:val="21"/>
          <w:highlight w:val="none"/>
        </w:rPr>
        <w:t>含有两种或两种以上主要成分</w:t>
      </w:r>
      <w:r>
        <w:rPr>
          <w:rFonts w:hint="eastAsia" w:ascii="Times New Roman" w:hAnsi="Times New Roman" w:cs="Calibri"/>
          <w:szCs w:val="21"/>
          <w:highlight w:val="none"/>
        </w:rPr>
        <w:t>，</w:t>
      </w:r>
      <w:r>
        <w:rPr>
          <w:rFonts w:ascii="Times New Roman" w:hAnsi="Times New Roman" w:cs="Calibri"/>
          <w:szCs w:val="21"/>
          <w:highlight w:val="none"/>
        </w:rPr>
        <w:t>每种主要成分的含量</w:t>
      </w:r>
      <w:r>
        <w:rPr>
          <w:rFonts w:hint="eastAsia" w:ascii="宋体" w:hAnsi="宋体" w:cs="宋体"/>
          <w:szCs w:val="21"/>
          <w:highlight w:val="none"/>
        </w:rPr>
        <w:t>≥</w:t>
      </w:r>
      <w:r>
        <w:rPr>
          <w:rFonts w:ascii="Times New Roman" w:hAnsi="Times New Roman" w:cs="Calibri"/>
          <w:szCs w:val="21"/>
          <w:highlight w:val="none"/>
        </w:rPr>
        <w:t>10%</w:t>
      </w:r>
      <w:r>
        <w:rPr>
          <w:rFonts w:hint="eastAsia" w:ascii="Times New Roman" w:hAnsi="Times New Roman" w:cs="Calibri"/>
          <w:szCs w:val="21"/>
          <w:highlight w:val="none"/>
        </w:rPr>
        <w:t>（</w:t>
      </w:r>
      <w:r>
        <w:rPr>
          <w:rFonts w:ascii="Times New Roman" w:hAnsi="Times New Roman" w:cs="Calibri"/>
          <w:szCs w:val="21"/>
          <w:highlight w:val="none"/>
        </w:rPr>
        <w:t>w/w</w:t>
      </w:r>
      <w:r>
        <w:rPr>
          <w:rFonts w:hint="eastAsia" w:ascii="Times New Roman" w:hAnsi="Times New Roman" w:cs="Calibri"/>
          <w:szCs w:val="21"/>
          <w:highlight w:val="none"/>
        </w:rPr>
        <w:t>）</w:t>
      </w:r>
      <w:r>
        <w:rPr>
          <w:rFonts w:ascii="Times New Roman" w:hAnsi="Times New Roman" w:cs="Calibri"/>
          <w:szCs w:val="21"/>
          <w:highlight w:val="none"/>
        </w:rPr>
        <w:t>和&lt;</w:t>
      </w:r>
      <w:r>
        <w:rPr>
          <w:rFonts w:hint="eastAsia" w:ascii="Times New Roman" w:hAnsi="Times New Roman" w:cs="Calibri"/>
          <w:szCs w:val="21"/>
          <w:highlight w:val="none"/>
        </w:rPr>
        <w:t xml:space="preserve"> </w:t>
      </w:r>
      <w:r>
        <w:rPr>
          <w:rFonts w:ascii="Times New Roman" w:hAnsi="Times New Roman" w:cs="Calibri"/>
          <w:szCs w:val="21"/>
          <w:highlight w:val="none"/>
        </w:rPr>
        <w:t>80%</w:t>
      </w:r>
      <w:r>
        <w:rPr>
          <w:rFonts w:hint="eastAsia" w:ascii="Times New Roman" w:hAnsi="Times New Roman" w:cs="Calibri"/>
          <w:szCs w:val="21"/>
          <w:highlight w:val="none"/>
        </w:rPr>
        <w:t>（</w:t>
      </w:r>
      <w:r>
        <w:rPr>
          <w:rFonts w:ascii="Times New Roman" w:hAnsi="Times New Roman" w:cs="Calibri"/>
          <w:szCs w:val="21"/>
          <w:highlight w:val="none"/>
        </w:rPr>
        <w:t>w/w</w:t>
      </w:r>
      <w:r>
        <w:rPr>
          <w:rFonts w:hint="eastAsia" w:ascii="Times New Roman" w:hAnsi="Times New Roman" w:cs="Calibri"/>
          <w:szCs w:val="21"/>
          <w:highlight w:val="none"/>
        </w:rPr>
        <w:t>）</w:t>
      </w:r>
      <w:r>
        <w:rPr>
          <w:rFonts w:ascii="Times New Roman" w:hAnsi="Times New Roman" w:cs="Calibri"/>
          <w:szCs w:val="21"/>
          <w:highlight w:val="none"/>
        </w:rPr>
        <w:t>。多成分物质是制造过程产生的。</w:t>
      </w:r>
    </w:p>
    <w:p>
      <w:pPr>
        <w:spacing w:before="156" w:beforeLines="50" w:after="156" w:afterLines="50" w:line="300" w:lineRule="auto"/>
        <w:rPr>
          <w:rFonts w:ascii="Times New Roman" w:hAnsi="Times New Roman" w:cs="Calibri"/>
          <w:szCs w:val="21"/>
          <w:highlight w:val="none"/>
        </w:rPr>
      </w:pPr>
      <w:r>
        <w:rPr>
          <w:rFonts w:ascii="Times New Roman" w:hAnsi="Times New Roman" w:cs="Calibri"/>
          <w:szCs w:val="21"/>
          <w:highlight w:val="none"/>
        </w:rPr>
        <w:t>3.4</w:t>
      </w:r>
      <w:r>
        <w:rPr>
          <w:rFonts w:hint="eastAsia" w:ascii="Times New Roman" w:hAnsi="Times New Roman" w:cs="Calibri"/>
          <w:szCs w:val="21"/>
          <w:highlight w:val="none"/>
        </w:rPr>
        <w:t xml:space="preserve"> </w:t>
      </w:r>
      <w:r>
        <w:rPr>
          <w:rFonts w:ascii="Times New Roman" w:hAnsi="Times New Roman" w:cs="Calibri"/>
          <w:szCs w:val="21"/>
          <w:highlight w:val="none"/>
        </w:rPr>
        <w:t xml:space="preserve">混合物 </w:t>
      </w:r>
      <w:r>
        <w:rPr>
          <w:rFonts w:hint="eastAsia" w:ascii="Times New Roman" w:hAnsi="Times New Roman" w:cs="Calibri"/>
          <w:szCs w:val="21"/>
          <w:highlight w:val="none"/>
        </w:rPr>
        <w:t>m</w:t>
      </w:r>
      <w:r>
        <w:rPr>
          <w:rFonts w:ascii="Times New Roman" w:hAnsi="Times New Roman" w:cs="Calibri"/>
          <w:szCs w:val="21"/>
          <w:highlight w:val="none"/>
        </w:rPr>
        <w:t>ixture</w:t>
      </w:r>
    </w:p>
    <w:p>
      <w:pPr>
        <w:spacing w:line="300" w:lineRule="auto"/>
        <w:ind w:firstLine="420" w:firstLineChars="200"/>
        <w:rPr>
          <w:rFonts w:ascii="Times New Roman" w:hAnsi="Times New Roman" w:cs="Calibri"/>
          <w:szCs w:val="21"/>
          <w:highlight w:val="none"/>
        </w:rPr>
      </w:pPr>
      <w:r>
        <w:rPr>
          <w:rFonts w:ascii="Times New Roman" w:hAnsi="Times New Roman" w:cs="Calibri"/>
          <w:szCs w:val="21"/>
          <w:highlight w:val="none"/>
        </w:rPr>
        <w:t>由两种或两种以上不发生化学反应的</w:t>
      </w:r>
      <w:r>
        <w:rPr>
          <w:rFonts w:hint="eastAsia" w:ascii="Times New Roman" w:hAnsi="Times New Roman" w:cs="Calibri"/>
          <w:szCs w:val="21"/>
          <w:highlight w:val="none"/>
        </w:rPr>
        <w:t>化学物质</w:t>
      </w:r>
      <w:r>
        <w:rPr>
          <w:rFonts w:ascii="Times New Roman" w:hAnsi="Times New Roman" w:cs="Calibri"/>
          <w:szCs w:val="21"/>
          <w:highlight w:val="none"/>
        </w:rPr>
        <w:t>组成的固体或液体物质。</w:t>
      </w:r>
    </w:p>
    <w:p>
      <w:pPr>
        <w:spacing w:before="156" w:beforeLines="50" w:after="156" w:afterLines="50" w:line="300" w:lineRule="auto"/>
        <w:outlineLvl w:val="2"/>
        <w:rPr>
          <w:rFonts w:ascii="Times New Roman" w:hAnsi="Times New Roman" w:eastAsia="黑体" w:cs="Calibri"/>
          <w:szCs w:val="21"/>
          <w:highlight w:val="none"/>
        </w:rPr>
      </w:pPr>
      <w:bookmarkStart w:id="7" w:name="_Toc4577"/>
      <w:bookmarkStart w:id="8" w:name="_Toc12679"/>
      <w:r>
        <w:rPr>
          <w:rFonts w:ascii="Times New Roman" w:hAnsi="Times New Roman" w:eastAsia="黑体" w:cs="Calibri"/>
          <w:szCs w:val="21"/>
          <w:highlight w:val="none"/>
        </w:rPr>
        <w:t>4 试验原理</w:t>
      </w:r>
      <w:bookmarkEnd w:id="7"/>
      <w:bookmarkEnd w:id="8"/>
    </w:p>
    <w:p>
      <w:pPr>
        <w:spacing w:line="300" w:lineRule="auto"/>
        <w:ind w:firstLine="420" w:firstLineChars="200"/>
        <w:rPr>
          <w:rFonts w:ascii="Times New Roman" w:hAnsi="Times New Roman" w:cs="Calibri"/>
          <w:szCs w:val="21"/>
          <w:highlight w:val="none"/>
        </w:rPr>
      </w:pPr>
      <w:r>
        <w:rPr>
          <w:rFonts w:ascii="Times New Roman" w:hAnsi="Times New Roman" w:cs="Calibri"/>
          <w:szCs w:val="21"/>
          <w:highlight w:val="none"/>
        </w:rPr>
        <w:t>试验基本原理同直接多肽</w:t>
      </w:r>
      <w:r>
        <w:rPr>
          <w:rFonts w:hint="eastAsia" w:ascii="Times New Roman" w:hAnsi="Times New Roman" w:cs="Calibri"/>
          <w:szCs w:val="21"/>
          <w:highlight w:val="none"/>
        </w:rPr>
        <w:t>反应</w:t>
      </w:r>
      <w:r>
        <w:rPr>
          <w:rFonts w:ascii="Times New Roman" w:hAnsi="Times New Roman" w:cs="Calibri"/>
          <w:szCs w:val="21"/>
          <w:highlight w:val="none"/>
        </w:rPr>
        <w:t>试验</w:t>
      </w:r>
      <w:r>
        <w:rPr>
          <w:rFonts w:hint="eastAsia" w:ascii="Times New Roman" w:hAnsi="Times New Roman" w:cs="Calibri"/>
          <w:szCs w:val="21"/>
          <w:highlight w:val="none"/>
        </w:rPr>
        <w:t>（DPRA）</w:t>
      </w:r>
      <w:r>
        <w:rPr>
          <w:rFonts w:ascii="Times New Roman" w:hAnsi="Times New Roman" w:cs="Calibri"/>
          <w:szCs w:val="21"/>
          <w:highlight w:val="none"/>
        </w:rPr>
        <w:t>，有致敏性的受试物与多肽模拟的皮肤蛋白（本试验仅使用半胱氨酸多肽）共同孵育，导致多肽量减少。不同于DPRA仅测试化学物质一个浓度和一个时间点，kDPRA以时间和浓度依赖的方式量化评价被测物质</w:t>
      </w:r>
      <w:r>
        <w:rPr>
          <w:rFonts w:hint="eastAsia" w:ascii="Times New Roman" w:hAnsi="Times New Roman" w:cs="Calibri"/>
          <w:szCs w:val="21"/>
          <w:highlight w:val="none"/>
        </w:rPr>
        <w:t>的</w:t>
      </w:r>
      <w:r>
        <w:rPr>
          <w:rFonts w:ascii="Times New Roman" w:hAnsi="Times New Roman" w:cs="Calibri"/>
          <w:szCs w:val="21"/>
          <w:highlight w:val="none"/>
        </w:rPr>
        <w:t>多肽结合反应性。被测物质采用5个浓度与半胱氨酸多肽溶液孵育不同时间（6个时间点）后，通过添加单溴二胺（Monobromobimane</w:t>
      </w:r>
      <w:r>
        <w:rPr>
          <w:rFonts w:hint="eastAsia" w:ascii="Times New Roman" w:hAnsi="Times New Roman" w:cs="Calibri"/>
          <w:szCs w:val="21"/>
          <w:highlight w:val="none"/>
        </w:rPr>
        <w:t>，</w:t>
      </w:r>
      <w:r>
        <w:rPr>
          <w:rFonts w:ascii="Times New Roman" w:hAnsi="Times New Roman" w:cs="Calibri"/>
          <w:szCs w:val="21"/>
          <w:highlight w:val="none"/>
        </w:rPr>
        <w:t>mBrB</w:t>
      </w:r>
      <w:r>
        <w:rPr>
          <w:rFonts w:hint="eastAsia" w:ascii="Times New Roman" w:hAnsi="Times New Roman" w:cs="Calibri"/>
          <w:szCs w:val="21"/>
          <w:highlight w:val="none"/>
        </w:rPr>
        <w:t>，CAS 74235-78-2</w:t>
      </w:r>
      <w:r>
        <w:rPr>
          <w:rFonts w:ascii="Times New Roman" w:hAnsi="Times New Roman" w:cs="Calibri"/>
          <w:szCs w:val="21"/>
          <w:highlight w:val="none"/>
        </w:rPr>
        <w:t>）与未结合的半胱氨酸多肽形成荧光复合物，来测量多肽的剩余量。如某时间点未结合多肽</w:t>
      </w:r>
      <w:r>
        <w:rPr>
          <w:rFonts w:hint="eastAsia" w:ascii="Times New Roman" w:hAnsi="Times New Roman" w:cs="Calibri"/>
          <w:szCs w:val="21"/>
          <w:highlight w:val="none"/>
        </w:rPr>
        <w:t>百分比</w:t>
      </w:r>
      <w:r>
        <w:rPr>
          <w:rFonts w:ascii="Times New Roman" w:hAnsi="Times New Roman" w:cs="Calibri"/>
          <w:szCs w:val="21"/>
          <w:highlight w:val="none"/>
        </w:rPr>
        <w:t>的自然对数与受试物浓度呈线性关系（准一级反应），则</w:t>
      </w:r>
      <w:bookmarkStart w:id="9" w:name="OLE_LINK7"/>
      <w:r>
        <w:rPr>
          <w:rFonts w:ascii="Times New Roman" w:hAnsi="Times New Roman" w:cs="Calibri"/>
          <w:szCs w:val="21"/>
          <w:highlight w:val="none"/>
        </w:rPr>
        <w:t>通过斜率绝对值求得反应速率常数</w:t>
      </w:r>
      <w:r>
        <w:rPr>
          <w:rFonts w:ascii="Times New Roman" w:hAnsi="Times New Roman" w:cs="Calibri"/>
          <w:i/>
          <w:iCs/>
          <w:szCs w:val="21"/>
          <w:highlight w:val="none"/>
        </w:rPr>
        <w:t>k</w:t>
      </w:r>
      <w:r>
        <w:rPr>
          <w:rFonts w:ascii="Times New Roman" w:hAnsi="Times New Roman" w:cs="Calibri"/>
          <w:szCs w:val="21"/>
          <w:highlight w:val="none"/>
        </w:rPr>
        <w:t>，</w:t>
      </w:r>
      <w:bookmarkEnd w:id="9"/>
      <w:r>
        <w:rPr>
          <w:rFonts w:ascii="Times New Roman" w:hAnsi="Times New Roman" w:cs="Calibri"/>
          <w:szCs w:val="21"/>
          <w:highlight w:val="none"/>
        </w:rPr>
        <w:t>换算成对应时间点的反应动力学常数</w:t>
      </w:r>
      <w:r>
        <w:rPr>
          <w:rFonts w:ascii="Times New Roman" w:hAnsi="Times New Roman" w:cs="Calibri"/>
          <w:i/>
          <w:iCs/>
          <w:szCs w:val="21"/>
          <w:highlight w:val="none"/>
        </w:rPr>
        <w:t>k</w:t>
      </w:r>
      <w:r>
        <w:rPr>
          <w:rFonts w:ascii="Times New Roman" w:hAnsi="Times New Roman" w:cs="Calibri"/>
          <w:szCs w:val="21"/>
          <w:highlight w:val="none"/>
          <w:vertAlign w:val="subscript"/>
        </w:rPr>
        <w:t>t</w:t>
      </w:r>
      <w:r>
        <w:rPr>
          <w:rFonts w:ascii="Times New Roman" w:hAnsi="Times New Roman" w:cs="Calibri"/>
          <w:szCs w:val="21"/>
          <w:highlight w:val="none"/>
        </w:rPr>
        <w:t>（单位：M</w:t>
      </w:r>
      <w:r>
        <w:rPr>
          <w:rFonts w:ascii="Times New Roman" w:hAnsi="Times New Roman" w:cs="Calibri"/>
          <w:szCs w:val="21"/>
          <w:highlight w:val="none"/>
          <w:vertAlign w:val="superscript"/>
        </w:rPr>
        <w:t>-1</w:t>
      </w:r>
      <w:r>
        <w:rPr>
          <w:rFonts w:ascii="Times New Roman" w:hAnsi="Times New Roman" w:cs="Calibri"/>
          <w:szCs w:val="21"/>
          <w:highlight w:val="none"/>
        </w:rPr>
        <w:t>s</w:t>
      </w:r>
      <w:r>
        <w:rPr>
          <w:rFonts w:ascii="Times New Roman" w:hAnsi="Times New Roman" w:cs="Calibri"/>
          <w:szCs w:val="21"/>
          <w:highlight w:val="none"/>
          <w:vertAlign w:val="superscript"/>
        </w:rPr>
        <w:t>-1</w:t>
      </w:r>
      <w:r>
        <w:rPr>
          <w:rFonts w:ascii="Times New Roman" w:hAnsi="Times New Roman" w:cs="Calibri"/>
          <w:szCs w:val="21"/>
          <w:highlight w:val="none"/>
        </w:rPr>
        <w:t>），并计算各时间点lg</w:t>
      </w:r>
      <w:r>
        <w:rPr>
          <w:rFonts w:ascii="Times New Roman" w:hAnsi="Times New Roman" w:cs="Calibri"/>
          <w:i/>
          <w:iCs/>
          <w:szCs w:val="21"/>
          <w:highlight w:val="none"/>
        </w:rPr>
        <w:t>k</w:t>
      </w:r>
      <w:r>
        <w:rPr>
          <w:rFonts w:ascii="Times New Roman" w:hAnsi="Times New Roman" w:cs="Calibri"/>
          <w:szCs w:val="21"/>
          <w:highlight w:val="none"/>
          <w:vertAlign w:val="subscript"/>
        </w:rPr>
        <w:t>t</w:t>
      </w:r>
      <w:r>
        <w:rPr>
          <w:rFonts w:ascii="Times New Roman" w:hAnsi="Times New Roman" w:cs="Calibri"/>
          <w:szCs w:val="21"/>
          <w:highlight w:val="none"/>
        </w:rPr>
        <w:t>，以其中最大值lg</w:t>
      </w:r>
      <w:r>
        <w:rPr>
          <w:rFonts w:ascii="Times New Roman" w:hAnsi="Times New Roman" w:cs="Calibri"/>
          <w:i/>
          <w:iCs/>
          <w:szCs w:val="21"/>
          <w:highlight w:val="none"/>
        </w:rPr>
        <w:t>k</w:t>
      </w:r>
      <w:r>
        <w:rPr>
          <w:rFonts w:ascii="Times New Roman" w:hAnsi="Times New Roman" w:cs="Calibri"/>
          <w:szCs w:val="21"/>
          <w:highlight w:val="none"/>
          <w:vertAlign w:val="subscript"/>
        </w:rPr>
        <w:t>max</w:t>
      </w:r>
      <w:r>
        <w:rPr>
          <w:rFonts w:ascii="Times New Roman" w:hAnsi="Times New Roman" w:cs="Calibri"/>
          <w:szCs w:val="21"/>
          <w:highlight w:val="none"/>
        </w:rPr>
        <w:t>进行结果判断</w:t>
      </w:r>
      <w:r>
        <w:rPr>
          <w:rFonts w:hint="eastAsia" w:ascii="Times New Roman" w:hAnsi="Times New Roman" w:cs="Calibri"/>
          <w:szCs w:val="21"/>
          <w:highlight w:val="none"/>
          <w:lang w:eastAsia="zh-CN"/>
        </w:rPr>
        <w:t>，</w:t>
      </w:r>
      <w:r>
        <w:rPr>
          <w:rFonts w:ascii="Times New Roman" w:hAnsi="Times New Roman" w:cs="Calibri"/>
          <w:szCs w:val="21"/>
          <w:highlight w:val="none"/>
        </w:rPr>
        <w:t>评价受试物的皮肤致敏性。</w:t>
      </w:r>
    </w:p>
    <w:p>
      <w:pPr>
        <w:spacing w:before="156" w:beforeLines="50" w:after="156" w:afterLines="50" w:line="300" w:lineRule="auto"/>
        <w:outlineLvl w:val="2"/>
        <w:rPr>
          <w:rFonts w:ascii="Times New Roman" w:hAnsi="Times New Roman" w:eastAsia="黑体" w:cs="Calibri"/>
          <w:szCs w:val="21"/>
          <w:highlight w:val="none"/>
        </w:rPr>
      </w:pPr>
      <w:bookmarkStart w:id="10" w:name="_Toc2849"/>
      <w:bookmarkStart w:id="11" w:name="_Toc3501"/>
      <w:r>
        <w:rPr>
          <w:rFonts w:ascii="Times New Roman" w:hAnsi="Times New Roman" w:eastAsia="黑体" w:cs="Calibri"/>
          <w:szCs w:val="21"/>
          <w:highlight w:val="none"/>
        </w:rPr>
        <w:t>5 试剂和受试物制备</w:t>
      </w:r>
      <w:bookmarkEnd w:id="10"/>
      <w:bookmarkEnd w:id="11"/>
    </w:p>
    <w:p>
      <w:pPr>
        <w:spacing w:before="156" w:beforeLines="50" w:after="156" w:afterLines="50" w:line="300" w:lineRule="auto"/>
        <w:rPr>
          <w:rFonts w:ascii="Times New Roman" w:hAnsi="Times New Roman" w:cs="Calibri"/>
          <w:szCs w:val="21"/>
          <w:highlight w:val="none"/>
        </w:rPr>
      </w:pPr>
      <w:r>
        <w:rPr>
          <w:rFonts w:ascii="Times New Roman" w:hAnsi="Times New Roman" w:cs="Calibri"/>
          <w:szCs w:val="21"/>
          <w:highlight w:val="none"/>
        </w:rPr>
        <w:t>5.1 多肽片段与纯度</w:t>
      </w:r>
    </w:p>
    <w:p>
      <w:pPr>
        <w:spacing w:line="300" w:lineRule="auto"/>
        <w:ind w:firstLine="420" w:firstLineChars="200"/>
        <w:rPr>
          <w:rFonts w:ascii="Times New Roman" w:hAnsi="Times New Roman" w:cs="Calibri"/>
          <w:szCs w:val="21"/>
          <w:highlight w:val="none"/>
        </w:rPr>
      </w:pPr>
      <w:r>
        <w:rPr>
          <w:rFonts w:ascii="Times New Roman" w:hAnsi="Times New Roman" w:cs="Calibri"/>
          <w:szCs w:val="21"/>
          <w:highlight w:val="none"/>
        </w:rPr>
        <w:t>半胱氨酸多肽：Ac-RFAACAA-COOH</w:t>
      </w:r>
      <w:r>
        <w:rPr>
          <w:rFonts w:ascii="Times New Roman" w:hAnsi="Times New Roman"/>
          <w:szCs w:val="21"/>
          <w:highlight w:val="none"/>
        </w:rPr>
        <w:t>，分子量：751.35，纯度：</w:t>
      </w:r>
      <w:r>
        <w:rPr>
          <w:rFonts w:hint="eastAsia" w:ascii="Times New Roman" w:hAnsi="Times New Roman" w:cs="Calibri"/>
          <w:szCs w:val="21"/>
          <w:highlight w:val="none"/>
        </w:rPr>
        <w:t>≥</w:t>
      </w:r>
      <w:r>
        <w:rPr>
          <w:rFonts w:ascii="Times New Roman" w:hAnsi="Times New Roman" w:cs="Calibri"/>
          <w:szCs w:val="21"/>
          <w:highlight w:val="none"/>
        </w:rPr>
        <w:t>95%。</w:t>
      </w:r>
    </w:p>
    <w:p>
      <w:pPr>
        <w:spacing w:before="156" w:beforeLines="50" w:after="156" w:afterLines="50" w:line="300" w:lineRule="auto"/>
        <w:rPr>
          <w:rFonts w:ascii="Times New Roman" w:hAnsi="Times New Roman" w:cs="Calibri"/>
          <w:szCs w:val="21"/>
          <w:highlight w:val="none"/>
        </w:rPr>
      </w:pPr>
      <w:r>
        <w:rPr>
          <w:rFonts w:ascii="Times New Roman" w:hAnsi="Times New Roman" w:cs="Calibri"/>
          <w:szCs w:val="21"/>
          <w:highlight w:val="none"/>
        </w:rPr>
        <w:t>5.2 阳性对照物</w:t>
      </w:r>
    </w:p>
    <w:p>
      <w:pPr>
        <w:spacing w:line="300" w:lineRule="auto"/>
        <w:ind w:firstLine="420" w:firstLineChars="200"/>
        <w:rPr>
          <w:rFonts w:ascii="Times New Roman" w:hAnsi="Times New Roman" w:cs="Calibri"/>
          <w:b/>
          <w:bCs/>
          <w:szCs w:val="21"/>
          <w:highlight w:val="none"/>
        </w:rPr>
      </w:pPr>
      <w:r>
        <w:rPr>
          <w:rFonts w:ascii="Times New Roman" w:hAnsi="Times New Roman" w:cs="Calibri"/>
          <w:szCs w:val="21"/>
          <w:highlight w:val="none"/>
        </w:rPr>
        <w:t>阳性对照</w:t>
      </w:r>
      <w:r>
        <w:rPr>
          <w:rFonts w:hint="eastAsia" w:ascii="Times New Roman" w:hAnsi="Times New Roman" w:cs="Calibri"/>
          <w:szCs w:val="21"/>
          <w:highlight w:val="none"/>
        </w:rPr>
        <w:t>物常</w:t>
      </w:r>
      <w:r>
        <w:rPr>
          <w:rFonts w:ascii="Times New Roman" w:hAnsi="Times New Roman" w:cs="Calibri"/>
          <w:szCs w:val="21"/>
          <w:highlight w:val="none"/>
        </w:rPr>
        <w:t>用肉桂醛（CAS 104-55-2；纯度</w:t>
      </w:r>
      <w:r>
        <w:rPr>
          <w:rFonts w:hint="eastAsia" w:ascii="Times New Roman" w:hAnsi="Times New Roman" w:cs="Calibri"/>
          <w:szCs w:val="21"/>
          <w:highlight w:val="none"/>
        </w:rPr>
        <w:t>≥</w:t>
      </w:r>
      <w:r>
        <w:rPr>
          <w:rFonts w:ascii="Times New Roman" w:hAnsi="Times New Roman" w:cs="Calibri"/>
          <w:szCs w:val="21"/>
          <w:highlight w:val="none"/>
        </w:rPr>
        <w:t>95%）。</w:t>
      </w:r>
    </w:p>
    <w:p>
      <w:pPr>
        <w:spacing w:before="156" w:beforeLines="50" w:after="156" w:afterLines="50" w:line="300" w:lineRule="auto"/>
        <w:rPr>
          <w:rFonts w:ascii="Times New Roman" w:hAnsi="Times New Roman" w:cs="Calibri"/>
          <w:szCs w:val="21"/>
          <w:highlight w:val="none"/>
        </w:rPr>
      </w:pPr>
      <w:r>
        <w:rPr>
          <w:rFonts w:ascii="Times New Roman" w:hAnsi="Times New Roman" w:cs="Calibri"/>
          <w:szCs w:val="21"/>
          <w:highlight w:val="none"/>
        </w:rPr>
        <w:t>5.3 受试物</w:t>
      </w:r>
    </w:p>
    <w:p>
      <w:pPr>
        <w:spacing w:before="0" w:beforeLines="0" w:after="0" w:afterLines="0" w:line="300" w:lineRule="auto"/>
        <w:rPr>
          <w:rFonts w:ascii="Times New Roman" w:hAnsi="Times New Roman" w:cs="Calibri"/>
          <w:szCs w:val="21"/>
          <w:highlight w:val="none"/>
        </w:rPr>
      </w:pPr>
      <w:r>
        <w:rPr>
          <w:rFonts w:ascii="Times New Roman" w:hAnsi="Times New Roman" w:cs="Calibri"/>
          <w:szCs w:val="21"/>
          <w:highlight w:val="none"/>
        </w:rPr>
        <w:t>5.3.1</w:t>
      </w:r>
      <w:r>
        <w:rPr>
          <w:rFonts w:hint="eastAsia" w:ascii="Times New Roman" w:hAnsi="Times New Roman" w:cs="Calibri"/>
          <w:szCs w:val="21"/>
          <w:highlight w:val="none"/>
        </w:rPr>
        <w:t xml:space="preserve"> </w:t>
      </w:r>
      <w:r>
        <w:rPr>
          <w:rFonts w:ascii="Times New Roman" w:hAnsi="Times New Roman" w:cs="Calibri"/>
          <w:szCs w:val="21"/>
          <w:highlight w:val="none"/>
        </w:rPr>
        <w:t>溶剂的选择</w:t>
      </w:r>
    </w:p>
    <w:p>
      <w:pPr>
        <w:spacing w:line="300" w:lineRule="auto"/>
        <w:ind w:firstLine="420" w:firstLineChars="200"/>
        <w:rPr>
          <w:rFonts w:ascii="Times New Roman" w:hAnsi="Times New Roman" w:cs="Calibri"/>
          <w:szCs w:val="21"/>
          <w:highlight w:val="none"/>
        </w:rPr>
      </w:pPr>
      <w:r>
        <w:rPr>
          <w:rFonts w:ascii="Times New Roman" w:hAnsi="Times New Roman" w:cs="Calibri"/>
          <w:szCs w:val="21"/>
          <w:highlight w:val="none"/>
        </w:rPr>
        <w:t>溶剂首选乙腈，其次是pH</w:t>
      </w:r>
      <w:r>
        <w:rPr>
          <w:rFonts w:hint="eastAsia" w:ascii="Times New Roman" w:hAnsi="Times New Roman" w:cs="Calibri"/>
          <w:szCs w:val="21"/>
          <w:highlight w:val="none"/>
        </w:rPr>
        <w:t xml:space="preserve"> </w:t>
      </w:r>
      <w:r>
        <w:rPr>
          <w:rFonts w:ascii="Times New Roman" w:hAnsi="Times New Roman" w:cs="Calibri"/>
          <w:szCs w:val="21"/>
          <w:highlight w:val="none"/>
        </w:rPr>
        <w:t>7.5的磷酸盐缓冲液。二甲基亚砜可能导致肽二聚化，应避免使用。</w:t>
      </w:r>
    </w:p>
    <w:p>
      <w:pPr>
        <w:spacing w:before="0" w:beforeLines="0" w:after="0" w:afterLines="0" w:line="300" w:lineRule="auto"/>
        <w:rPr>
          <w:rFonts w:ascii="Times New Roman" w:hAnsi="Times New Roman" w:cs="Calibri"/>
          <w:szCs w:val="21"/>
          <w:highlight w:val="none"/>
        </w:rPr>
      </w:pPr>
      <w:r>
        <w:rPr>
          <w:rFonts w:ascii="Times New Roman" w:hAnsi="Times New Roman" w:cs="Calibri"/>
          <w:szCs w:val="21"/>
          <w:highlight w:val="none"/>
        </w:rPr>
        <w:t>5.3.2</w:t>
      </w:r>
      <w:r>
        <w:rPr>
          <w:rFonts w:hint="eastAsia" w:ascii="Times New Roman" w:hAnsi="Times New Roman" w:cs="Calibri"/>
          <w:szCs w:val="21"/>
          <w:highlight w:val="none"/>
        </w:rPr>
        <w:t xml:space="preserve"> </w:t>
      </w:r>
      <w:r>
        <w:rPr>
          <w:rFonts w:ascii="Times New Roman" w:hAnsi="Times New Roman" w:cs="Calibri"/>
          <w:szCs w:val="21"/>
          <w:highlight w:val="none"/>
        </w:rPr>
        <w:t>受试物</w:t>
      </w:r>
      <w:r>
        <w:rPr>
          <w:rFonts w:hint="eastAsia" w:ascii="Times New Roman" w:hAnsi="Times New Roman" w:cs="Calibri"/>
          <w:szCs w:val="21"/>
          <w:highlight w:val="none"/>
        </w:rPr>
        <w:t>溶液的</w:t>
      </w:r>
      <w:r>
        <w:rPr>
          <w:rFonts w:ascii="Times New Roman" w:hAnsi="Times New Roman" w:cs="Calibri"/>
          <w:szCs w:val="21"/>
          <w:highlight w:val="none"/>
        </w:rPr>
        <w:t>配制</w:t>
      </w:r>
    </w:p>
    <w:p>
      <w:pPr>
        <w:spacing w:line="300" w:lineRule="auto"/>
        <w:ind w:firstLine="420" w:firstLineChars="200"/>
        <w:rPr>
          <w:rFonts w:ascii="Times New Roman" w:hAnsi="Times New Roman" w:cs="Calibri"/>
          <w:szCs w:val="21"/>
          <w:highlight w:val="none"/>
        </w:rPr>
      </w:pPr>
      <w:r>
        <w:rPr>
          <w:rFonts w:ascii="Times New Roman" w:hAnsi="Times New Roman" w:cs="Calibri"/>
          <w:szCs w:val="21"/>
          <w:highlight w:val="none"/>
        </w:rPr>
        <w:t>进行试验前，应评估受试物的溶解度。溶解性可用肉眼鉴别，应形成澄清透明的溶液。一般</w:t>
      </w:r>
      <w:r>
        <w:rPr>
          <w:rFonts w:hint="eastAsia" w:ascii="Times New Roman" w:hAnsi="Times New Roman" w:cs="Calibri"/>
          <w:szCs w:val="21"/>
          <w:highlight w:val="none"/>
        </w:rPr>
        <w:t>受试物</w:t>
      </w:r>
      <w:r>
        <w:rPr>
          <w:rFonts w:ascii="Times New Roman" w:hAnsi="Times New Roman" w:cs="Calibri"/>
          <w:szCs w:val="21"/>
          <w:highlight w:val="none"/>
        </w:rPr>
        <w:t>最大</w:t>
      </w:r>
      <w:r>
        <w:rPr>
          <w:rFonts w:hint="eastAsia" w:ascii="Times New Roman" w:hAnsi="Times New Roman" w:cs="Calibri"/>
          <w:szCs w:val="21"/>
          <w:highlight w:val="none"/>
        </w:rPr>
        <w:t>配制</w:t>
      </w:r>
      <w:r>
        <w:rPr>
          <w:rFonts w:ascii="Times New Roman" w:hAnsi="Times New Roman" w:cs="Calibri"/>
          <w:szCs w:val="21"/>
          <w:highlight w:val="none"/>
        </w:rPr>
        <w:t>浓度为20 mM（应完全溶解）</w:t>
      </w:r>
      <w:r>
        <w:rPr>
          <w:rFonts w:hint="eastAsia" w:ascii="Times New Roman" w:hAnsi="Times New Roman" w:cs="Calibri"/>
          <w:szCs w:val="21"/>
          <w:highlight w:val="none"/>
        </w:rPr>
        <w:t>，对应反应体系终浓度为5 mM。试验时</w:t>
      </w:r>
      <w:r>
        <w:rPr>
          <w:rFonts w:ascii="Times New Roman" w:hAnsi="Times New Roman" w:cs="Calibri"/>
          <w:szCs w:val="21"/>
          <w:highlight w:val="none"/>
        </w:rPr>
        <w:t>用溶剂连续稀释以获得20、10、5、2.5和1.25 mM</w:t>
      </w:r>
      <w:r>
        <w:rPr>
          <w:rFonts w:hint="eastAsia" w:ascii="Times New Roman" w:hAnsi="Times New Roman" w:cs="Calibri"/>
          <w:szCs w:val="21"/>
          <w:highlight w:val="none"/>
        </w:rPr>
        <w:t>系列</w:t>
      </w:r>
      <w:r>
        <w:rPr>
          <w:rFonts w:ascii="Times New Roman" w:hAnsi="Times New Roman" w:cs="Calibri"/>
          <w:szCs w:val="21"/>
          <w:highlight w:val="none"/>
        </w:rPr>
        <w:t>浓度的受试物溶液。</w:t>
      </w:r>
    </w:p>
    <w:p>
      <w:pPr>
        <w:spacing w:line="300" w:lineRule="auto"/>
        <w:ind w:firstLine="420" w:firstLineChars="200"/>
        <w:rPr>
          <w:rFonts w:ascii="Times New Roman" w:hAnsi="Times New Roman" w:cs="Calibri"/>
          <w:szCs w:val="21"/>
          <w:highlight w:val="none"/>
        </w:rPr>
      </w:pPr>
      <w:r>
        <w:rPr>
          <w:rFonts w:ascii="Times New Roman" w:hAnsi="Times New Roman" w:cs="Calibri"/>
          <w:szCs w:val="21"/>
          <w:highlight w:val="none"/>
        </w:rPr>
        <w:t>20</w:t>
      </w:r>
      <w:r>
        <w:rPr>
          <w:rFonts w:hint="eastAsia" w:ascii="Times New Roman" w:hAnsi="Times New Roman" w:cs="Calibri"/>
          <w:szCs w:val="21"/>
          <w:highlight w:val="none"/>
        </w:rPr>
        <w:t xml:space="preserve"> </w:t>
      </w:r>
      <w:r>
        <w:rPr>
          <w:rFonts w:ascii="Times New Roman" w:hAnsi="Times New Roman" w:cs="Calibri"/>
          <w:szCs w:val="21"/>
          <w:highlight w:val="none"/>
        </w:rPr>
        <w:t>mM的受试物</w:t>
      </w:r>
      <w:r>
        <w:rPr>
          <w:rFonts w:hint="eastAsia" w:ascii="Times New Roman" w:hAnsi="Times New Roman" w:cs="Calibri"/>
          <w:szCs w:val="21"/>
          <w:highlight w:val="none"/>
        </w:rPr>
        <w:t>溶液应于试验当日配制</w:t>
      </w:r>
      <w:r>
        <w:rPr>
          <w:rFonts w:ascii="Times New Roman" w:hAnsi="Times New Roman" w:cs="Calibri"/>
          <w:szCs w:val="21"/>
          <w:highlight w:val="none"/>
        </w:rPr>
        <w:t>，</w:t>
      </w:r>
      <w:r>
        <w:rPr>
          <w:rFonts w:hint="eastAsia" w:ascii="Times New Roman" w:hAnsi="Times New Roman" w:cs="Calibri"/>
          <w:szCs w:val="21"/>
          <w:highlight w:val="none"/>
        </w:rPr>
        <w:t>否则应证明储存不影响其稳定性</w:t>
      </w:r>
      <w:r>
        <w:rPr>
          <w:rFonts w:ascii="Times New Roman" w:hAnsi="Times New Roman" w:cs="Calibri"/>
          <w:szCs w:val="21"/>
          <w:highlight w:val="none"/>
        </w:rPr>
        <w:t>。</w:t>
      </w:r>
      <w:r>
        <w:rPr>
          <w:rFonts w:hint="eastAsia" w:ascii="Times New Roman" w:hAnsi="Times New Roman" w:cs="Calibri"/>
          <w:szCs w:val="21"/>
          <w:highlight w:val="none"/>
        </w:rPr>
        <w:t>通常配制量为5 mL，受试物（阳性对照）理论</w:t>
      </w:r>
      <w:r>
        <w:rPr>
          <w:rFonts w:ascii="Times New Roman" w:hAnsi="Times New Roman" w:cs="Calibri"/>
          <w:szCs w:val="21"/>
          <w:highlight w:val="none"/>
        </w:rPr>
        <w:t>称取量</w:t>
      </w:r>
      <w:r>
        <w:rPr>
          <w:rFonts w:hint="eastAsia" w:ascii="Times New Roman" w:hAnsi="Times New Roman" w:cs="Calibri"/>
          <w:szCs w:val="21"/>
          <w:highlight w:val="none"/>
        </w:rPr>
        <w:t>为分子量×0.1 mg（以纯物质计）。</w:t>
      </w:r>
    </w:p>
    <w:p>
      <w:pPr>
        <w:spacing w:line="300" w:lineRule="auto"/>
        <w:ind w:firstLine="420" w:firstLineChars="200"/>
        <w:rPr>
          <w:rFonts w:ascii="Times New Roman" w:hAnsi="Times New Roman" w:cs="Calibri"/>
          <w:szCs w:val="21"/>
          <w:highlight w:val="none"/>
        </w:rPr>
      </w:pPr>
      <w:r>
        <w:rPr>
          <w:rFonts w:ascii="Times New Roman" w:hAnsi="Times New Roman" w:cs="Calibri"/>
          <w:szCs w:val="21"/>
          <w:highlight w:val="none"/>
        </w:rPr>
        <w:t>kDPRA在技术上适用于成分和含量明确的多</w:t>
      </w:r>
      <w:r>
        <w:rPr>
          <w:rFonts w:hint="eastAsia" w:ascii="Times New Roman" w:hAnsi="Times New Roman" w:cs="Calibri"/>
          <w:szCs w:val="21"/>
          <w:highlight w:val="none"/>
        </w:rPr>
        <w:t>成</w:t>
      </w:r>
      <w:r>
        <w:rPr>
          <w:rFonts w:ascii="Times New Roman" w:hAnsi="Times New Roman" w:cs="Calibri"/>
          <w:szCs w:val="21"/>
          <w:highlight w:val="none"/>
        </w:rPr>
        <w:t>分物质和混合物的测试，此时，可以根据不同组分（不包括水）的占比和分子量计算受试物总的纯度和</w:t>
      </w:r>
      <w:r>
        <w:rPr>
          <w:rFonts w:hint="eastAsia" w:ascii="Times New Roman" w:hAnsi="Times New Roman" w:cs="Calibri"/>
          <w:szCs w:val="21"/>
          <w:highlight w:val="none"/>
        </w:rPr>
        <w:t>单一的</w:t>
      </w:r>
      <w:r>
        <w:rPr>
          <w:rFonts w:ascii="Times New Roman" w:hAnsi="Times New Roman" w:cs="Calibri"/>
          <w:szCs w:val="21"/>
          <w:highlight w:val="none"/>
        </w:rPr>
        <w:t>表观分子量，用于计算制备20</w:t>
      </w:r>
      <w:r>
        <w:rPr>
          <w:rFonts w:hint="eastAsia" w:ascii="Times New Roman" w:hAnsi="Times New Roman" w:cs="Calibri"/>
          <w:szCs w:val="21"/>
          <w:highlight w:val="none"/>
        </w:rPr>
        <w:t xml:space="preserve"> </w:t>
      </w:r>
      <w:r>
        <w:rPr>
          <w:rFonts w:ascii="Times New Roman" w:hAnsi="Times New Roman" w:cs="Calibri"/>
          <w:szCs w:val="21"/>
          <w:highlight w:val="none"/>
        </w:rPr>
        <w:t>mM溶液的取样量。</w:t>
      </w:r>
    </w:p>
    <w:p>
      <w:pPr>
        <w:spacing w:before="0" w:beforeLines="0" w:after="0" w:afterLines="0" w:line="300" w:lineRule="auto"/>
        <w:rPr>
          <w:rFonts w:ascii="Times New Roman" w:hAnsi="Times New Roman" w:cs="Calibri"/>
          <w:szCs w:val="21"/>
          <w:highlight w:val="none"/>
        </w:rPr>
      </w:pPr>
      <w:r>
        <w:rPr>
          <w:rFonts w:ascii="Times New Roman" w:hAnsi="Times New Roman" w:cs="Calibri"/>
          <w:szCs w:val="21"/>
          <w:highlight w:val="none"/>
        </w:rPr>
        <w:t xml:space="preserve">5.3.3 </w:t>
      </w:r>
      <w:r>
        <w:rPr>
          <w:rFonts w:hint="eastAsia" w:ascii="Times New Roman" w:hAnsi="Times New Roman" w:cs="Calibri"/>
          <w:szCs w:val="21"/>
          <w:highlight w:val="none"/>
        </w:rPr>
        <w:t>阳性对照溶液的配制</w:t>
      </w:r>
    </w:p>
    <w:p>
      <w:pPr>
        <w:spacing w:line="300" w:lineRule="auto"/>
        <w:ind w:firstLine="420" w:firstLineChars="200"/>
        <w:rPr>
          <w:rFonts w:ascii="Times New Roman" w:hAnsi="Times New Roman" w:cs="Calibri"/>
          <w:szCs w:val="21"/>
          <w:highlight w:val="none"/>
        </w:rPr>
      </w:pPr>
      <w:bookmarkStart w:id="12" w:name="OLE_LINK55"/>
      <w:r>
        <w:rPr>
          <w:rFonts w:hint="eastAsia" w:ascii="Times New Roman" w:hAnsi="Times New Roman" w:cs="Calibri"/>
          <w:szCs w:val="21"/>
          <w:highlight w:val="none"/>
        </w:rPr>
        <w:t>按受试物溶液的配制方法，</w:t>
      </w:r>
      <w:r>
        <w:rPr>
          <w:rFonts w:ascii="Times New Roman" w:hAnsi="Times New Roman" w:cs="Calibri"/>
          <w:szCs w:val="21"/>
          <w:highlight w:val="none"/>
        </w:rPr>
        <w:t>用乙腈溶解</w:t>
      </w:r>
      <w:r>
        <w:rPr>
          <w:rFonts w:hint="eastAsia" w:ascii="Times New Roman" w:hAnsi="Times New Roman" w:cs="Calibri"/>
          <w:szCs w:val="21"/>
          <w:highlight w:val="none"/>
        </w:rPr>
        <w:t>阳性对照物</w:t>
      </w:r>
      <w:r>
        <w:rPr>
          <w:rFonts w:ascii="Times New Roman" w:hAnsi="Times New Roman" w:cs="Calibri"/>
          <w:szCs w:val="21"/>
          <w:highlight w:val="none"/>
        </w:rPr>
        <w:t>制成</w:t>
      </w:r>
      <w:bookmarkStart w:id="13" w:name="OLE_LINK1"/>
      <w:r>
        <w:rPr>
          <w:rFonts w:ascii="Times New Roman" w:hAnsi="Times New Roman" w:cs="Calibri"/>
          <w:szCs w:val="21"/>
          <w:highlight w:val="none"/>
        </w:rPr>
        <w:t>20</w:t>
      </w:r>
      <w:r>
        <w:rPr>
          <w:rFonts w:hint="eastAsia" w:ascii="Times New Roman" w:hAnsi="Times New Roman" w:cs="Calibri"/>
          <w:szCs w:val="21"/>
          <w:highlight w:val="none"/>
        </w:rPr>
        <w:t xml:space="preserve"> </w:t>
      </w:r>
      <w:r>
        <w:rPr>
          <w:rFonts w:ascii="Times New Roman" w:hAnsi="Times New Roman" w:cs="Calibri"/>
          <w:szCs w:val="21"/>
          <w:highlight w:val="none"/>
        </w:rPr>
        <w:t>mM</w:t>
      </w:r>
      <w:bookmarkEnd w:id="13"/>
      <w:r>
        <w:rPr>
          <w:rFonts w:ascii="Times New Roman" w:hAnsi="Times New Roman" w:cs="Calibri"/>
          <w:szCs w:val="21"/>
          <w:highlight w:val="none"/>
        </w:rPr>
        <w:t>浓度的溶液</w:t>
      </w:r>
      <w:r>
        <w:rPr>
          <w:rFonts w:hint="eastAsia" w:ascii="Times New Roman" w:hAnsi="Times New Roman" w:cs="Calibri"/>
          <w:szCs w:val="21"/>
          <w:highlight w:val="none"/>
        </w:rPr>
        <w:t>，并稀释得到</w:t>
      </w:r>
      <w:r>
        <w:rPr>
          <w:rFonts w:ascii="Times New Roman" w:hAnsi="Times New Roman" w:cs="Calibri"/>
          <w:szCs w:val="21"/>
          <w:highlight w:val="none"/>
        </w:rPr>
        <w:t>20</w:t>
      </w:r>
      <w:r>
        <w:rPr>
          <w:rFonts w:hint="eastAsia" w:ascii="Times New Roman" w:hAnsi="Times New Roman" w:cs="Calibri"/>
          <w:szCs w:val="21"/>
          <w:highlight w:val="none"/>
        </w:rPr>
        <w:t>、</w:t>
      </w:r>
      <w:r>
        <w:rPr>
          <w:rFonts w:ascii="Times New Roman" w:hAnsi="Times New Roman" w:cs="Calibri"/>
          <w:szCs w:val="21"/>
          <w:highlight w:val="none"/>
        </w:rPr>
        <w:t>10、5、2.5和1.25 mM</w:t>
      </w:r>
      <w:r>
        <w:rPr>
          <w:rFonts w:hint="eastAsia" w:ascii="Times New Roman" w:hAnsi="Times New Roman" w:cs="Calibri"/>
          <w:szCs w:val="21"/>
          <w:highlight w:val="none"/>
        </w:rPr>
        <w:t>系列</w:t>
      </w:r>
      <w:r>
        <w:rPr>
          <w:rFonts w:ascii="Times New Roman" w:hAnsi="Times New Roman" w:cs="Calibri"/>
          <w:szCs w:val="21"/>
          <w:highlight w:val="none"/>
        </w:rPr>
        <w:t>浓度的溶液</w:t>
      </w:r>
      <w:r>
        <w:rPr>
          <w:rFonts w:hint="eastAsia" w:ascii="Times New Roman" w:hAnsi="Times New Roman" w:cs="Calibri"/>
          <w:szCs w:val="21"/>
          <w:highlight w:val="none"/>
        </w:rPr>
        <w:t>。</w:t>
      </w:r>
    </w:p>
    <w:bookmarkEnd w:id="12"/>
    <w:p>
      <w:pPr>
        <w:spacing w:before="156" w:beforeLines="50" w:after="156" w:afterLines="50" w:line="300" w:lineRule="auto"/>
        <w:rPr>
          <w:rFonts w:ascii="Times New Roman" w:hAnsi="Times New Roman" w:cs="Calibri"/>
          <w:szCs w:val="21"/>
          <w:highlight w:val="none"/>
        </w:rPr>
      </w:pPr>
      <w:r>
        <w:rPr>
          <w:rFonts w:ascii="Times New Roman" w:hAnsi="Times New Roman" w:cs="Calibri"/>
          <w:szCs w:val="21"/>
          <w:highlight w:val="none"/>
        </w:rPr>
        <w:t>5</w:t>
      </w:r>
      <w:r>
        <w:rPr>
          <w:rFonts w:hint="eastAsia" w:ascii="Times New Roman" w:hAnsi="Times New Roman" w:cs="Calibri"/>
          <w:szCs w:val="21"/>
          <w:highlight w:val="none"/>
        </w:rPr>
        <w:t>.4</w:t>
      </w:r>
      <w:r>
        <w:rPr>
          <w:rFonts w:ascii="Times New Roman" w:hAnsi="Times New Roman" w:cs="Calibri"/>
          <w:szCs w:val="21"/>
          <w:highlight w:val="none"/>
        </w:rPr>
        <w:t xml:space="preserve"> 多肽贮备液的配制</w:t>
      </w:r>
    </w:p>
    <w:p>
      <w:pPr>
        <w:spacing w:line="380" w:lineRule="exact"/>
        <w:ind w:firstLine="420" w:firstLineChars="200"/>
        <w:rPr>
          <w:rFonts w:ascii="Times New Roman" w:hAnsi="Times New Roman" w:cs="Calibri"/>
          <w:szCs w:val="21"/>
          <w:highlight w:val="none"/>
        </w:rPr>
      </w:pPr>
      <w:r>
        <w:rPr>
          <w:rFonts w:ascii="Times New Roman" w:hAnsi="Times New Roman" w:cs="Calibri"/>
          <w:szCs w:val="21"/>
          <w:highlight w:val="none"/>
        </w:rPr>
        <w:t>称取适量半胱氨酸多肽，用pH</w:t>
      </w:r>
      <w:r>
        <w:rPr>
          <w:rFonts w:hint="eastAsia" w:ascii="Times New Roman" w:hAnsi="Times New Roman" w:cs="Calibri"/>
          <w:szCs w:val="21"/>
          <w:highlight w:val="none"/>
        </w:rPr>
        <w:t xml:space="preserve"> </w:t>
      </w:r>
      <w:r>
        <w:rPr>
          <w:rFonts w:ascii="Times New Roman" w:hAnsi="Times New Roman" w:cs="Calibri"/>
          <w:szCs w:val="21"/>
          <w:highlight w:val="none"/>
        </w:rPr>
        <w:t>7.5的磷酸盐缓冲液配制成0.667 mM（0.501 mg/mL）的溶液。孵育前新鲜配制，配制时使用涡旋仪震荡溶解，必要时可用超声溶解，应在冰浴中进行，防止多肽降解。</w:t>
      </w:r>
    </w:p>
    <w:p>
      <w:pPr>
        <w:spacing w:line="380" w:lineRule="exact"/>
        <w:ind w:firstLine="420" w:firstLineChars="200"/>
        <w:rPr>
          <w:rFonts w:ascii="Times New Roman" w:hAnsi="Times New Roman" w:cs="Calibri"/>
          <w:szCs w:val="21"/>
          <w:highlight w:val="none"/>
        </w:rPr>
      </w:pPr>
      <w:r>
        <w:rPr>
          <w:rFonts w:ascii="Times New Roman" w:hAnsi="Times New Roman" w:cs="Calibri"/>
          <w:szCs w:val="21"/>
          <w:highlight w:val="none"/>
        </w:rPr>
        <w:t>pH</w:t>
      </w:r>
      <w:r>
        <w:rPr>
          <w:rFonts w:hint="eastAsia" w:ascii="Times New Roman" w:hAnsi="Times New Roman" w:cs="Calibri"/>
          <w:szCs w:val="21"/>
          <w:highlight w:val="none"/>
        </w:rPr>
        <w:t xml:space="preserve"> </w:t>
      </w:r>
      <w:r>
        <w:rPr>
          <w:rFonts w:ascii="Times New Roman" w:hAnsi="Times New Roman" w:cs="Calibri"/>
          <w:szCs w:val="21"/>
          <w:highlight w:val="none"/>
        </w:rPr>
        <w:t>7.5磷酸盐缓冲液：取0.1 mol/L磷酸二氢钠溶液18</w:t>
      </w:r>
      <w:r>
        <w:rPr>
          <w:rFonts w:hint="eastAsia" w:ascii="Times New Roman" w:hAnsi="Times New Roman" w:cs="Calibri"/>
          <w:szCs w:val="21"/>
          <w:highlight w:val="none"/>
        </w:rPr>
        <w:t xml:space="preserve"> </w:t>
      </w:r>
      <w:r>
        <w:rPr>
          <w:rFonts w:ascii="Times New Roman" w:hAnsi="Times New Roman" w:cs="Calibri"/>
          <w:szCs w:val="21"/>
          <w:highlight w:val="none"/>
        </w:rPr>
        <w:t>mL</w:t>
      </w:r>
      <w:r>
        <w:rPr>
          <w:rFonts w:hint="eastAsia" w:ascii="Times New Roman" w:hAnsi="Times New Roman" w:cs="Calibri"/>
          <w:szCs w:val="21"/>
          <w:highlight w:val="none"/>
        </w:rPr>
        <w:t>，</w:t>
      </w:r>
      <w:r>
        <w:rPr>
          <w:rFonts w:ascii="Times New Roman" w:hAnsi="Times New Roman" w:cs="Calibri"/>
          <w:szCs w:val="21"/>
          <w:highlight w:val="none"/>
        </w:rPr>
        <w:t>加0.1 mol/L磷酸氢二钠溶液82</w:t>
      </w:r>
      <w:r>
        <w:rPr>
          <w:rFonts w:hint="eastAsia" w:ascii="Times New Roman" w:hAnsi="Times New Roman" w:cs="Calibri"/>
          <w:szCs w:val="21"/>
          <w:highlight w:val="none"/>
        </w:rPr>
        <w:t xml:space="preserve"> </w:t>
      </w:r>
      <w:r>
        <w:rPr>
          <w:rFonts w:ascii="Times New Roman" w:hAnsi="Times New Roman" w:cs="Calibri"/>
          <w:szCs w:val="21"/>
          <w:highlight w:val="none"/>
        </w:rPr>
        <w:t>mL混合，测定pH值，应在7.50</w:t>
      </w:r>
      <w:r>
        <w:rPr>
          <w:rFonts w:hint="eastAsia" w:ascii="Times New Roman" w:hAnsi="Times New Roman" w:cs="Calibri"/>
          <w:szCs w:val="21"/>
          <w:highlight w:val="none"/>
        </w:rPr>
        <w:t xml:space="preserve"> </w:t>
      </w:r>
      <w:r>
        <w:rPr>
          <w:rFonts w:ascii="Times New Roman" w:hAnsi="Times New Roman" w:cs="Calibri"/>
          <w:szCs w:val="21"/>
          <w:highlight w:val="none"/>
        </w:rPr>
        <w:t>±</w:t>
      </w:r>
      <w:r>
        <w:rPr>
          <w:rFonts w:hint="eastAsia" w:ascii="Times New Roman" w:hAnsi="Times New Roman" w:cs="Calibri"/>
          <w:szCs w:val="21"/>
          <w:highlight w:val="none"/>
        </w:rPr>
        <w:t xml:space="preserve"> </w:t>
      </w:r>
      <w:r>
        <w:rPr>
          <w:rFonts w:ascii="Times New Roman" w:hAnsi="Times New Roman" w:cs="Calibri"/>
          <w:szCs w:val="21"/>
          <w:highlight w:val="none"/>
        </w:rPr>
        <w:t>0.05之间。若偏酸性，加入0.1 mol/L磷酸氢二钠溶液进行调节。若偏碱性，加入0.1 mol/L磷酸二氢钠溶液进行调节，4</w:t>
      </w:r>
      <w:r>
        <w:rPr>
          <w:rFonts w:hint="eastAsia" w:asciiTheme="minorEastAsia" w:hAnsiTheme="minorEastAsia" w:eastAsiaTheme="minorEastAsia" w:cstheme="minorEastAsia"/>
          <w:szCs w:val="21"/>
          <w:highlight w:val="none"/>
        </w:rPr>
        <w:t>℃</w:t>
      </w:r>
      <w:r>
        <w:rPr>
          <w:rFonts w:ascii="Times New Roman" w:hAnsi="Times New Roman" w:cs="Calibri"/>
          <w:szCs w:val="21"/>
          <w:highlight w:val="none"/>
        </w:rPr>
        <w:t>保存，可在4周内使用。</w:t>
      </w:r>
    </w:p>
    <w:p>
      <w:pPr>
        <w:spacing w:before="156" w:beforeLines="50" w:after="156" w:afterLines="50" w:line="380" w:lineRule="exact"/>
        <w:rPr>
          <w:rFonts w:ascii="Times New Roman" w:hAnsi="Times New Roman" w:cs="Calibri"/>
          <w:szCs w:val="21"/>
          <w:highlight w:val="none"/>
        </w:rPr>
      </w:pPr>
      <w:r>
        <w:rPr>
          <w:rFonts w:ascii="Times New Roman" w:hAnsi="Times New Roman" w:cs="Calibri"/>
          <w:szCs w:val="21"/>
          <w:highlight w:val="none"/>
        </w:rPr>
        <w:t>5.</w:t>
      </w:r>
      <w:r>
        <w:rPr>
          <w:rFonts w:hint="eastAsia" w:ascii="Times New Roman" w:hAnsi="Times New Roman" w:cs="Calibri"/>
          <w:szCs w:val="21"/>
          <w:highlight w:val="none"/>
        </w:rPr>
        <w:t>5</w:t>
      </w:r>
      <w:r>
        <w:rPr>
          <w:rFonts w:ascii="Times New Roman" w:hAnsi="Times New Roman" w:cs="Calibri"/>
          <w:szCs w:val="21"/>
          <w:highlight w:val="none"/>
        </w:rPr>
        <w:t xml:space="preserve"> </w:t>
      </w:r>
      <w:bookmarkStart w:id="14" w:name="OLE_LINK16"/>
      <w:r>
        <w:rPr>
          <w:rFonts w:ascii="Times New Roman" w:hAnsi="Times New Roman" w:cs="Calibri"/>
          <w:szCs w:val="21"/>
          <w:highlight w:val="none"/>
        </w:rPr>
        <w:t>单溴二胺</w:t>
      </w:r>
      <w:bookmarkEnd w:id="14"/>
      <w:r>
        <w:rPr>
          <w:rFonts w:ascii="Times New Roman" w:hAnsi="Times New Roman" w:cs="Calibri"/>
          <w:szCs w:val="21"/>
          <w:highlight w:val="none"/>
        </w:rPr>
        <w:t>溶液的配制</w:t>
      </w:r>
    </w:p>
    <w:p>
      <w:pPr>
        <w:spacing w:line="380" w:lineRule="exact"/>
        <w:ind w:firstLine="420" w:firstLineChars="200"/>
        <w:rPr>
          <w:rFonts w:ascii="Times New Roman" w:hAnsi="Times New Roman" w:cs="Calibri"/>
          <w:szCs w:val="21"/>
          <w:highlight w:val="none"/>
        </w:rPr>
      </w:pPr>
      <w:r>
        <w:rPr>
          <w:rFonts w:ascii="Times New Roman" w:hAnsi="Times New Roman" w:cs="Calibri"/>
          <w:szCs w:val="21"/>
          <w:highlight w:val="none"/>
        </w:rPr>
        <w:t>称取8.1</w:t>
      </w:r>
      <w:r>
        <w:rPr>
          <w:rFonts w:hint="eastAsia" w:ascii="Times New Roman" w:hAnsi="Times New Roman" w:cs="Calibri"/>
          <w:szCs w:val="21"/>
          <w:highlight w:val="none"/>
        </w:rPr>
        <w:t xml:space="preserve"> </w:t>
      </w:r>
      <w:r>
        <w:rPr>
          <w:rFonts w:ascii="Times New Roman" w:hAnsi="Times New Roman" w:cs="Calibri"/>
          <w:szCs w:val="21"/>
          <w:highlight w:val="none"/>
        </w:rPr>
        <w:t>mg单溴二胺置于10</w:t>
      </w:r>
      <w:r>
        <w:rPr>
          <w:rFonts w:hint="eastAsia" w:ascii="Times New Roman" w:hAnsi="Times New Roman" w:cs="Calibri"/>
          <w:szCs w:val="21"/>
          <w:highlight w:val="none"/>
        </w:rPr>
        <w:t xml:space="preserve"> </w:t>
      </w:r>
      <w:r>
        <w:rPr>
          <w:rFonts w:ascii="Times New Roman" w:hAnsi="Times New Roman" w:cs="Calibri"/>
          <w:szCs w:val="21"/>
          <w:highlight w:val="none"/>
        </w:rPr>
        <w:t>mL容量瓶中，用乙腈定容至刻度，制成3</w:t>
      </w:r>
      <w:r>
        <w:rPr>
          <w:rFonts w:hint="eastAsia" w:ascii="Times New Roman" w:hAnsi="Times New Roman" w:cs="Calibri"/>
          <w:szCs w:val="21"/>
          <w:highlight w:val="none"/>
        </w:rPr>
        <w:t xml:space="preserve"> </w:t>
      </w:r>
      <w:r>
        <w:rPr>
          <w:rFonts w:ascii="Times New Roman" w:hAnsi="Times New Roman" w:cs="Calibri"/>
          <w:szCs w:val="21"/>
          <w:highlight w:val="none"/>
        </w:rPr>
        <w:t>mM单溴二胺溶液。现用现配，避光保存。</w:t>
      </w:r>
    </w:p>
    <w:p>
      <w:pPr>
        <w:spacing w:before="156" w:beforeLines="50" w:after="156" w:afterLines="50" w:line="380" w:lineRule="exact"/>
        <w:outlineLvl w:val="2"/>
        <w:rPr>
          <w:rFonts w:ascii="Times New Roman" w:hAnsi="Times New Roman" w:eastAsia="黑体" w:cs="Calibri"/>
          <w:szCs w:val="21"/>
          <w:highlight w:val="none"/>
        </w:rPr>
      </w:pPr>
      <w:bookmarkStart w:id="15" w:name="_Toc9209"/>
      <w:bookmarkStart w:id="16" w:name="_Toc16854"/>
      <w:r>
        <w:rPr>
          <w:rFonts w:ascii="Times New Roman" w:hAnsi="Times New Roman" w:eastAsia="黑体" w:cs="Calibri"/>
          <w:szCs w:val="21"/>
          <w:highlight w:val="none"/>
        </w:rPr>
        <w:t xml:space="preserve">6 </w:t>
      </w:r>
      <w:bookmarkEnd w:id="15"/>
      <w:r>
        <w:rPr>
          <w:rFonts w:ascii="Times New Roman" w:hAnsi="Times New Roman" w:eastAsia="黑体" w:cs="Calibri"/>
          <w:szCs w:val="21"/>
          <w:highlight w:val="none"/>
        </w:rPr>
        <w:t>试验步骤</w:t>
      </w:r>
      <w:bookmarkEnd w:id="16"/>
    </w:p>
    <w:p>
      <w:pPr>
        <w:spacing w:before="156" w:beforeLines="50" w:after="156" w:afterLines="50" w:line="380" w:lineRule="exact"/>
        <w:rPr>
          <w:rFonts w:ascii="Times New Roman" w:hAnsi="Times New Roman" w:cs="Calibri"/>
          <w:szCs w:val="21"/>
          <w:highlight w:val="none"/>
        </w:rPr>
      </w:pPr>
      <w:r>
        <w:rPr>
          <w:rFonts w:ascii="Times New Roman" w:hAnsi="Times New Roman" w:cs="Calibri"/>
          <w:szCs w:val="21"/>
          <w:highlight w:val="none"/>
        </w:rPr>
        <w:t>6.1 试验设计</w:t>
      </w:r>
    </w:p>
    <w:p>
      <w:pPr>
        <w:spacing w:line="380" w:lineRule="exact"/>
        <w:ind w:firstLine="420" w:firstLineChars="200"/>
        <w:rPr>
          <w:rFonts w:ascii="Times New Roman" w:hAnsi="Times New Roman" w:cs="Calibri"/>
          <w:szCs w:val="21"/>
          <w:highlight w:val="none"/>
        </w:rPr>
      </w:pPr>
      <w:r>
        <w:rPr>
          <w:rFonts w:ascii="Times New Roman" w:hAnsi="Times New Roman" w:cs="Calibri"/>
          <w:szCs w:val="21"/>
          <w:highlight w:val="none"/>
        </w:rPr>
        <w:t>试验设置受试物组（</w:t>
      </w:r>
      <w:r>
        <w:rPr>
          <w:rFonts w:hint="eastAsia" w:ascii="Times New Roman" w:hAnsi="Times New Roman" w:cs="Calibri"/>
          <w:szCs w:val="21"/>
          <w:highlight w:val="none"/>
        </w:rPr>
        <w:t>终</w:t>
      </w:r>
      <w:r>
        <w:rPr>
          <w:rFonts w:ascii="Times New Roman" w:hAnsi="Times New Roman" w:cs="Calibri"/>
          <w:szCs w:val="21"/>
          <w:highlight w:val="none"/>
        </w:rPr>
        <w:t>浓度为0.31 mM、0.63 mM、1.25 mM、2.5 mM、5 mM）、阳性对照组（positive control</w:t>
      </w:r>
      <w:r>
        <w:rPr>
          <w:rFonts w:hint="eastAsia" w:ascii="Times New Roman" w:hAnsi="Times New Roman" w:cs="Calibri"/>
          <w:szCs w:val="21"/>
          <w:highlight w:val="none"/>
        </w:rPr>
        <w:t>，</w:t>
      </w:r>
      <w:r>
        <w:rPr>
          <w:rFonts w:ascii="Times New Roman" w:hAnsi="Times New Roman" w:cs="Calibri"/>
          <w:szCs w:val="21"/>
          <w:highlight w:val="none"/>
        </w:rPr>
        <w:t>PC）、受试物对照组（</w:t>
      </w:r>
      <w:r>
        <w:rPr>
          <w:rFonts w:hint="eastAsia" w:ascii="Times New Roman" w:hAnsi="Times New Roman" w:cs="Calibri"/>
          <w:szCs w:val="21"/>
          <w:highlight w:val="none"/>
        </w:rPr>
        <w:t>substance</w:t>
      </w:r>
      <w:r>
        <w:rPr>
          <w:rFonts w:hint="eastAsia" w:ascii="Times New Roman" w:hAnsi="Times New Roman" w:cs="Calibri"/>
          <w:b/>
          <w:bCs/>
          <w:szCs w:val="21"/>
          <w:highlight w:val="none"/>
        </w:rPr>
        <w:t xml:space="preserve"> </w:t>
      </w:r>
      <w:r>
        <w:rPr>
          <w:rFonts w:ascii="Times New Roman" w:hAnsi="Times New Roman" w:cs="Calibri"/>
          <w:szCs w:val="21"/>
          <w:highlight w:val="none"/>
        </w:rPr>
        <w:t>control</w:t>
      </w:r>
      <w:r>
        <w:rPr>
          <w:rFonts w:hint="eastAsia" w:ascii="Times New Roman" w:hAnsi="Times New Roman" w:cs="Calibri"/>
          <w:szCs w:val="21"/>
          <w:highlight w:val="none"/>
        </w:rPr>
        <w:t>，</w:t>
      </w:r>
      <w:r>
        <w:rPr>
          <w:rFonts w:ascii="Times New Roman" w:hAnsi="Times New Roman" w:cs="Calibri"/>
          <w:szCs w:val="21"/>
          <w:highlight w:val="none"/>
        </w:rPr>
        <w:t>SC）、溶剂对照组（vehicle control</w:t>
      </w:r>
      <w:r>
        <w:rPr>
          <w:rFonts w:hint="eastAsia" w:ascii="Times New Roman" w:hAnsi="Times New Roman" w:cs="Calibri"/>
          <w:szCs w:val="21"/>
          <w:highlight w:val="none"/>
        </w:rPr>
        <w:t>，</w:t>
      </w:r>
      <w:r>
        <w:rPr>
          <w:rFonts w:ascii="Times New Roman" w:hAnsi="Times New Roman" w:cs="Calibri"/>
          <w:szCs w:val="21"/>
          <w:highlight w:val="none"/>
        </w:rPr>
        <w:t>VC）和空白对照组（blank control</w:t>
      </w:r>
      <w:r>
        <w:rPr>
          <w:rFonts w:hint="eastAsia" w:ascii="Times New Roman" w:hAnsi="Times New Roman" w:cs="Calibri"/>
          <w:szCs w:val="21"/>
          <w:highlight w:val="none"/>
        </w:rPr>
        <w:t>，</w:t>
      </w:r>
      <w:r>
        <w:rPr>
          <w:rFonts w:ascii="Times New Roman" w:hAnsi="Times New Roman" w:cs="Calibri"/>
          <w:szCs w:val="21"/>
          <w:highlight w:val="none"/>
        </w:rPr>
        <w:t>BC），其中受试物组每个浓度3个重复，VC组、BC组12个重复，PC和SC每个浓度一个孔</w:t>
      </w:r>
      <w:r>
        <w:rPr>
          <w:rFonts w:hint="eastAsia" w:ascii="Times New Roman" w:hAnsi="Times New Roman" w:cs="Calibri"/>
          <w:szCs w:val="21"/>
          <w:highlight w:val="none"/>
        </w:rPr>
        <w:t>。</w:t>
      </w:r>
      <w:r>
        <w:rPr>
          <w:rFonts w:ascii="Times New Roman" w:hAnsi="Times New Roman" w:cs="Calibri"/>
          <w:szCs w:val="21"/>
          <w:highlight w:val="none"/>
        </w:rPr>
        <w:t>以3个受试物（A、B、C）为例</w:t>
      </w:r>
      <w:r>
        <w:rPr>
          <w:rFonts w:hint="eastAsia" w:ascii="Times New Roman" w:hAnsi="Times New Roman" w:cs="Calibri"/>
          <w:szCs w:val="21"/>
          <w:highlight w:val="none"/>
        </w:rPr>
        <w:t>加样示例参见</w:t>
      </w:r>
      <w:r>
        <w:rPr>
          <w:rFonts w:ascii="Times New Roman" w:hAnsi="Times New Roman" w:cs="Calibri"/>
          <w:szCs w:val="21"/>
          <w:highlight w:val="none"/>
        </w:rPr>
        <w:t>图1。</w:t>
      </w:r>
    </w:p>
    <w:tbl>
      <w:tblPr>
        <w:tblStyle w:val="8"/>
        <w:tblpPr w:leftFromText="180" w:rightFromText="180" w:vertAnchor="text" w:horzAnchor="page" w:tblpX="1544" w:tblpY="166"/>
        <w:tblOverlap w:val="never"/>
        <w:tblW w:w="907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7"/>
        <w:gridCol w:w="717"/>
        <w:gridCol w:w="122"/>
        <w:gridCol w:w="671"/>
        <w:gridCol w:w="109"/>
        <w:gridCol w:w="763"/>
        <w:gridCol w:w="721"/>
        <w:gridCol w:w="92"/>
        <w:gridCol w:w="687"/>
        <w:gridCol w:w="86"/>
        <w:gridCol w:w="592"/>
        <w:gridCol w:w="685"/>
        <w:gridCol w:w="702"/>
        <w:gridCol w:w="685"/>
        <w:gridCol w:w="703"/>
        <w:gridCol w:w="703"/>
        <w:gridCol w:w="7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" w:hRule="atLeast"/>
        </w:trPr>
        <w:tc>
          <w:tcPr>
            <w:tcW w:w="327" w:type="dxa"/>
            <w:shd w:val="clear" w:color="auto" w:fill="FFFFFF"/>
            <w:vAlign w:val="center"/>
          </w:tcPr>
          <w:p>
            <w:pPr>
              <w:snapToGrid w:val="0"/>
              <w:spacing w:line="300" w:lineRule="auto"/>
              <w:rPr>
                <w:rFonts w:ascii="Times New Roman" w:hAnsi="Times New Roman" w:cs="Calibri"/>
                <w:sz w:val="18"/>
                <w:szCs w:val="18"/>
                <w:highlight w:val="none"/>
              </w:rPr>
            </w:pPr>
          </w:p>
        </w:tc>
        <w:tc>
          <w:tcPr>
            <w:tcW w:w="717" w:type="dxa"/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Calibri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Calibri"/>
                <w:sz w:val="18"/>
                <w:szCs w:val="18"/>
                <w:highlight w:val="none"/>
              </w:rPr>
              <w:t>1</w:t>
            </w:r>
          </w:p>
        </w:tc>
        <w:tc>
          <w:tcPr>
            <w:tcW w:w="793" w:type="dxa"/>
            <w:gridSpan w:val="2"/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Calibri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Calibri"/>
                <w:sz w:val="18"/>
                <w:szCs w:val="18"/>
                <w:highlight w:val="none"/>
              </w:rPr>
              <w:t>2</w:t>
            </w:r>
          </w:p>
        </w:tc>
        <w:tc>
          <w:tcPr>
            <w:tcW w:w="872" w:type="dxa"/>
            <w:gridSpan w:val="2"/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Calibri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Calibri"/>
                <w:sz w:val="18"/>
                <w:szCs w:val="18"/>
                <w:highlight w:val="none"/>
              </w:rPr>
              <w:t>3</w:t>
            </w:r>
          </w:p>
        </w:tc>
        <w:tc>
          <w:tcPr>
            <w:tcW w:w="721" w:type="dxa"/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Calibri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Calibri"/>
                <w:sz w:val="18"/>
                <w:szCs w:val="18"/>
                <w:highlight w:val="none"/>
              </w:rPr>
              <w:t>4</w:t>
            </w:r>
          </w:p>
        </w:tc>
        <w:tc>
          <w:tcPr>
            <w:tcW w:w="779" w:type="dxa"/>
            <w:gridSpan w:val="2"/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Calibri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Calibri"/>
                <w:sz w:val="18"/>
                <w:szCs w:val="18"/>
                <w:highlight w:val="none"/>
              </w:rPr>
              <w:t>5</w:t>
            </w:r>
          </w:p>
        </w:tc>
        <w:tc>
          <w:tcPr>
            <w:tcW w:w="678" w:type="dxa"/>
            <w:gridSpan w:val="2"/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Calibri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Calibri"/>
                <w:sz w:val="18"/>
                <w:szCs w:val="18"/>
                <w:highlight w:val="none"/>
              </w:rPr>
              <w:t>6</w:t>
            </w:r>
          </w:p>
        </w:tc>
        <w:tc>
          <w:tcPr>
            <w:tcW w:w="685" w:type="dxa"/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Calibri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Calibri"/>
                <w:sz w:val="18"/>
                <w:szCs w:val="18"/>
                <w:highlight w:val="none"/>
              </w:rPr>
              <w:t>7</w:t>
            </w:r>
          </w:p>
        </w:tc>
        <w:tc>
          <w:tcPr>
            <w:tcW w:w="702" w:type="dxa"/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Calibri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Calibri"/>
                <w:sz w:val="18"/>
                <w:szCs w:val="18"/>
                <w:highlight w:val="none"/>
              </w:rPr>
              <w:t>8</w:t>
            </w:r>
          </w:p>
        </w:tc>
        <w:tc>
          <w:tcPr>
            <w:tcW w:w="685" w:type="dxa"/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Calibri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Calibri"/>
                <w:sz w:val="18"/>
                <w:szCs w:val="18"/>
                <w:highlight w:val="none"/>
              </w:rPr>
              <w:t>9</w:t>
            </w:r>
          </w:p>
        </w:tc>
        <w:tc>
          <w:tcPr>
            <w:tcW w:w="703" w:type="dxa"/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Calibri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Calibri"/>
                <w:sz w:val="18"/>
                <w:szCs w:val="18"/>
                <w:highlight w:val="none"/>
              </w:rPr>
              <w:t>10</w:t>
            </w:r>
          </w:p>
        </w:tc>
        <w:tc>
          <w:tcPr>
            <w:tcW w:w="703" w:type="dxa"/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Calibri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Calibri"/>
                <w:sz w:val="18"/>
                <w:szCs w:val="18"/>
                <w:highlight w:val="none"/>
              </w:rPr>
              <w:t>11</w:t>
            </w:r>
          </w:p>
        </w:tc>
        <w:tc>
          <w:tcPr>
            <w:tcW w:w="708" w:type="dxa"/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Calibri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Calibri"/>
                <w:sz w:val="18"/>
                <w:szCs w:val="18"/>
                <w:highlight w:val="none"/>
              </w:rPr>
              <w:t>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" w:hRule="atLeast"/>
        </w:trPr>
        <w:tc>
          <w:tcPr>
            <w:tcW w:w="327" w:type="dxa"/>
            <w:shd w:val="clear" w:color="auto" w:fill="FFFFFF"/>
            <w:vAlign w:val="center"/>
          </w:tcPr>
          <w:p>
            <w:pPr>
              <w:snapToGrid w:val="0"/>
              <w:spacing w:line="300" w:lineRule="auto"/>
              <w:jc w:val="center"/>
              <w:rPr>
                <w:rFonts w:ascii="Times New Roman" w:hAnsi="Times New Roman" w:cs="Calibri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Calibri"/>
                <w:sz w:val="18"/>
                <w:szCs w:val="18"/>
                <w:highlight w:val="none"/>
              </w:rPr>
              <w:t>A</w:t>
            </w:r>
          </w:p>
        </w:tc>
        <w:tc>
          <w:tcPr>
            <w:tcW w:w="8746" w:type="dxa"/>
            <w:gridSpan w:val="16"/>
            <w:shd w:val="clear" w:color="auto" w:fill="FFFFFF"/>
            <w:vAlign w:val="center"/>
          </w:tcPr>
          <w:p>
            <w:pPr>
              <w:snapToGrid w:val="0"/>
              <w:spacing w:line="220" w:lineRule="exact"/>
              <w:jc w:val="center"/>
              <w:rPr>
                <w:rFonts w:ascii="Times New Roman" w:hAnsi="Times New Roman" w:cs="Calibri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Calibri"/>
                <w:sz w:val="18"/>
                <w:szCs w:val="18"/>
                <w:highlight w:val="none"/>
              </w:rPr>
              <w:t>VC组</w:t>
            </w:r>
            <w:r>
              <w:rPr>
                <w:rFonts w:hint="eastAsia" w:ascii="Times New Roman" w:hAnsi="Times New Roman" w:cs="Calibri"/>
                <w:sz w:val="18"/>
                <w:szCs w:val="18"/>
                <w:highlight w:val="none"/>
              </w:rPr>
              <w:t>（溶剂+0.5 mM多肽）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327" w:type="dxa"/>
            <w:shd w:val="clear" w:color="auto" w:fill="FFFFFF"/>
            <w:vAlign w:val="center"/>
          </w:tcPr>
          <w:p>
            <w:pPr>
              <w:snapToGrid w:val="0"/>
              <w:spacing w:line="300" w:lineRule="auto"/>
              <w:jc w:val="center"/>
              <w:rPr>
                <w:rFonts w:ascii="Times New Roman" w:hAnsi="Times New Roman" w:cs="Calibri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Calibri"/>
                <w:sz w:val="18"/>
                <w:szCs w:val="18"/>
                <w:highlight w:val="none"/>
              </w:rPr>
              <w:t>B</w:t>
            </w:r>
          </w:p>
        </w:tc>
        <w:tc>
          <w:tcPr>
            <w:tcW w:w="8746" w:type="dxa"/>
            <w:gridSpan w:val="16"/>
            <w:shd w:val="clear" w:color="auto" w:fill="FFFFFF"/>
            <w:vAlign w:val="center"/>
          </w:tcPr>
          <w:p>
            <w:pPr>
              <w:snapToGrid w:val="0"/>
              <w:spacing w:line="220" w:lineRule="exact"/>
              <w:jc w:val="center"/>
              <w:rPr>
                <w:rFonts w:ascii="Times New Roman" w:hAnsi="Times New Roman" w:cs="Calibri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Calibri"/>
                <w:sz w:val="18"/>
                <w:szCs w:val="18"/>
                <w:highlight w:val="none"/>
              </w:rPr>
              <w:t>BC组</w:t>
            </w:r>
            <w:r>
              <w:rPr>
                <w:rFonts w:hint="eastAsia" w:ascii="Times New Roman" w:hAnsi="Times New Roman" w:cs="Calibri"/>
                <w:sz w:val="18"/>
                <w:szCs w:val="18"/>
                <w:highlight w:val="none"/>
              </w:rPr>
              <w:t>（溶剂）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327" w:type="dxa"/>
            <w:shd w:val="clear" w:color="auto" w:fill="FFFFFF"/>
            <w:vAlign w:val="center"/>
          </w:tcPr>
          <w:p>
            <w:pPr>
              <w:snapToGrid w:val="0"/>
              <w:spacing w:line="300" w:lineRule="auto"/>
              <w:jc w:val="center"/>
              <w:rPr>
                <w:rFonts w:ascii="Times New Roman" w:hAnsi="Times New Roman" w:cs="Calibri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Calibri"/>
                <w:sz w:val="18"/>
                <w:szCs w:val="18"/>
                <w:highlight w:val="none"/>
              </w:rPr>
              <w:t>C</w:t>
            </w:r>
          </w:p>
        </w:tc>
        <w:tc>
          <w:tcPr>
            <w:tcW w:w="2382" w:type="dxa"/>
            <w:gridSpan w:val="5"/>
            <w:shd w:val="clear" w:color="auto" w:fill="FFFFFF"/>
            <w:vAlign w:val="center"/>
          </w:tcPr>
          <w:p>
            <w:pPr>
              <w:snapToGrid w:val="0"/>
              <w:spacing w:line="220" w:lineRule="exact"/>
              <w:jc w:val="center"/>
              <w:rPr>
                <w:rFonts w:ascii="Times New Roman" w:hAnsi="Times New Roman" w:cs="Calibri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Calibri"/>
                <w:sz w:val="18"/>
                <w:szCs w:val="18"/>
                <w:highlight w:val="none"/>
              </w:rPr>
              <w:t>0.31 mM受试物A</w:t>
            </w:r>
          </w:p>
          <w:p>
            <w:pPr>
              <w:snapToGrid w:val="0"/>
              <w:spacing w:line="220" w:lineRule="exact"/>
              <w:jc w:val="center"/>
              <w:rPr>
                <w:rFonts w:ascii="Times New Roman" w:hAnsi="Times New Roman" w:cs="Calibri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Calibri"/>
                <w:sz w:val="18"/>
                <w:szCs w:val="18"/>
                <w:highlight w:val="none"/>
              </w:rPr>
              <w:t>+0.5 mM多肽</w:t>
            </w:r>
          </w:p>
        </w:tc>
        <w:tc>
          <w:tcPr>
            <w:tcW w:w="2178" w:type="dxa"/>
            <w:gridSpan w:val="5"/>
            <w:shd w:val="clear" w:color="auto" w:fill="FFFFFF"/>
            <w:vAlign w:val="center"/>
          </w:tcPr>
          <w:p>
            <w:pPr>
              <w:snapToGrid w:val="0"/>
              <w:spacing w:line="220" w:lineRule="exact"/>
              <w:jc w:val="center"/>
              <w:rPr>
                <w:rFonts w:ascii="Times New Roman" w:hAnsi="Times New Roman" w:cs="Calibri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Calibri"/>
                <w:sz w:val="18"/>
                <w:szCs w:val="18"/>
                <w:highlight w:val="none"/>
              </w:rPr>
              <w:t>0.31 mM受试物B</w:t>
            </w:r>
          </w:p>
          <w:p>
            <w:pPr>
              <w:snapToGrid w:val="0"/>
              <w:spacing w:line="220" w:lineRule="exact"/>
              <w:jc w:val="center"/>
              <w:rPr>
                <w:rFonts w:ascii="Times New Roman" w:hAnsi="Times New Roman" w:cs="Calibri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Calibri"/>
                <w:sz w:val="18"/>
                <w:szCs w:val="18"/>
                <w:highlight w:val="none"/>
              </w:rPr>
              <w:t>+0.5 mM多肽</w:t>
            </w:r>
          </w:p>
        </w:tc>
        <w:tc>
          <w:tcPr>
            <w:tcW w:w="2072" w:type="dxa"/>
            <w:gridSpan w:val="3"/>
            <w:shd w:val="clear" w:color="auto" w:fill="FFFFFF"/>
            <w:vAlign w:val="center"/>
          </w:tcPr>
          <w:p>
            <w:pPr>
              <w:snapToGrid w:val="0"/>
              <w:spacing w:line="220" w:lineRule="exact"/>
              <w:jc w:val="center"/>
              <w:rPr>
                <w:rFonts w:ascii="Times New Roman" w:hAnsi="Times New Roman" w:cs="Calibri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Calibri"/>
                <w:sz w:val="18"/>
                <w:szCs w:val="18"/>
                <w:highlight w:val="none"/>
              </w:rPr>
              <w:t>0.31 mM受试物C</w:t>
            </w:r>
          </w:p>
          <w:p>
            <w:pPr>
              <w:snapToGrid w:val="0"/>
              <w:spacing w:line="220" w:lineRule="exact"/>
              <w:jc w:val="center"/>
              <w:rPr>
                <w:rFonts w:ascii="Times New Roman" w:hAnsi="Times New Roman" w:cs="Calibri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Calibri"/>
                <w:sz w:val="18"/>
                <w:szCs w:val="18"/>
                <w:highlight w:val="none"/>
              </w:rPr>
              <w:t>+</w:t>
            </w:r>
            <w:bookmarkStart w:id="17" w:name="OLE_LINK57"/>
            <w:r>
              <w:rPr>
                <w:rFonts w:ascii="Times New Roman" w:hAnsi="Times New Roman" w:cs="Calibri"/>
                <w:sz w:val="18"/>
                <w:szCs w:val="18"/>
                <w:highlight w:val="none"/>
              </w:rPr>
              <w:t>0.5 mM多肽</w:t>
            </w:r>
            <w:bookmarkEnd w:id="17"/>
          </w:p>
        </w:tc>
        <w:tc>
          <w:tcPr>
            <w:tcW w:w="703" w:type="dxa"/>
            <w:shd w:val="clear" w:color="auto" w:fill="FFFFFF"/>
            <w:vAlign w:val="center"/>
          </w:tcPr>
          <w:p>
            <w:pPr>
              <w:spacing w:line="220" w:lineRule="exact"/>
              <w:jc w:val="center"/>
              <w:rPr>
                <w:rFonts w:ascii="Times New Roman" w:hAnsi="Times New Roman" w:cs="Calibri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Calibri"/>
                <w:sz w:val="18"/>
                <w:szCs w:val="18"/>
                <w:highlight w:val="none"/>
              </w:rPr>
              <w:t>0.31 mM受试物A+缓冲液</w:t>
            </w:r>
          </w:p>
        </w:tc>
        <w:tc>
          <w:tcPr>
            <w:tcW w:w="703" w:type="dxa"/>
            <w:shd w:val="clear" w:color="auto" w:fill="FFFFFF"/>
            <w:vAlign w:val="center"/>
          </w:tcPr>
          <w:p>
            <w:pPr>
              <w:snapToGrid w:val="0"/>
              <w:spacing w:line="220" w:lineRule="exact"/>
              <w:jc w:val="center"/>
              <w:rPr>
                <w:rFonts w:ascii="Times New Roman" w:hAnsi="Times New Roman" w:cs="Calibri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Calibri"/>
                <w:sz w:val="18"/>
                <w:szCs w:val="18"/>
                <w:highlight w:val="none"/>
              </w:rPr>
              <w:t>0.31 mM受试物B+缓冲液</w:t>
            </w:r>
          </w:p>
        </w:tc>
        <w:tc>
          <w:tcPr>
            <w:tcW w:w="708" w:type="dxa"/>
            <w:shd w:val="clear" w:color="auto" w:fill="FFFFFF"/>
            <w:vAlign w:val="center"/>
          </w:tcPr>
          <w:p>
            <w:pPr>
              <w:snapToGrid w:val="0"/>
              <w:spacing w:line="220" w:lineRule="exact"/>
              <w:jc w:val="center"/>
              <w:rPr>
                <w:rFonts w:ascii="Times New Roman" w:hAnsi="Times New Roman" w:cs="Calibri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Calibri"/>
                <w:sz w:val="18"/>
                <w:szCs w:val="18"/>
                <w:highlight w:val="none"/>
              </w:rPr>
              <w:t>0.31 mM受试物C+缓冲液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327" w:type="dxa"/>
            <w:shd w:val="clear" w:color="auto" w:fill="FFFFFF"/>
            <w:vAlign w:val="center"/>
          </w:tcPr>
          <w:p>
            <w:pPr>
              <w:snapToGrid w:val="0"/>
              <w:spacing w:line="300" w:lineRule="auto"/>
              <w:jc w:val="center"/>
              <w:rPr>
                <w:rFonts w:ascii="Times New Roman" w:hAnsi="Times New Roman" w:cs="Calibri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Calibri"/>
                <w:sz w:val="18"/>
                <w:szCs w:val="18"/>
                <w:highlight w:val="none"/>
              </w:rPr>
              <w:t>D</w:t>
            </w:r>
          </w:p>
        </w:tc>
        <w:tc>
          <w:tcPr>
            <w:tcW w:w="2382" w:type="dxa"/>
            <w:gridSpan w:val="5"/>
            <w:shd w:val="clear" w:color="auto" w:fill="FFFFFF"/>
            <w:vAlign w:val="center"/>
          </w:tcPr>
          <w:p>
            <w:pPr>
              <w:snapToGrid w:val="0"/>
              <w:spacing w:line="220" w:lineRule="exact"/>
              <w:jc w:val="center"/>
              <w:rPr>
                <w:rFonts w:ascii="Times New Roman" w:hAnsi="Times New Roman" w:cs="Calibri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Calibri"/>
                <w:sz w:val="18"/>
                <w:szCs w:val="18"/>
                <w:highlight w:val="none"/>
              </w:rPr>
              <w:t>0.63 mM受试物A</w:t>
            </w:r>
          </w:p>
          <w:p>
            <w:pPr>
              <w:snapToGrid w:val="0"/>
              <w:spacing w:line="220" w:lineRule="exact"/>
              <w:jc w:val="center"/>
              <w:rPr>
                <w:rFonts w:ascii="Times New Roman" w:hAnsi="Times New Roman" w:cs="Calibri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Calibri"/>
                <w:sz w:val="18"/>
                <w:szCs w:val="18"/>
                <w:highlight w:val="none"/>
              </w:rPr>
              <w:t>+0.5 mM多肽</w:t>
            </w:r>
          </w:p>
        </w:tc>
        <w:tc>
          <w:tcPr>
            <w:tcW w:w="2178" w:type="dxa"/>
            <w:gridSpan w:val="5"/>
            <w:shd w:val="clear" w:color="auto" w:fill="FFFFFF"/>
            <w:vAlign w:val="center"/>
          </w:tcPr>
          <w:p>
            <w:pPr>
              <w:snapToGrid w:val="0"/>
              <w:spacing w:line="220" w:lineRule="exact"/>
              <w:jc w:val="center"/>
              <w:rPr>
                <w:rFonts w:ascii="Times New Roman" w:hAnsi="Times New Roman" w:cs="Calibri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Calibri"/>
                <w:sz w:val="18"/>
                <w:szCs w:val="18"/>
                <w:highlight w:val="none"/>
              </w:rPr>
              <w:t>0.63 mM受试物B</w:t>
            </w:r>
          </w:p>
          <w:p>
            <w:pPr>
              <w:snapToGrid w:val="0"/>
              <w:spacing w:line="220" w:lineRule="exact"/>
              <w:jc w:val="center"/>
              <w:rPr>
                <w:rFonts w:ascii="Times New Roman" w:hAnsi="Times New Roman" w:cs="Calibri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Calibri"/>
                <w:sz w:val="18"/>
                <w:szCs w:val="18"/>
                <w:highlight w:val="none"/>
              </w:rPr>
              <w:t>+0.5 mM多肽</w:t>
            </w:r>
          </w:p>
        </w:tc>
        <w:tc>
          <w:tcPr>
            <w:tcW w:w="2072" w:type="dxa"/>
            <w:gridSpan w:val="3"/>
            <w:shd w:val="clear" w:color="auto" w:fill="FFFFFF"/>
            <w:vAlign w:val="center"/>
          </w:tcPr>
          <w:p>
            <w:pPr>
              <w:snapToGrid w:val="0"/>
              <w:spacing w:line="220" w:lineRule="exact"/>
              <w:jc w:val="center"/>
              <w:rPr>
                <w:rFonts w:ascii="Times New Roman" w:hAnsi="Times New Roman" w:cs="Calibri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Calibri"/>
                <w:sz w:val="18"/>
                <w:szCs w:val="18"/>
                <w:highlight w:val="none"/>
              </w:rPr>
              <w:t>0.63 mM受试物C</w:t>
            </w:r>
          </w:p>
          <w:p>
            <w:pPr>
              <w:snapToGrid w:val="0"/>
              <w:spacing w:line="220" w:lineRule="exact"/>
              <w:jc w:val="center"/>
              <w:rPr>
                <w:rFonts w:ascii="Times New Roman" w:hAnsi="Times New Roman" w:cs="Calibri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Calibri"/>
                <w:sz w:val="18"/>
                <w:szCs w:val="18"/>
                <w:highlight w:val="none"/>
              </w:rPr>
              <w:t>+0.5 mM多肽</w:t>
            </w:r>
          </w:p>
        </w:tc>
        <w:tc>
          <w:tcPr>
            <w:tcW w:w="703" w:type="dxa"/>
            <w:shd w:val="clear" w:color="auto" w:fill="FFFFFF"/>
            <w:vAlign w:val="center"/>
          </w:tcPr>
          <w:p>
            <w:pPr>
              <w:snapToGrid w:val="0"/>
              <w:spacing w:line="220" w:lineRule="exact"/>
              <w:jc w:val="center"/>
              <w:rPr>
                <w:rFonts w:ascii="Times New Roman" w:hAnsi="Times New Roman" w:cs="Calibri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Calibri"/>
                <w:sz w:val="18"/>
                <w:szCs w:val="18"/>
                <w:highlight w:val="none"/>
              </w:rPr>
              <w:t>0.63 mM受试物A</w:t>
            </w:r>
          </w:p>
          <w:p>
            <w:pPr>
              <w:snapToGrid w:val="0"/>
              <w:spacing w:line="220" w:lineRule="exact"/>
              <w:jc w:val="center"/>
              <w:rPr>
                <w:rFonts w:ascii="Times New Roman" w:hAnsi="Times New Roman" w:cs="Calibri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Calibri"/>
                <w:sz w:val="18"/>
                <w:szCs w:val="18"/>
                <w:highlight w:val="none"/>
              </w:rPr>
              <w:t>+缓冲液</w:t>
            </w:r>
          </w:p>
        </w:tc>
        <w:tc>
          <w:tcPr>
            <w:tcW w:w="703" w:type="dxa"/>
            <w:shd w:val="clear" w:color="auto" w:fill="FFFFFF"/>
            <w:vAlign w:val="center"/>
          </w:tcPr>
          <w:p>
            <w:pPr>
              <w:snapToGrid w:val="0"/>
              <w:spacing w:line="220" w:lineRule="exact"/>
              <w:jc w:val="center"/>
              <w:rPr>
                <w:rFonts w:ascii="Times New Roman" w:hAnsi="Times New Roman" w:cs="Calibri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Calibri"/>
                <w:sz w:val="18"/>
                <w:szCs w:val="18"/>
                <w:highlight w:val="none"/>
              </w:rPr>
              <w:t>0.63 mM受试物B</w:t>
            </w:r>
          </w:p>
          <w:p>
            <w:pPr>
              <w:snapToGrid w:val="0"/>
              <w:spacing w:line="220" w:lineRule="exact"/>
              <w:jc w:val="center"/>
              <w:rPr>
                <w:rFonts w:ascii="Times New Roman" w:hAnsi="Times New Roman" w:cs="Calibri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Calibri"/>
                <w:sz w:val="18"/>
                <w:szCs w:val="18"/>
                <w:highlight w:val="none"/>
              </w:rPr>
              <w:t>+缓冲液</w:t>
            </w:r>
          </w:p>
        </w:tc>
        <w:tc>
          <w:tcPr>
            <w:tcW w:w="708" w:type="dxa"/>
            <w:shd w:val="clear" w:color="auto" w:fill="FFFFFF"/>
            <w:vAlign w:val="center"/>
          </w:tcPr>
          <w:p>
            <w:pPr>
              <w:snapToGrid w:val="0"/>
              <w:spacing w:line="220" w:lineRule="exact"/>
              <w:jc w:val="center"/>
              <w:rPr>
                <w:rFonts w:ascii="Times New Roman" w:hAnsi="Times New Roman" w:cs="Calibri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Calibri"/>
                <w:sz w:val="18"/>
                <w:szCs w:val="18"/>
                <w:highlight w:val="none"/>
              </w:rPr>
              <w:t>0.63 mM受试物C</w:t>
            </w:r>
          </w:p>
          <w:p>
            <w:pPr>
              <w:snapToGrid w:val="0"/>
              <w:spacing w:line="220" w:lineRule="exact"/>
              <w:jc w:val="center"/>
              <w:rPr>
                <w:rFonts w:ascii="Times New Roman" w:hAnsi="Times New Roman" w:cs="Calibri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Calibri"/>
                <w:sz w:val="18"/>
                <w:szCs w:val="18"/>
                <w:highlight w:val="none"/>
              </w:rPr>
              <w:t>+缓冲液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327" w:type="dxa"/>
            <w:shd w:val="clear" w:color="auto" w:fill="FFFFFF"/>
            <w:vAlign w:val="center"/>
          </w:tcPr>
          <w:p>
            <w:pPr>
              <w:snapToGrid w:val="0"/>
              <w:spacing w:line="300" w:lineRule="auto"/>
              <w:jc w:val="center"/>
              <w:rPr>
                <w:rFonts w:ascii="Times New Roman" w:hAnsi="Times New Roman" w:cs="Calibri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Calibri"/>
                <w:sz w:val="18"/>
                <w:szCs w:val="18"/>
                <w:highlight w:val="none"/>
              </w:rPr>
              <w:t>E</w:t>
            </w:r>
          </w:p>
        </w:tc>
        <w:tc>
          <w:tcPr>
            <w:tcW w:w="2382" w:type="dxa"/>
            <w:gridSpan w:val="5"/>
            <w:shd w:val="clear" w:color="auto" w:fill="FFFFFF"/>
            <w:vAlign w:val="center"/>
          </w:tcPr>
          <w:p>
            <w:pPr>
              <w:snapToGrid w:val="0"/>
              <w:spacing w:line="220" w:lineRule="exact"/>
              <w:jc w:val="center"/>
              <w:rPr>
                <w:rFonts w:ascii="Times New Roman" w:hAnsi="Times New Roman" w:cs="Calibri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Calibri"/>
                <w:sz w:val="18"/>
                <w:szCs w:val="18"/>
                <w:highlight w:val="none"/>
              </w:rPr>
              <w:t>1.25 mM受试物A</w:t>
            </w:r>
          </w:p>
          <w:p>
            <w:pPr>
              <w:snapToGrid w:val="0"/>
              <w:spacing w:line="220" w:lineRule="exact"/>
              <w:jc w:val="center"/>
              <w:rPr>
                <w:rFonts w:ascii="Times New Roman" w:hAnsi="Times New Roman" w:cs="Calibri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Calibri"/>
                <w:sz w:val="18"/>
                <w:szCs w:val="18"/>
                <w:highlight w:val="none"/>
              </w:rPr>
              <w:t>+0.5 mM多肽</w:t>
            </w:r>
          </w:p>
        </w:tc>
        <w:tc>
          <w:tcPr>
            <w:tcW w:w="2178" w:type="dxa"/>
            <w:gridSpan w:val="5"/>
            <w:shd w:val="clear" w:color="auto" w:fill="FFFFFF"/>
            <w:vAlign w:val="center"/>
          </w:tcPr>
          <w:p>
            <w:pPr>
              <w:snapToGrid w:val="0"/>
              <w:spacing w:line="220" w:lineRule="exact"/>
              <w:jc w:val="center"/>
              <w:rPr>
                <w:rFonts w:ascii="Times New Roman" w:hAnsi="Times New Roman" w:cs="Calibri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Calibri"/>
                <w:sz w:val="18"/>
                <w:szCs w:val="18"/>
                <w:highlight w:val="none"/>
              </w:rPr>
              <w:t>1.25 mM受试物B</w:t>
            </w:r>
          </w:p>
          <w:p>
            <w:pPr>
              <w:snapToGrid w:val="0"/>
              <w:spacing w:line="220" w:lineRule="exact"/>
              <w:jc w:val="center"/>
              <w:rPr>
                <w:rFonts w:ascii="Times New Roman" w:hAnsi="Times New Roman" w:cs="Calibri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Calibri"/>
                <w:sz w:val="18"/>
                <w:szCs w:val="18"/>
                <w:highlight w:val="none"/>
              </w:rPr>
              <w:t>+0.5 mM多肽</w:t>
            </w:r>
          </w:p>
        </w:tc>
        <w:tc>
          <w:tcPr>
            <w:tcW w:w="2072" w:type="dxa"/>
            <w:gridSpan w:val="3"/>
            <w:shd w:val="clear" w:color="auto" w:fill="FFFFFF"/>
            <w:vAlign w:val="center"/>
          </w:tcPr>
          <w:p>
            <w:pPr>
              <w:snapToGrid w:val="0"/>
              <w:spacing w:line="220" w:lineRule="exact"/>
              <w:jc w:val="center"/>
              <w:rPr>
                <w:rFonts w:ascii="Times New Roman" w:hAnsi="Times New Roman" w:cs="Calibri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Calibri"/>
                <w:sz w:val="18"/>
                <w:szCs w:val="18"/>
                <w:highlight w:val="none"/>
              </w:rPr>
              <w:t>1.25 mM受试物C</w:t>
            </w:r>
          </w:p>
          <w:p>
            <w:pPr>
              <w:snapToGrid w:val="0"/>
              <w:spacing w:line="220" w:lineRule="exact"/>
              <w:jc w:val="center"/>
              <w:rPr>
                <w:rFonts w:ascii="Times New Roman" w:hAnsi="Times New Roman" w:cs="Calibri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Calibri"/>
                <w:sz w:val="18"/>
                <w:szCs w:val="18"/>
                <w:highlight w:val="none"/>
              </w:rPr>
              <w:t>+0.5 mM多肽</w:t>
            </w:r>
          </w:p>
        </w:tc>
        <w:tc>
          <w:tcPr>
            <w:tcW w:w="703" w:type="dxa"/>
            <w:shd w:val="clear" w:color="auto" w:fill="FFFFFF"/>
            <w:vAlign w:val="center"/>
          </w:tcPr>
          <w:p>
            <w:pPr>
              <w:snapToGrid w:val="0"/>
              <w:spacing w:line="220" w:lineRule="exact"/>
              <w:jc w:val="center"/>
              <w:rPr>
                <w:rFonts w:ascii="Times New Roman" w:hAnsi="Times New Roman" w:cs="Calibri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Calibri"/>
                <w:sz w:val="18"/>
                <w:szCs w:val="18"/>
                <w:highlight w:val="none"/>
              </w:rPr>
              <w:t>1.25 mM受试物A</w:t>
            </w:r>
          </w:p>
          <w:p>
            <w:pPr>
              <w:snapToGrid w:val="0"/>
              <w:spacing w:line="220" w:lineRule="exact"/>
              <w:jc w:val="center"/>
              <w:rPr>
                <w:rFonts w:ascii="Times New Roman" w:hAnsi="Times New Roman" w:cs="Calibri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Calibri"/>
                <w:sz w:val="18"/>
                <w:szCs w:val="18"/>
                <w:highlight w:val="none"/>
              </w:rPr>
              <w:t>+缓冲液</w:t>
            </w:r>
          </w:p>
        </w:tc>
        <w:tc>
          <w:tcPr>
            <w:tcW w:w="703" w:type="dxa"/>
            <w:shd w:val="clear" w:color="auto" w:fill="FFFFFF"/>
            <w:vAlign w:val="center"/>
          </w:tcPr>
          <w:p>
            <w:pPr>
              <w:snapToGrid w:val="0"/>
              <w:spacing w:line="220" w:lineRule="exact"/>
              <w:jc w:val="center"/>
              <w:rPr>
                <w:rFonts w:ascii="Times New Roman" w:hAnsi="Times New Roman" w:cs="Calibri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Calibri"/>
                <w:sz w:val="18"/>
                <w:szCs w:val="18"/>
                <w:highlight w:val="none"/>
              </w:rPr>
              <w:t>1.25 mM受试物B</w:t>
            </w:r>
          </w:p>
          <w:p>
            <w:pPr>
              <w:snapToGrid w:val="0"/>
              <w:spacing w:line="220" w:lineRule="exact"/>
              <w:jc w:val="center"/>
              <w:rPr>
                <w:rFonts w:ascii="Times New Roman" w:hAnsi="Times New Roman" w:cs="Calibri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Calibri"/>
                <w:sz w:val="18"/>
                <w:szCs w:val="18"/>
                <w:highlight w:val="none"/>
              </w:rPr>
              <w:t>+缓冲液</w:t>
            </w:r>
          </w:p>
        </w:tc>
        <w:tc>
          <w:tcPr>
            <w:tcW w:w="708" w:type="dxa"/>
            <w:shd w:val="clear" w:color="auto" w:fill="FFFFFF"/>
            <w:vAlign w:val="center"/>
          </w:tcPr>
          <w:p>
            <w:pPr>
              <w:snapToGrid w:val="0"/>
              <w:spacing w:line="220" w:lineRule="exact"/>
              <w:jc w:val="center"/>
              <w:rPr>
                <w:rFonts w:ascii="Times New Roman" w:hAnsi="Times New Roman" w:cs="Calibri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Calibri"/>
                <w:sz w:val="18"/>
                <w:szCs w:val="18"/>
                <w:highlight w:val="none"/>
              </w:rPr>
              <w:t>1.25 mM受试物C</w:t>
            </w:r>
          </w:p>
          <w:p>
            <w:pPr>
              <w:snapToGrid w:val="0"/>
              <w:spacing w:line="220" w:lineRule="exact"/>
              <w:jc w:val="center"/>
              <w:rPr>
                <w:rFonts w:ascii="Times New Roman" w:hAnsi="Times New Roman" w:cs="Calibri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Calibri"/>
                <w:sz w:val="18"/>
                <w:szCs w:val="18"/>
                <w:highlight w:val="none"/>
              </w:rPr>
              <w:t>+缓冲液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327" w:type="dxa"/>
            <w:shd w:val="clear" w:color="auto" w:fill="FFFFFF"/>
            <w:vAlign w:val="center"/>
          </w:tcPr>
          <w:p>
            <w:pPr>
              <w:snapToGrid w:val="0"/>
              <w:spacing w:line="300" w:lineRule="auto"/>
              <w:jc w:val="center"/>
              <w:rPr>
                <w:rFonts w:ascii="Times New Roman" w:hAnsi="Times New Roman" w:cs="Calibri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Calibri"/>
                <w:sz w:val="18"/>
                <w:szCs w:val="18"/>
                <w:highlight w:val="none"/>
              </w:rPr>
              <w:t>F</w:t>
            </w:r>
          </w:p>
        </w:tc>
        <w:tc>
          <w:tcPr>
            <w:tcW w:w="2382" w:type="dxa"/>
            <w:gridSpan w:val="5"/>
            <w:shd w:val="clear" w:color="auto" w:fill="FFFFFF"/>
            <w:vAlign w:val="center"/>
          </w:tcPr>
          <w:p>
            <w:pPr>
              <w:snapToGrid w:val="0"/>
              <w:spacing w:line="220" w:lineRule="exact"/>
              <w:jc w:val="center"/>
              <w:rPr>
                <w:rFonts w:ascii="Times New Roman" w:hAnsi="Times New Roman" w:cs="Calibri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Calibri"/>
                <w:sz w:val="18"/>
                <w:szCs w:val="18"/>
                <w:highlight w:val="none"/>
              </w:rPr>
              <w:t>2.5 mM受试物A</w:t>
            </w:r>
          </w:p>
          <w:p>
            <w:pPr>
              <w:snapToGrid w:val="0"/>
              <w:spacing w:line="220" w:lineRule="exact"/>
              <w:jc w:val="center"/>
              <w:rPr>
                <w:rFonts w:ascii="Times New Roman" w:hAnsi="Times New Roman" w:cs="Calibri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Calibri"/>
                <w:sz w:val="18"/>
                <w:szCs w:val="18"/>
                <w:highlight w:val="none"/>
              </w:rPr>
              <w:t>+0.5 mM多肽</w:t>
            </w:r>
          </w:p>
        </w:tc>
        <w:tc>
          <w:tcPr>
            <w:tcW w:w="2178" w:type="dxa"/>
            <w:gridSpan w:val="5"/>
            <w:shd w:val="clear" w:color="auto" w:fill="FFFFFF"/>
            <w:vAlign w:val="center"/>
          </w:tcPr>
          <w:p>
            <w:pPr>
              <w:snapToGrid w:val="0"/>
              <w:spacing w:line="220" w:lineRule="exact"/>
              <w:jc w:val="center"/>
              <w:rPr>
                <w:rFonts w:ascii="Times New Roman" w:hAnsi="Times New Roman" w:cs="Calibri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Calibri"/>
                <w:sz w:val="18"/>
                <w:szCs w:val="18"/>
                <w:highlight w:val="none"/>
              </w:rPr>
              <w:t>2.5 mM受试物B</w:t>
            </w:r>
          </w:p>
          <w:p>
            <w:pPr>
              <w:snapToGrid w:val="0"/>
              <w:spacing w:line="220" w:lineRule="exact"/>
              <w:jc w:val="center"/>
              <w:rPr>
                <w:rFonts w:ascii="Times New Roman" w:hAnsi="Times New Roman" w:cs="Calibri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Calibri"/>
                <w:sz w:val="18"/>
                <w:szCs w:val="18"/>
                <w:highlight w:val="none"/>
              </w:rPr>
              <w:t>+0.5 mM多肽</w:t>
            </w:r>
          </w:p>
        </w:tc>
        <w:tc>
          <w:tcPr>
            <w:tcW w:w="2072" w:type="dxa"/>
            <w:gridSpan w:val="3"/>
            <w:shd w:val="clear" w:color="auto" w:fill="FFFFFF"/>
            <w:vAlign w:val="center"/>
          </w:tcPr>
          <w:p>
            <w:pPr>
              <w:snapToGrid w:val="0"/>
              <w:spacing w:line="220" w:lineRule="exact"/>
              <w:jc w:val="center"/>
              <w:rPr>
                <w:rFonts w:ascii="Times New Roman" w:hAnsi="Times New Roman" w:cs="Calibri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Calibri"/>
                <w:sz w:val="18"/>
                <w:szCs w:val="18"/>
                <w:highlight w:val="none"/>
              </w:rPr>
              <w:t>2.5 mM受试物C</w:t>
            </w:r>
          </w:p>
          <w:p>
            <w:pPr>
              <w:snapToGrid w:val="0"/>
              <w:spacing w:line="220" w:lineRule="exact"/>
              <w:jc w:val="center"/>
              <w:rPr>
                <w:rFonts w:ascii="Times New Roman" w:hAnsi="Times New Roman" w:cs="Calibri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Calibri"/>
                <w:sz w:val="18"/>
                <w:szCs w:val="18"/>
                <w:highlight w:val="none"/>
              </w:rPr>
              <w:t>+0.5 mM多肽</w:t>
            </w:r>
          </w:p>
        </w:tc>
        <w:tc>
          <w:tcPr>
            <w:tcW w:w="703" w:type="dxa"/>
            <w:shd w:val="clear" w:color="auto" w:fill="FFFFFF"/>
            <w:vAlign w:val="center"/>
          </w:tcPr>
          <w:p>
            <w:pPr>
              <w:snapToGrid w:val="0"/>
              <w:spacing w:line="220" w:lineRule="exact"/>
              <w:jc w:val="center"/>
              <w:rPr>
                <w:rFonts w:ascii="Times New Roman" w:hAnsi="Times New Roman" w:cs="Calibri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Calibri"/>
                <w:sz w:val="18"/>
                <w:szCs w:val="18"/>
                <w:highlight w:val="none"/>
              </w:rPr>
              <w:t>2.5 mM受试物A</w:t>
            </w:r>
          </w:p>
          <w:p>
            <w:pPr>
              <w:snapToGrid w:val="0"/>
              <w:spacing w:line="220" w:lineRule="exact"/>
              <w:jc w:val="center"/>
              <w:rPr>
                <w:rFonts w:ascii="Times New Roman" w:hAnsi="Times New Roman" w:cs="Calibri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Calibri"/>
                <w:sz w:val="18"/>
                <w:szCs w:val="18"/>
                <w:highlight w:val="none"/>
              </w:rPr>
              <w:t>+缓冲液</w:t>
            </w:r>
          </w:p>
        </w:tc>
        <w:tc>
          <w:tcPr>
            <w:tcW w:w="703" w:type="dxa"/>
            <w:shd w:val="clear" w:color="auto" w:fill="FFFFFF"/>
            <w:vAlign w:val="center"/>
          </w:tcPr>
          <w:p>
            <w:pPr>
              <w:snapToGrid w:val="0"/>
              <w:spacing w:line="220" w:lineRule="exact"/>
              <w:jc w:val="center"/>
              <w:rPr>
                <w:rFonts w:ascii="Times New Roman" w:hAnsi="Times New Roman" w:cs="Calibri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Calibri"/>
                <w:sz w:val="18"/>
                <w:szCs w:val="18"/>
                <w:highlight w:val="none"/>
              </w:rPr>
              <w:t>2.5 mM受试物B</w:t>
            </w:r>
          </w:p>
          <w:p>
            <w:pPr>
              <w:snapToGrid w:val="0"/>
              <w:spacing w:line="220" w:lineRule="exact"/>
              <w:jc w:val="center"/>
              <w:rPr>
                <w:rFonts w:ascii="Times New Roman" w:hAnsi="Times New Roman" w:cs="Calibri"/>
                <w:sz w:val="18"/>
                <w:szCs w:val="18"/>
                <w:highlight w:val="none"/>
              </w:rPr>
            </w:pPr>
            <w:bookmarkStart w:id="18" w:name="OLE_LINK53"/>
            <w:r>
              <w:rPr>
                <w:rFonts w:ascii="Times New Roman" w:hAnsi="Times New Roman" w:cs="Calibri"/>
                <w:sz w:val="18"/>
                <w:szCs w:val="18"/>
                <w:highlight w:val="none"/>
              </w:rPr>
              <w:t>+缓冲液</w:t>
            </w:r>
            <w:bookmarkEnd w:id="18"/>
          </w:p>
        </w:tc>
        <w:tc>
          <w:tcPr>
            <w:tcW w:w="708" w:type="dxa"/>
            <w:shd w:val="clear" w:color="auto" w:fill="FFFFFF"/>
            <w:vAlign w:val="center"/>
          </w:tcPr>
          <w:p>
            <w:pPr>
              <w:snapToGrid w:val="0"/>
              <w:spacing w:line="220" w:lineRule="exact"/>
              <w:jc w:val="center"/>
              <w:rPr>
                <w:rFonts w:ascii="Times New Roman" w:hAnsi="Times New Roman" w:cs="Calibri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Calibri"/>
                <w:sz w:val="18"/>
                <w:szCs w:val="18"/>
                <w:highlight w:val="none"/>
              </w:rPr>
              <w:t>2.5 mM受试物C</w:t>
            </w:r>
          </w:p>
          <w:p>
            <w:pPr>
              <w:snapToGrid w:val="0"/>
              <w:spacing w:line="220" w:lineRule="exact"/>
              <w:jc w:val="center"/>
              <w:rPr>
                <w:rFonts w:ascii="Times New Roman" w:hAnsi="Times New Roman" w:cs="Calibri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Calibri"/>
                <w:sz w:val="18"/>
                <w:szCs w:val="18"/>
                <w:highlight w:val="none"/>
              </w:rPr>
              <w:t>+缓冲液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327" w:type="dxa"/>
            <w:shd w:val="clear" w:color="auto" w:fill="FFFFFF"/>
            <w:vAlign w:val="center"/>
          </w:tcPr>
          <w:p>
            <w:pPr>
              <w:snapToGrid w:val="0"/>
              <w:spacing w:line="300" w:lineRule="auto"/>
              <w:jc w:val="center"/>
              <w:rPr>
                <w:rFonts w:ascii="Times New Roman" w:hAnsi="Times New Roman" w:cs="Calibri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Calibri"/>
                <w:sz w:val="18"/>
                <w:szCs w:val="18"/>
                <w:highlight w:val="none"/>
              </w:rPr>
              <w:t>G</w:t>
            </w:r>
          </w:p>
        </w:tc>
        <w:tc>
          <w:tcPr>
            <w:tcW w:w="2382" w:type="dxa"/>
            <w:gridSpan w:val="5"/>
            <w:shd w:val="clear" w:color="auto" w:fill="FFFFFF"/>
            <w:vAlign w:val="center"/>
          </w:tcPr>
          <w:p>
            <w:pPr>
              <w:snapToGrid w:val="0"/>
              <w:spacing w:line="220" w:lineRule="exact"/>
              <w:jc w:val="center"/>
              <w:rPr>
                <w:rFonts w:ascii="Times New Roman" w:hAnsi="Times New Roman" w:cs="Calibri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Calibri"/>
                <w:sz w:val="18"/>
                <w:szCs w:val="18"/>
                <w:highlight w:val="none"/>
              </w:rPr>
              <w:t>5 mM受试物A</w:t>
            </w:r>
          </w:p>
          <w:p>
            <w:pPr>
              <w:snapToGrid w:val="0"/>
              <w:spacing w:line="220" w:lineRule="exact"/>
              <w:jc w:val="center"/>
              <w:rPr>
                <w:rFonts w:ascii="Times New Roman" w:hAnsi="Times New Roman" w:cs="Calibri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Calibri"/>
                <w:sz w:val="18"/>
                <w:szCs w:val="18"/>
                <w:highlight w:val="none"/>
              </w:rPr>
              <w:t>+0.5 mM多肽</w:t>
            </w:r>
          </w:p>
        </w:tc>
        <w:tc>
          <w:tcPr>
            <w:tcW w:w="2178" w:type="dxa"/>
            <w:gridSpan w:val="5"/>
            <w:shd w:val="clear" w:color="auto" w:fill="FFFFFF"/>
            <w:vAlign w:val="center"/>
          </w:tcPr>
          <w:p>
            <w:pPr>
              <w:snapToGrid w:val="0"/>
              <w:spacing w:line="220" w:lineRule="exact"/>
              <w:jc w:val="center"/>
              <w:rPr>
                <w:rFonts w:ascii="Times New Roman" w:hAnsi="Times New Roman" w:cs="Calibri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Calibri"/>
                <w:sz w:val="18"/>
                <w:szCs w:val="18"/>
                <w:highlight w:val="none"/>
              </w:rPr>
              <w:t>5 mM受试物B</w:t>
            </w:r>
          </w:p>
          <w:p>
            <w:pPr>
              <w:snapToGrid w:val="0"/>
              <w:spacing w:line="220" w:lineRule="exact"/>
              <w:jc w:val="center"/>
              <w:rPr>
                <w:rFonts w:ascii="Times New Roman" w:hAnsi="Times New Roman" w:cs="Calibri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Calibri"/>
                <w:sz w:val="18"/>
                <w:szCs w:val="18"/>
                <w:highlight w:val="none"/>
              </w:rPr>
              <w:t>+0.5 mM多肽</w:t>
            </w:r>
          </w:p>
        </w:tc>
        <w:tc>
          <w:tcPr>
            <w:tcW w:w="2072" w:type="dxa"/>
            <w:gridSpan w:val="3"/>
            <w:shd w:val="clear" w:color="auto" w:fill="FFFFFF"/>
            <w:vAlign w:val="center"/>
          </w:tcPr>
          <w:p>
            <w:pPr>
              <w:snapToGrid w:val="0"/>
              <w:spacing w:line="220" w:lineRule="exact"/>
              <w:jc w:val="center"/>
              <w:rPr>
                <w:rFonts w:ascii="Times New Roman" w:hAnsi="Times New Roman" w:cs="Calibri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Calibri"/>
                <w:sz w:val="18"/>
                <w:szCs w:val="18"/>
                <w:highlight w:val="none"/>
              </w:rPr>
              <w:t>5 mM受试物C</w:t>
            </w:r>
          </w:p>
          <w:p>
            <w:pPr>
              <w:snapToGrid w:val="0"/>
              <w:spacing w:line="220" w:lineRule="exact"/>
              <w:jc w:val="center"/>
              <w:rPr>
                <w:rFonts w:ascii="Times New Roman" w:hAnsi="Times New Roman" w:cs="Calibri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Calibri"/>
                <w:sz w:val="18"/>
                <w:szCs w:val="18"/>
                <w:highlight w:val="none"/>
              </w:rPr>
              <w:t>+0.5 mM多肽</w:t>
            </w:r>
          </w:p>
        </w:tc>
        <w:tc>
          <w:tcPr>
            <w:tcW w:w="703" w:type="dxa"/>
            <w:shd w:val="clear" w:color="auto" w:fill="FFFFFF"/>
            <w:vAlign w:val="center"/>
          </w:tcPr>
          <w:p>
            <w:pPr>
              <w:snapToGrid w:val="0"/>
              <w:spacing w:line="220" w:lineRule="exact"/>
              <w:jc w:val="center"/>
              <w:rPr>
                <w:rFonts w:ascii="Times New Roman" w:hAnsi="Times New Roman" w:cs="Calibri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Calibri"/>
                <w:sz w:val="18"/>
                <w:szCs w:val="18"/>
                <w:highlight w:val="none"/>
              </w:rPr>
              <w:t xml:space="preserve">5 </w:t>
            </w:r>
          </w:p>
          <w:p>
            <w:pPr>
              <w:snapToGrid w:val="0"/>
              <w:spacing w:line="220" w:lineRule="exact"/>
              <w:jc w:val="center"/>
              <w:rPr>
                <w:rFonts w:ascii="Times New Roman" w:hAnsi="Times New Roman" w:cs="Calibri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Calibri"/>
                <w:sz w:val="18"/>
                <w:szCs w:val="18"/>
                <w:highlight w:val="none"/>
              </w:rPr>
              <w:t>mM受试物A</w:t>
            </w:r>
          </w:p>
          <w:p>
            <w:pPr>
              <w:snapToGrid w:val="0"/>
              <w:spacing w:line="220" w:lineRule="exact"/>
              <w:jc w:val="center"/>
              <w:rPr>
                <w:rFonts w:ascii="Times New Roman" w:hAnsi="Times New Roman" w:cs="Calibri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Calibri"/>
                <w:sz w:val="18"/>
                <w:szCs w:val="18"/>
                <w:highlight w:val="none"/>
              </w:rPr>
              <w:t>+缓冲液</w:t>
            </w:r>
          </w:p>
        </w:tc>
        <w:tc>
          <w:tcPr>
            <w:tcW w:w="703" w:type="dxa"/>
            <w:shd w:val="clear" w:color="auto" w:fill="FFFFFF"/>
            <w:vAlign w:val="center"/>
          </w:tcPr>
          <w:p>
            <w:pPr>
              <w:snapToGrid w:val="0"/>
              <w:spacing w:line="220" w:lineRule="exact"/>
              <w:jc w:val="center"/>
              <w:rPr>
                <w:rFonts w:ascii="Times New Roman" w:hAnsi="Times New Roman" w:cs="Calibri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Calibri"/>
                <w:sz w:val="18"/>
                <w:szCs w:val="18"/>
                <w:highlight w:val="none"/>
              </w:rPr>
              <w:t xml:space="preserve">5 </w:t>
            </w:r>
          </w:p>
          <w:p>
            <w:pPr>
              <w:snapToGrid w:val="0"/>
              <w:spacing w:line="220" w:lineRule="exact"/>
              <w:jc w:val="center"/>
              <w:rPr>
                <w:rFonts w:ascii="Times New Roman" w:hAnsi="Times New Roman" w:cs="Calibri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Calibri"/>
                <w:sz w:val="18"/>
                <w:szCs w:val="18"/>
                <w:highlight w:val="none"/>
              </w:rPr>
              <w:t>mM受试物B</w:t>
            </w:r>
          </w:p>
          <w:p>
            <w:pPr>
              <w:snapToGrid w:val="0"/>
              <w:spacing w:line="220" w:lineRule="exact"/>
              <w:jc w:val="center"/>
              <w:rPr>
                <w:rFonts w:ascii="Times New Roman" w:hAnsi="Times New Roman" w:cs="Calibri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Calibri"/>
                <w:sz w:val="18"/>
                <w:szCs w:val="18"/>
                <w:highlight w:val="none"/>
              </w:rPr>
              <w:t>+缓冲液</w:t>
            </w:r>
          </w:p>
        </w:tc>
        <w:tc>
          <w:tcPr>
            <w:tcW w:w="708" w:type="dxa"/>
            <w:shd w:val="clear" w:color="auto" w:fill="FFFFFF"/>
            <w:vAlign w:val="center"/>
          </w:tcPr>
          <w:p>
            <w:pPr>
              <w:snapToGrid w:val="0"/>
              <w:spacing w:line="220" w:lineRule="exact"/>
              <w:jc w:val="center"/>
              <w:rPr>
                <w:rFonts w:ascii="Times New Roman" w:hAnsi="Times New Roman" w:cs="Calibri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Calibri"/>
                <w:sz w:val="18"/>
                <w:szCs w:val="18"/>
                <w:highlight w:val="none"/>
              </w:rPr>
              <w:t xml:space="preserve">5 </w:t>
            </w:r>
          </w:p>
          <w:p>
            <w:pPr>
              <w:snapToGrid w:val="0"/>
              <w:spacing w:line="220" w:lineRule="exact"/>
              <w:jc w:val="center"/>
              <w:rPr>
                <w:rFonts w:ascii="Times New Roman" w:hAnsi="Times New Roman" w:cs="Calibri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Calibri"/>
                <w:sz w:val="18"/>
                <w:szCs w:val="18"/>
                <w:highlight w:val="none"/>
              </w:rPr>
              <w:t>mM受试物C</w:t>
            </w:r>
          </w:p>
          <w:p>
            <w:pPr>
              <w:snapToGrid w:val="0"/>
              <w:spacing w:line="220" w:lineRule="exact"/>
              <w:jc w:val="center"/>
              <w:rPr>
                <w:rFonts w:ascii="Times New Roman" w:hAnsi="Times New Roman" w:cs="Calibri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Calibri"/>
                <w:sz w:val="18"/>
                <w:szCs w:val="18"/>
                <w:highlight w:val="none"/>
              </w:rPr>
              <w:t>+缓冲液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7" w:type="dxa"/>
            <w:shd w:val="clear" w:color="auto" w:fill="FFFFFF"/>
            <w:vAlign w:val="center"/>
          </w:tcPr>
          <w:p>
            <w:pPr>
              <w:snapToGrid w:val="0"/>
              <w:spacing w:line="300" w:lineRule="auto"/>
              <w:jc w:val="center"/>
              <w:rPr>
                <w:rFonts w:ascii="Times New Roman" w:hAnsi="Times New Roman" w:cs="Calibri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Calibri"/>
                <w:sz w:val="18"/>
                <w:szCs w:val="18"/>
                <w:highlight w:val="none"/>
              </w:rPr>
              <w:t>H</w:t>
            </w:r>
          </w:p>
        </w:tc>
        <w:tc>
          <w:tcPr>
            <w:tcW w:w="839" w:type="dxa"/>
            <w:gridSpan w:val="2"/>
            <w:shd w:val="clear" w:color="auto" w:fill="FFFFFF"/>
            <w:vAlign w:val="center"/>
          </w:tcPr>
          <w:p>
            <w:pPr>
              <w:snapToGrid w:val="0"/>
              <w:spacing w:line="220" w:lineRule="exact"/>
              <w:jc w:val="center"/>
              <w:rPr>
                <w:rFonts w:ascii="Times New Roman" w:hAnsi="Times New Roman" w:cs="Calibri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Calibri"/>
                <w:sz w:val="18"/>
                <w:szCs w:val="18"/>
                <w:highlight w:val="none"/>
              </w:rPr>
              <w:t>0.31 mM  PC+0.5 mM多肽</w:t>
            </w:r>
          </w:p>
        </w:tc>
        <w:tc>
          <w:tcPr>
            <w:tcW w:w="780" w:type="dxa"/>
            <w:gridSpan w:val="2"/>
            <w:shd w:val="clear" w:color="auto" w:fill="FFFFFF"/>
            <w:vAlign w:val="center"/>
          </w:tcPr>
          <w:p>
            <w:pPr>
              <w:snapToGrid w:val="0"/>
              <w:spacing w:line="220" w:lineRule="exact"/>
              <w:jc w:val="center"/>
              <w:rPr>
                <w:rFonts w:ascii="Times New Roman" w:hAnsi="Times New Roman" w:cs="Calibri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Calibri"/>
                <w:sz w:val="18"/>
                <w:szCs w:val="18"/>
                <w:highlight w:val="none"/>
              </w:rPr>
              <w:t>0.63 mM  PC+0.5 mM多肽</w:t>
            </w:r>
          </w:p>
        </w:tc>
        <w:tc>
          <w:tcPr>
            <w:tcW w:w="763" w:type="dxa"/>
            <w:shd w:val="clear" w:color="auto" w:fill="FFFFFF"/>
            <w:vAlign w:val="center"/>
          </w:tcPr>
          <w:p>
            <w:pPr>
              <w:snapToGrid w:val="0"/>
              <w:spacing w:line="220" w:lineRule="exact"/>
              <w:jc w:val="center"/>
              <w:rPr>
                <w:rFonts w:ascii="Times New Roman" w:hAnsi="Times New Roman" w:cs="Calibri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Calibri"/>
                <w:sz w:val="18"/>
                <w:szCs w:val="18"/>
                <w:highlight w:val="none"/>
              </w:rPr>
              <w:t>1.25 mM  PC+0.5 mM多肽</w:t>
            </w:r>
          </w:p>
        </w:tc>
        <w:tc>
          <w:tcPr>
            <w:tcW w:w="813" w:type="dxa"/>
            <w:gridSpan w:val="2"/>
            <w:shd w:val="clear" w:color="auto" w:fill="FFFFFF"/>
            <w:vAlign w:val="center"/>
          </w:tcPr>
          <w:p>
            <w:pPr>
              <w:snapToGrid w:val="0"/>
              <w:spacing w:line="220" w:lineRule="exact"/>
              <w:jc w:val="center"/>
              <w:rPr>
                <w:rFonts w:ascii="Times New Roman" w:hAnsi="Times New Roman" w:cs="Calibri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Calibri"/>
                <w:sz w:val="18"/>
                <w:szCs w:val="18"/>
                <w:highlight w:val="none"/>
              </w:rPr>
              <w:t xml:space="preserve">2.5 </w:t>
            </w:r>
          </w:p>
          <w:p>
            <w:pPr>
              <w:snapToGrid w:val="0"/>
              <w:spacing w:line="220" w:lineRule="exact"/>
              <w:jc w:val="center"/>
              <w:rPr>
                <w:rFonts w:ascii="Times New Roman" w:hAnsi="Times New Roman" w:cs="Calibri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Calibri"/>
                <w:sz w:val="18"/>
                <w:szCs w:val="18"/>
                <w:highlight w:val="none"/>
              </w:rPr>
              <w:t>mM  PC+0.5 mM多肽</w:t>
            </w:r>
          </w:p>
        </w:tc>
        <w:tc>
          <w:tcPr>
            <w:tcW w:w="773" w:type="dxa"/>
            <w:gridSpan w:val="2"/>
            <w:shd w:val="clear" w:color="auto" w:fill="FFFFFF"/>
            <w:vAlign w:val="center"/>
          </w:tcPr>
          <w:p>
            <w:pPr>
              <w:snapToGrid w:val="0"/>
              <w:spacing w:line="220" w:lineRule="exact"/>
              <w:jc w:val="center"/>
              <w:rPr>
                <w:rFonts w:ascii="Times New Roman" w:hAnsi="Times New Roman" w:cs="Calibri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Calibri"/>
                <w:sz w:val="18"/>
                <w:szCs w:val="18"/>
                <w:highlight w:val="none"/>
              </w:rPr>
              <w:t xml:space="preserve">5 </w:t>
            </w:r>
          </w:p>
          <w:p>
            <w:pPr>
              <w:snapToGrid w:val="0"/>
              <w:spacing w:line="220" w:lineRule="exact"/>
              <w:jc w:val="center"/>
              <w:rPr>
                <w:rFonts w:ascii="Times New Roman" w:hAnsi="Times New Roman" w:cs="Calibri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Calibri"/>
                <w:sz w:val="18"/>
                <w:szCs w:val="18"/>
                <w:highlight w:val="none"/>
              </w:rPr>
              <w:t xml:space="preserve">mM  </w:t>
            </w:r>
            <w:bookmarkStart w:id="19" w:name="OLE_LINK5"/>
            <w:r>
              <w:rPr>
                <w:rFonts w:ascii="Times New Roman" w:hAnsi="Times New Roman" w:cs="Calibri"/>
                <w:sz w:val="18"/>
                <w:szCs w:val="18"/>
                <w:highlight w:val="none"/>
              </w:rPr>
              <w:t>PC</w:t>
            </w:r>
            <w:bookmarkEnd w:id="19"/>
            <w:r>
              <w:rPr>
                <w:rFonts w:ascii="Times New Roman" w:hAnsi="Times New Roman" w:cs="Calibri"/>
                <w:sz w:val="18"/>
                <w:szCs w:val="18"/>
                <w:highlight w:val="none"/>
              </w:rPr>
              <w:t>+0.5 mM多肽</w:t>
            </w:r>
          </w:p>
        </w:tc>
        <w:tc>
          <w:tcPr>
            <w:tcW w:w="592" w:type="dxa"/>
            <w:shd w:val="clear" w:color="auto" w:fill="FFFFFF"/>
            <w:vAlign w:val="center"/>
          </w:tcPr>
          <w:p>
            <w:pPr>
              <w:snapToGrid w:val="0"/>
              <w:spacing w:line="220" w:lineRule="exact"/>
              <w:jc w:val="center"/>
              <w:rPr>
                <w:rFonts w:ascii="Times New Roman" w:hAnsi="Times New Roman" w:cs="Calibri"/>
                <w:sz w:val="18"/>
                <w:szCs w:val="18"/>
                <w:highlight w:val="none"/>
              </w:rPr>
            </w:pPr>
          </w:p>
        </w:tc>
        <w:tc>
          <w:tcPr>
            <w:tcW w:w="685" w:type="dxa"/>
            <w:shd w:val="clear" w:color="auto" w:fill="FFFFFF"/>
            <w:vAlign w:val="center"/>
          </w:tcPr>
          <w:p>
            <w:pPr>
              <w:snapToGrid w:val="0"/>
              <w:spacing w:line="220" w:lineRule="exact"/>
              <w:jc w:val="center"/>
              <w:rPr>
                <w:rFonts w:ascii="Times New Roman" w:hAnsi="Times New Roman" w:cs="Calibri"/>
                <w:sz w:val="18"/>
                <w:szCs w:val="18"/>
                <w:highlight w:val="none"/>
              </w:rPr>
            </w:pPr>
          </w:p>
        </w:tc>
        <w:tc>
          <w:tcPr>
            <w:tcW w:w="702" w:type="dxa"/>
            <w:shd w:val="clear" w:color="auto" w:fill="FFFFFF"/>
            <w:vAlign w:val="center"/>
          </w:tcPr>
          <w:p>
            <w:pPr>
              <w:snapToGrid w:val="0"/>
              <w:spacing w:line="220" w:lineRule="exact"/>
              <w:jc w:val="center"/>
              <w:rPr>
                <w:rFonts w:ascii="Times New Roman" w:hAnsi="Times New Roman" w:cs="Calibri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Calibri"/>
                <w:sz w:val="18"/>
                <w:szCs w:val="18"/>
                <w:highlight w:val="none"/>
              </w:rPr>
              <w:t>1.25 mM PC+缓冲液</w:t>
            </w:r>
          </w:p>
        </w:tc>
        <w:tc>
          <w:tcPr>
            <w:tcW w:w="685" w:type="dxa"/>
            <w:shd w:val="clear" w:color="auto" w:fill="FFFFFF"/>
            <w:vAlign w:val="center"/>
          </w:tcPr>
          <w:p>
            <w:pPr>
              <w:snapToGrid w:val="0"/>
              <w:spacing w:line="220" w:lineRule="exact"/>
              <w:jc w:val="center"/>
              <w:rPr>
                <w:rFonts w:ascii="Times New Roman" w:hAnsi="Times New Roman" w:cs="Calibri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Calibri"/>
                <w:sz w:val="18"/>
                <w:szCs w:val="18"/>
                <w:highlight w:val="none"/>
              </w:rPr>
              <w:t xml:space="preserve">2.5 </w:t>
            </w:r>
          </w:p>
          <w:p>
            <w:pPr>
              <w:snapToGrid w:val="0"/>
              <w:spacing w:line="220" w:lineRule="exact"/>
              <w:jc w:val="center"/>
              <w:rPr>
                <w:rFonts w:ascii="Times New Roman" w:hAnsi="Times New Roman" w:cs="Calibri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Calibri"/>
                <w:sz w:val="18"/>
                <w:szCs w:val="18"/>
                <w:highlight w:val="none"/>
              </w:rPr>
              <w:t xml:space="preserve">mM </w:t>
            </w:r>
          </w:p>
          <w:p>
            <w:pPr>
              <w:snapToGrid w:val="0"/>
              <w:spacing w:line="220" w:lineRule="exact"/>
              <w:jc w:val="center"/>
              <w:rPr>
                <w:rFonts w:ascii="Times New Roman" w:hAnsi="Times New Roman" w:cs="Calibri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Calibri"/>
                <w:sz w:val="18"/>
                <w:szCs w:val="18"/>
                <w:highlight w:val="none"/>
              </w:rPr>
              <w:t>PC+缓冲液</w:t>
            </w:r>
          </w:p>
        </w:tc>
        <w:tc>
          <w:tcPr>
            <w:tcW w:w="703" w:type="dxa"/>
            <w:shd w:val="clear" w:color="auto" w:fill="FFFFFF"/>
            <w:vAlign w:val="center"/>
          </w:tcPr>
          <w:p>
            <w:pPr>
              <w:snapToGrid w:val="0"/>
              <w:spacing w:line="220" w:lineRule="exact"/>
              <w:jc w:val="center"/>
              <w:rPr>
                <w:rFonts w:ascii="Times New Roman" w:hAnsi="Times New Roman" w:cs="Calibri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Calibri"/>
                <w:sz w:val="18"/>
                <w:szCs w:val="18"/>
                <w:highlight w:val="none"/>
              </w:rPr>
              <w:t xml:space="preserve">5 </w:t>
            </w:r>
          </w:p>
          <w:p>
            <w:pPr>
              <w:snapToGrid w:val="0"/>
              <w:spacing w:line="220" w:lineRule="exact"/>
              <w:jc w:val="center"/>
              <w:rPr>
                <w:rFonts w:ascii="Times New Roman" w:hAnsi="Times New Roman" w:cs="Calibri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Calibri"/>
                <w:sz w:val="18"/>
                <w:szCs w:val="18"/>
                <w:highlight w:val="none"/>
              </w:rPr>
              <w:t>mM PC+缓冲液</w:t>
            </w:r>
          </w:p>
        </w:tc>
        <w:tc>
          <w:tcPr>
            <w:tcW w:w="703" w:type="dxa"/>
            <w:shd w:val="clear" w:color="auto" w:fill="FFFFFF"/>
            <w:vAlign w:val="center"/>
          </w:tcPr>
          <w:p>
            <w:pPr>
              <w:snapToGrid w:val="0"/>
              <w:spacing w:line="220" w:lineRule="exact"/>
              <w:jc w:val="center"/>
              <w:rPr>
                <w:rFonts w:ascii="Times New Roman" w:hAnsi="Times New Roman" w:cs="Calibri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Calibri"/>
                <w:sz w:val="18"/>
                <w:szCs w:val="18"/>
                <w:highlight w:val="none"/>
              </w:rPr>
              <w:t>10 mM PC+缓冲液</w:t>
            </w:r>
          </w:p>
        </w:tc>
        <w:tc>
          <w:tcPr>
            <w:tcW w:w="708" w:type="dxa"/>
            <w:shd w:val="clear" w:color="auto" w:fill="FFFFFF"/>
            <w:vAlign w:val="center"/>
          </w:tcPr>
          <w:p>
            <w:pPr>
              <w:snapToGrid w:val="0"/>
              <w:spacing w:line="220" w:lineRule="exact"/>
              <w:jc w:val="center"/>
              <w:rPr>
                <w:rFonts w:ascii="Times New Roman" w:hAnsi="Times New Roman" w:cs="Calibri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Calibri"/>
                <w:sz w:val="18"/>
                <w:szCs w:val="18"/>
                <w:highlight w:val="none"/>
              </w:rPr>
              <w:t>20 mM PC+缓冲液</w:t>
            </w:r>
          </w:p>
        </w:tc>
      </w:tr>
    </w:tbl>
    <w:p>
      <w:pPr>
        <w:spacing w:before="156" w:beforeLines="50" w:after="156" w:afterLines="50" w:line="300" w:lineRule="auto"/>
        <w:ind w:firstLine="495" w:firstLineChars="236"/>
        <w:jc w:val="center"/>
        <w:rPr>
          <w:rFonts w:ascii="黑体" w:hAnsi="黑体" w:eastAsia="黑体" w:cs="Calibri"/>
          <w:szCs w:val="21"/>
          <w:highlight w:val="none"/>
        </w:rPr>
      </w:pPr>
      <w:r>
        <w:rPr>
          <w:rFonts w:ascii="黑体" w:hAnsi="黑体" w:eastAsia="黑体" w:cs="Calibri"/>
          <w:szCs w:val="21"/>
          <w:highlight w:val="none"/>
        </w:rPr>
        <w:t>图</w:t>
      </w:r>
      <w:r>
        <w:rPr>
          <w:rFonts w:ascii="Times New Roman" w:hAnsi="Times New Roman" w:eastAsia="黑体" w:cs="Calibri"/>
          <w:szCs w:val="21"/>
          <w:highlight w:val="none"/>
        </w:rPr>
        <w:t>1</w:t>
      </w:r>
      <w:r>
        <w:rPr>
          <w:rFonts w:hint="eastAsia" w:ascii="Times New Roman" w:hAnsi="Times New Roman" w:eastAsia="黑体" w:cs="Calibri"/>
          <w:szCs w:val="21"/>
          <w:highlight w:val="none"/>
        </w:rPr>
        <w:t xml:space="preserve">  </w:t>
      </w:r>
      <w:r>
        <w:rPr>
          <w:rFonts w:ascii="Times New Roman" w:hAnsi="Times New Roman" w:eastAsia="黑体" w:cs="Calibri"/>
          <w:szCs w:val="21"/>
          <w:highlight w:val="none"/>
        </w:rPr>
        <w:t>kDPRA</w:t>
      </w:r>
      <w:r>
        <w:rPr>
          <w:rFonts w:ascii="黑体" w:hAnsi="黑体" w:eastAsia="黑体" w:cs="Calibri"/>
          <w:szCs w:val="21"/>
          <w:highlight w:val="none"/>
        </w:rPr>
        <w:t>反应板加样示例</w:t>
      </w:r>
    </w:p>
    <w:p>
      <w:pPr>
        <w:spacing w:before="156" w:beforeLines="50" w:after="156" w:afterLines="50" w:line="300" w:lineRule="auto"/>
        <w:rPr>
          <w:rFonts w:ascii="Times New Roman" w:hAnsi="Times New Roman" w:cs="Calibri"/>
          <w:szCs w:val="21"/>
          <w:highlight w:val="none"/>
        </w:rPr>
      </w:pPr>
      <w:r>
        <w:rPr>
          <w:rFonts w:ascii="Times New Roman" w:hAnsi="Times New Roman" w:cs="Calibri"/>
          <w:szCs w:val="21"/>
          <w:highlight w:val="none"/>
        </w:rPr>
        <w:t>6.2 操作步骤</w:t>
      </w:r>
    </w:p>
    <w:p>
      <w:pPr>
        <w:spacing w:line="300" w:lineRule="auto"/>
        <w:ind w:firstLine="420" w:firstLineChars="200"/>
        <w:rPr>
          <w:rFonts w:ascii="Times New Roman" w:hAnsi="Times New Roman" w:cs="Calibri"/>
          <w:szCs w:val="21"/>
          <w:highlight w:val="none"/>
        </w:rPr>
      </w:pPr>
      <w:r>
        <w:rPr>
          <w:rFonts w:ascii="Times New Roman" w:hAnsi="Times New Roman" w:cs="Calibri"/>
          <w:szCs w:val="21"/>
          <w:highlight w:val="none"/>
        </w:rPr>
        <w:t>每个反应时间分别准备应用板（受试物溶液稀释板）和反应板。应先准备反应板，随后立即准备含有受试物稀释液的应用板，并将各组受试物溶液立即加入到反应板中。</w:t>
      </w:r>
    </w:p>
    <w:p>
      <w:pPr>
        <w:spacing w:before="0" w:beforeLines="0" w:after="0" w:afterLines="0" w:line="300" w:lineRule="auto"/>
        <w:rPr>
          <w:rFonts w:ascii="Times New Roman" w:hAnsi="Times New Roman" w:cs="Calibri"/>
          <w:szCs w:val="21"/>
          <w:highlight w:val="none"/>
        </w:rPr>
      </w:pPr>
      <w:r>
        <w:rPr>
          <w:rFonts w:ascii="Times New Roman" w:hAnsi="Times New Roman" w:cs="Calibri"/>
          <w:szCs w:val="21"/>
          <w:highlight w:val="none"/>
        </w:rPr>
        <w:t>6.2.1 反应板的准备</w:t>
      </w:r>
    </w:p>
    <w:p>
      <w:pPr>
        <w:spacing w:line="300" w:lineRule="auto"/>
        <w:ind w:firstLine="420" w:firstLineChars="200"/>
        <w:rPr>
          <w:rFonts w:ascii="Times New Roman" w:hAnsi="Times New Roman" w:cs="Calibri"/>
          <w:szCs w:val="21"/>
          <w:highlight w:val="none"/>
        </w:rPr>
      </w:pPr>
      <w:r>
        <w:rPr>
          <w:rFonts w:hint="eastAsia" w:ascii="Times New Roman" w:hAnsi="Times New Roman" w:cs="Calibri"/>
          <w:szCs w:val="21"/>
          <w:highlight w:val="none"/>
        </w:rPr>
        <w:t>使用</w:t>
      </w:r>
      <w:r>
        <w:rPr>
          <w:rFonts w:ascii="Times New Roman" w:hAnsi="Times New Roman" w:cs="Calibri"/>
          <w:szCs w:val="21"/>
          <w:highlight w:val="none"/>
        </w:rPr>
        <w:t>黑色96孔板，参照图1准备各时间点的反应板。分别在A1~A12、C1-H1~C5-H5、C6~G6、</w:t>
      </w:r>
      <w:bookmarkStart w:id="20" w:name="OLE_LINK56"/>
      <w:r>
        <w:rPr>
          <w:rFonts w:ascii="Times New Roman" w:hAnsi="Times New Roman" w:cs="Calibri"/>
          <w:szCs w:val="21"/>
          <w:highlight w:val="none"/>
        </w:rPr>
        <w:t>C7-G7</w:t>
      </w:r>
      <w:bookmarkEnd w:id="20"/>
      <w:r>
        <w:rPr>
          <w:rFonts w:ascii="Times New Roman" w:hAnsi="Times New Roman" w:cs="Calibri"/>
          <w:szCs w:val="21"/>
          <w:highlight w:val="none"/>
        </w:rPr>
        <w:t>~C9-G9孔中加入120 μL 0.667 mM多肽溶液，在B1~B12、C10-G10~C12-G12、H8~H12孔中加入120 μL pH7.5的磷酸盐缓冲液。</w:t>
      </w:r>
    </w:p>
    <w:p>
      <w:pPr>
        <w:spacing w:before="0" w:beforeLines="0" w:after="0" w:afterLines="0" w:line="300" w:lineRule="auto"/>
        <w:rPr>
          <w:rFonts w:ascii="Times New Roman" w:hAnsi="Times New Roman" w:cs="Calibri"/>
          <w:szCs w:val="21"/>
          <w:highlight w:val="none"/>
        </w:rPr>
      </w:pPr>
      <w:r>
        <w:rPr>
          <w:rFonts w:ascii="Times New Roman" w:hAnsi="Times New Roman" w:cs="Calibri"/>
          <w:szCs w:val="21"/>
          <w:highlight w:val="none"/>
        </w:rPr>
        <w:t>6.2.2 应用板的准备</w:t>
      </w:r>
    </w:p>
    <w:p>
      <w:pPr>
        <w:spacing w:line="300" w:lineRule="auto"/>
        <w:ind w:firstLine="420" w:firstLineChars="200"/>
        <w:rPr>
          <w:rFonts w:ascii="Times New Roman" w:hAnsi="Times New Roman" w:cs="Calibri"/>
          <w:szCs w:val="21"/>
          <w:highlight w:val="none"/>
        </w:rPr>
      </w:pPr>
      <w:r>
        <w:rPr>
          <w:rFonts w:ascii="Times New Roman" w:hAnsi="Times New Roman" w:cs="Calibri"/>
          <w:szCs w:val="21"/>
          <w:highlight w:val="none"/>
        </w:rPr>
        <w:t>准备2 mL深孔板，参照图2准备各时间点的应用板。分别在A行、B行、C行~</w:t>
      </w:r>
      <w:r>
        <w:rPr>
          <w:rFonts w:hint="eastAsia" w:ascii="Times New Roman" w:hAnsi="Times New Roman" w:cs="Calibri"/>
          <w:szCs w:val="21"/>
          <w:highlight w:val="none"/>
        </w:rPr>
        <w:t xml:space="preserve"> </w:t>
      </w:r>
      <w:r>
        <w:rPr>
          <w:rFonts w:ascii="Times New Roman" w:hAnsi="Times New Roman" w:cs="Calibri"/>
          <w:szCs w:val="21"/>
          <w:highlight w:val="none"/>
        </w:rPr>
        <w:t>F行中每孔分别加入300 μL溶剂，将600 μL 20 mM受试物储存液加入G行。使用多通道移液器从G行吸取300 μL，加入F行，随后按同样方法依次稀释至C行。在H1</w:t>
      </w:r>
      <w:r>
        <w:rPr>
          <w:rFonts w:hint="eastAsia" w:ascii="Times New Roman" w:hAnsi="Times New Roman" w:cs="Calibri"/>
          <w:szCs w:val="21"/>
          <w:highlight w:val="none"/>
        </w:rPr>
        <w:t xml:space="preserve"> </w:t>
      </w:r>
      <w:r>
        <w:rPr>
          <w:rFonts w:ascii="Times New Roman" w:hAnsi="Times New Roman" w:cs="Calibri"/>
          <w:szCs w:val="21"/>
          <w:highlight w:val="none"/>
        </w:rPr>
        <w:t>~</w:t>
      </w:r>
      <w:r>
        <w:rPr>
          <w:rFonts w:hint="eastAsia" w:ascii="Times New Roman" w:hAnsi="Times New Roman" w:cs="Calibri"/>
          <w:szCs w:val="21"/>
          <w:highlight w:val="none"/>
        </w:rPr>
        <w:t xml:space="preserve"> </w:t>
      </w:r>
      <w:r>
        <w:rPr>
          <w:rFonts w:ascii="Times New Roman" w:hAnsi="Times New Roman" w:cs="Calibri"/>
          <w:szCs w:val="21"/>
          <w:highlight w:val="none"/>
        </w:rPr>
        <w:t>H4每孔中每孔分别加入600 μL溶剂，将1200 μL 20 mM阳性对照物储存液加入H5孔。使用移液器从H5孔吸取600 μL，加入H4行，按同样方法依次稀释至H1。从H1</w:t>
      </w:r>
      <w:r>
        <w:rPr>
          <w:rFonts w:hint="eastAsia" w:ascii="Times New Roman" w:hAnsi="Times New Roman" w:cs="Calibri"/>
          <w:szCs w:val="21"/>
          <w:highlight w:val="none"/>
        </w:rPr>
        <w:t xml:space="preserve"> </w:t>
      </w:r>
      <w:r>
        <w:rPr>
          <w:rFonts w:ascii="Times New Roman" w:hAnsi="Times New Roman" w:cs="Calibri"/>
          <w:szCs w:val="21"/>
          <w:highlight w:val="none"/>
        </w:rPr>
        <w:t>~</w:t>
      </w:r>
      <w:r>
        <w:rPr>
          <w:rFonts w:hint="eastAsia" w:ascii="Times New Roman" w:hAnsi="Times New Roman" w:cs="Calibri"/>
          <w:szCs w:val="21"/>
          <w:highlight w:val="none"/>
        </w:rPr>
        <w:t xml:space="preserve"> </w:t>
      </w:r>
      <w:r>
        <w:rPr>
          <w:rFonts w:ascii="Times New Roman" w:hAnsi="Times New Roman" w:cs="Calibri"/>
          <w:szCs w:val="21"/>
          <w:highlight w:val="none"/>
        </w:rPr>
        <w:t>H5中吸取300 μL溶液转移到H8</w:t>
      </w:r>
      <w:r>
        <w:rPr>
          <w:rFonts w:hint="eastAsia" w:ascii="Times New Roman" w:hAnsi="Times New Roman" w:cs="Calibri"/>
          <w:szCs w:val="21"/>
          <w:highlight w:val="none"/>
        </w:rPr>
        <w:t xml:space="preserve"> </w:t>
      </w:r>
      <w:r>
        <w:rPr>
          <w:rFonts w:ascii="Times New Roman" w:hAnsi="Times New Roman" w:cs="Calibri"/>
          <w:szCs w:val="21"/>
          <w:highlight w:val="none"/>
        </w:rPr>
        <w:t>~</w:t>
      </w:r>
      <w:r>
        <w:rPr>
          <w:rFonts w:hint="eastAsia" w:ascii="Times New Roman" w:hAnsi="Times New Roman" w:cs="Calibri"/>
          <w:szCs w:val="21"/>
          <w:highlight w:val="none"/>
        </w:rPr>
        <w:t xml:space="preserve"> </w:t>
      </w:r>
      <w:r>
        <w:rPr>
          <w:rFonts w:ascii="Times New Roman" w:hAnsi="Times New Roman" w:cs="Calibri"/>
          <w:szCs w:val="21"/>
          <w:highlight w:val="none"/>
        </w:rPr>
        <w:t>H12孔。配制完成后及时用封板膜密封待用。</w:t>
      </w:r>
    </w:p>
    <w:tbl>
      <w:tblPr>
        <w:tblStyle w:val="8"/>
        <w:tblW w:w="88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2"/>
        <w:gridCol w:w="714"/>
        <w:gridCol w:w="13"/>
        <w:gridCol w:w="701"/>
        <w:gridCol w:w="714"/>
        <w:gridCol w:w="714"/>
        <w:gridCol w:w="714"/>
        <w:gridCol w:w="714"/>
        <w:gridCol w:w="714"/>
        <w:gridCol w:w="714"/>
        <w:gridCol w:w="714"/>
        <w:gridCol w:w="714"/>
        <w:gridCol w:w="714"/>
        <w:gridCol w:w="7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  <w:jc w:val="center"/>
        </w:trPr>
        <w:tc>
          <w:tcPr>
            <w:tcW w:w="322" w:type="dxa"/>
            <w:vAlign w:val="center"/>
          </w:tcPr>
          <w:p>
            <w:pPr>
              <w:adjustRightInd w:val="0"/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</w:p>
        </w:tc>
        <w:tc>
          <w:tcPr>
            <w:tcW w:w="714" w:type="dxa"/>
            <w:vAlign w:val="center"/>
          </w:tcPr>
          <w:p>
            <w:pPr>
              <w:adjustRightInd w:val="0"/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1</w:t>
            </w:r>
          </w:p>
        </w:tc>
        <w:tc>
          <w:tcPr>
            <w:tcW w:w="714" w:type="dxa"/>
            <w:gridSpan w:val="2"/>
            <w:vAlign w:val="center"/>
          </w:tcPr>
          <w:p>
            <w:pPr>
              <w:adjustRightInd w:val="0"/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2</w:t>
            </w:r>
          </w:p>
        </w:tc>
        <w:tc>
          <w:tcPr>
            <w:tcW w:w="714" w:type="dxa"/>
            <w:vAlign w:val="center"/>
          </w:tcPr>
          <w:p>
            <w:pPr>
              <w:adjustRightInd w:val="0"/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3</w:t>
            </w:r>
          </w:p>
        </w:tc>
        <w:tc>
          <w:tcPr>
            <w:tcW w:w="714" w:type="dxa"/>
            <w:vAlign w:val="center"/>
          </w:tcPr>
          <w:p>
            <w:pPr>
              <w:adjustRightInd w:val="0"/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4</w:t>
            </w:r>
          </w:p>
        </w:tc>
        <w:tc>
          <w:tcPr>
            <w:tcW w:w="714" w:type="dxa"/>
            <w:vAlign w:val="center"/>
          </w:tcPr>
          <w:p>
            <w:pPr>
              <w:adjustRightInd w:val="0"/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5</w:t>
            </w:r>
          </w:p>
        </w:tc>
        <w:tc>
          <w:tcPr>
            <w:tcW w:w="714" w:type="dxa"/>
            <w:vAlign w:val="center"/>
          </w:tcPr>
          <w:p>
            <w:pPr>
              <w:adjustRightInd w:val="0"/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6</w:t>
            </w:r>
          </w:p>
        </w:tc>
        <w:tc>
          <w:tcPr>
            <w:tcW w:w="714" w:type="dxa"/>
            <w:vAlign w:val="center"/>
          </w:tcPr>
          <w:p>
            <w:pPr>
              <w:adjustRightInd w:val="0"/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7</w:t>
            </w:r>
          </w:p>
        </w:tc>
        <w:tc>
          <w:tcPr>
            <w:tcW w:w="714" w:type="dxa"/>
            <w:vAlign w:val="center"/>
          </w:tcPr>
          <w:p>
            <w:pPr>
              <w:adjustRightInd w:val="0"/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8</w:t>
            </w:r>
          </w:p>
        </w:tc>
        <w:tc>
          <w:tcPr>
            <w:tcW w:w="714" w:type="dxa"/>
            <w:vAlign w:val="center"/>
          </w:tcPr>
          <w:p>
            <w:pPr>
              <w:adjustRightInd w:val="0"/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9</w:t>
            </w:r>
          </w:p>
        </w:tc>
        <w:tc>
          <w:tcPr>
            <w:tcW w:w="714" w:type="dxa"/>
            <w:vAlign w:val="center"/>
          </w:tcPr>
          <w:p>
            <w:pPr>
              <w:adjustRightInd w:val="0"/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10</w:t>
            </w:r>
          </w:p>
        </w:tc>
        <w:tc>
          <w:tcPr>
            <w:tcW w:w="714" w:type="dxa"/>
            <w:vAlign w:val="center"/>
          </w:tcPr>
          <w:p>
            <w:pPr>
              <w:adjustRightInd w:val="0"/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11</w:t>
            </w:r>
          </w:p>
        </w:tc>
        <w:tc>
          <w:tcPr>
            <w:tcW w:w="723" w:type="dxa"/>
            <w:vAlign w:val="center"/>
          </w:tcPr>
          <w:p>
            <w:pPr>
              <w:adjustRightInd w:val="0"/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  <w:jc w:val="center"/>
        </w:trPr>
        <w:tc>
          <w:tcPr>
            <w:tcW w:w="322" w:type="dxa"/>
            <w:shd w:val="clear" w:color="auto" w:fill="FFFFFF"/>
            <w:vAlign w:val="center"/>
          </w:tcPr>
          <w:p>
            <w:pPr>
              <w:adjustRightInd w:val="0"/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A</w:t>
            </w:r>
          </w:p>
        </w:tc>
        <w:tc>
          <w:tcPr>
            <w:tcW w:w="714" w:type="dxa"/>
            <w:shd w:val="clear" w:color="auto" w:fill="FFFFFF"/>
            <w:vAlign w:val="center"/>
          </w:tcPr>
          <w:p>
            <w:pPr>
              <w:adjustRightInd w:val="0"/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溶剂</w:t>
            </w:r>
          </w:p>
        </w:tc>
        <w:tc>
          <w:tcPr>
            <w:tcW w:w="714" w:type="dxa"/>
            <w:gridSpan w:val="2"/>
            <w:shd w:val="clear" w:color="auto" w:fill="FFFFFF"/>
            <w:vAlign w:val="center"/>
          </w:tcPr>
          <w:p>
            <w:pPr>
              <w:adjustRightInd w:val="0"/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溶剂</w:t>
            </w:r>
          </w:p>
        </w:tc>
        <w:tc>
          <w:tcPr>
            <w:tcW w:w="714" w:type="dxa"/>
            <w:shd w:val="clear" w:color="auto" w:fill="FFFFFF"/>
            <w:vAlign w:val="center"/>
          </w:tcPr>
          <w:p>
            <w:pPr>
              <w:adjustRightInd w:val="0"/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溶剂</w:t>
            </w:r>
          </w:p>
        </w:tc>
        <w:tc>
          <w:tcPr>
            <w:tcW w:w="714" w:type="dxa"/>
            <w:shd w:val="clear" w:color="auto" w:fill="FFFFFF"/>
            <w:vAlign w:val="center"/>
          </w:tcPr>
          <w:p>
            <w:pPr>
              <w:adjustRightInd w:val="0"/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溶剂</w:t>
            </w:r>
          </w:p>
        </w:tc>
        <w:tc>
          <w:tcPr>
            <w:tcW w:w="714" w:type="dxa"/>
            <w:shd w:val="clear" w:color="auto" w:fill="FFFFFF"/>
            <w:vAlign w:val="center"/>
          </w:tcPr>
          <w:p>
            <w:pPr>
              <w:adjustRightInd w:val="0"/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溶剂</w:t>
            </w:r>
          </w:p>
        </w:tc>
        <w:tc>
          <w:tcPr>
            <w:tcW w:w="714" w:type="dxa"/>
            <w:shd w:val="clear" w:color="auto" w:fill="FFFFFF"/>
            <w:vAlign w:val="center"/>
          </w:tcPr>
          <w:p>
            <w:pPr>
              <w:adjustRightInd w:val="0"/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溶剂</w:t>
            </w:r>
          </w:p>
        </w:tc>
        <w:tc>
          <w:tcPr>
            <w:tcW w:w="714" w:type="dxa"/>
            <w:shd w:val="clear" w:color="auto" w:fill="FFFFFF"/>
            <w:vAlign w:val="center"/>
          </w:tcPr>
          <w:p>
            <w:pPr>
              <w:adjustRightInd w:val="0"/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溶剂</w:t>
            </w:r>
          </w:p>
        </w:tc>
        <w:tc>
          <w:tcPr>
            <w:tcW w:w="714" w:type="dxa"/>
            <w:shd w:val="clear" w:color="auto" w:fill="FFFFFF"/>
            <w:vAlign w:val="center"/>
          </w:tcPr>
          <w:p>
            <w:pPr>
              <w:adjustRightInd w:val="0"/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溶剂</w:t>
            </w:r>
          </w:p>
        </w:tc>
        <w:tc>
          <w:tcPr>
            <w:tcW w:w="714" w:type="dxa"/>
            <w:shd w:val="clear" w:color="auto" w:fill="FFFFFF"/>
            <w:vAlign w:val="center"/>
          </w:tcPr>
          <w:p>
            <w:pPr>
              <w:adjustRightInd w:val="0"/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溶剂</w:t>
            </w:r>
          </w:p>
        </w:tc>
        <w:tc>
          <w:tcPr>
            <w:tcW w:w="714" w:type="dxa"/>
            <w:shd w:val="clear" w:color="auto" w:fill="FFFFFF"/>
            <w:vAlign w:val="center"/>
          </w:tcPr>
          <w:p>
            <w:pPr>
              <w:adjustRightInd w:val="0"/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溶剂</w:t>
            </w:r>
          </w:p>
        </w:tc>
        <w:tc>
          <w:tcPr>
            <w:tcW w:w="714" w:type="dxa"/>
            <w:shd w:val="clear" w:color="auto" w:fill="FFFFFF"/>
            <w:vAlign w:val="center"/>
          </w:tcPr>
          <w:p>
            <w:pPr>
              <w:adjustRightInd w:val="0"/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溶剂</w:t>
            </w:r>
          </w:p>
        </w:tc>
        <w:tc>
          <w:tcPr>
            <w:tcW w:w="723" w:type="dxa"/>
            <w:shd w:val="clear" w:color="auto" w:fill="FFFFFF"/>
            <w:vAlign w:val="center"/>
          </w:tcPr>
          <w:p>
            <w:pPr>
              <w:adjustRightInd w:val="0"/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溶剂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  <w:jc w:val="center"/>
        </w:trPr>
        <w:tc>
          <w:tcPr>
            <w:tcW w:w="322" w:type="dxa"/>
            <w:shd w:val="clear" w:color="auto" w:fill="FFFFFF"/>
            <w:vAlign w:val="center"/>
          </w:tcPr>
          <w:p>
            <w:pPr>
              <w:adjustRightInd w:val="0"/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B</w:t>
            </w:r>
          </w:p>
        </w:tc>
        <w:tc>
          <w:tcPr>
            <w:tcW w:w="714" w:type="dxa"/>
            <w:shd w:val="clear" w:color="auto" w:fill="FFFFFF"/>
            <w:vAlign w:val="center"/>
          </w:tcPr>
          <w:p>
            <w:pPr>
              <w:adjustRightInd w:val="0"/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溶剂</w:t>
            </w:r>
          </w:p>
        </w:tc>
        <w:tc>
          <w:tcPr>
            <w:tcW w:w="714" w:type="dxa"/>
            <w:gridSpan w:val="2"/>
            <w:shd w:val="clear" w:color="auto" w:fill="FFFFFF"/>
            <w:vAlign w:val="center"/>
          </w:tcPr>
          <w:p>
            <w:pPr>
              <w:adjustRightInd w:val="0"/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溶剂</w:t>
            </w:r>
          </w:p>
        </w:tc>
        <w:tc>
          <w:tcPr>
            <w:tcW w:w="714" w:type="dxa"/>
            <w:shd w:val="clear" w:color="auto" w:fill="FFFFFF"/>
            <w:vAlign w:val="center"/>
          </w:tcPr>
          <w:p>
            <w:pPr>
              <w:adjustRightInd w:val="0"/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溶剂</w:t>
            </w:r>
          </w:p>
        </w:tc>
        <w:tc>
          <w:tcPr>
            <w:tcW w:w="714" w:type="dxa"/>
            <w:shd w:val="clear" w:color="auto" w:fill="FFFFFF"/>
            <w:vAlign w:val="center"/>
          </w:tcPr>
          <w:p>
            <w:pPr>
              <w:adjustRightInd w:val="0"/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溶剂</w:t>
            </w:r>
          </w:p>
        </w:tc>
        <w:tc>
          <w:tcPr>
            <w:tcW w:w="714" w:type="dxa"/>
            <w:shd w:val="clear" w:color="auto" w:fill="FFFFFF"/>
            <w:vAlign w:val="center"/>
          </w:tcPr>
          <w:p>
            <w:pPr>
              <w:adjustRightInd w:val="0"/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溶剂</w:t>
            </w:r>
          </w:p>
        </w:tc>
        <w:tc>
          <w:tcPr>
            <w:tcW w:w="714" w:type="dxa"/>
            <w:shd w:val="clear" w:color="auto" w:fill="FFFFFF"/>
            <w:vAlign w:val="center"/>
          </w:tcPr>
          <w:p>
            <w:pPr>
              <w:adjustRightInd w:val="0"/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溶剂</w:t>
            </w:r>
          </w:p>
        </w:tc>
        <w:tc>
          <w:tcPr>
            <w:tcW w:w="714" w:type="dxa"/>
            <w:shd w:val="clear" w:color="auto" w:fill="FFFFFF"/>
            <w:vAlign w:val="center"/>
          </w:tcPr>
          <w:p>
            <w:pPr>
              <w:adjustRightInd w:val="0"/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溶剂</w:t>
            </w:r>
          </w:p>
        </w:tc>
        <w:tc>
          <w:tcPr>
            <w:tcW w:w="714" w:type="dxa"/>
            <w:shd w:val="clear" w:color="auto" w:fill="FFFFFF"/>
            <w:vAlign w:val="center"/>
          </w:tcPr>
          <w:p>
            <w:pPr>
              <w:adjustRightInd w:val="0"/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溶剂</w:t>
            </w:r>
          </w:p>
        </w:tc>
        <w:tc>
          <w:tcPr>
            <w:tcW w:w="714" w:type="dxa"/>
            <w:shd w:val="clear" w:color="auto" w:fill="FFFFFF"/>
            <w:vAlign w:val="center"/>
          </w:tcPr>
          <w:p>
            <w:pPr>
              <w:adjustRightInd w:val="0"/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溶剂</w:t>
            </w:r>
          </w:p>
        </w:tc>
        <w:tc>
          <w:tcPr>
            <w:tcW w:w="714" w:type="dxa"/>
            <w:shd w:val="clear" w:color="auto" w:fill="FFFFFF"/>
            <w:vAlign w:val="center"/>
          </w:tcPr>
          <w:p>
            <w:pPr>
              <w:adjustRightInd w:val="0"/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溶剂</w:t>
            </w:r>
          </w:p>
        </w:tc>
        <w:tc>
          <w:tcPr>
            <w:tcW w:w="714" w:type="dxa"/>
            <w:shd w:val="clear" w:color="auto" w:fill="FFFFFF"/>
            <w:vAlign w:val="center"/>
          </w:tcPr>
          <w:p>
            <w:pPr>
              <w:adjustRightInd w:val="0"/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溶剂</w:t>
            </w:r>
          </w:p>
        </w:tc>
        <w:tc>
          <w:tcPr>
            <w:tcW w:w="723" w:type="dxa"/>
            <w:shd w:val="clear" w:color="auto" w:fill="FFFFFF"/>
            <w:vAlign w:val="center"/>
          </w:tcPr>
          <w:p>
            <w:pPr>
              <w:adjustRightInd w:val="0"/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溶剂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322" w:type="dxa"/>
            <w:shd w:val="clear" w:color="auto" w:fill="FFFFFF"/>
            <w:vAlign w:val="center"/>
          </w:tcPr>
          <w:p>
            <w:pPr>
              <w:adjustRightInd w:val="0"/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C</w:t>
            </w:r>
          </w:p>
        </w:tc>
        <w:tc>
          <w:tcPr>
            <w:tcW w:w="714" w:type="dxa"/>
            <w:shd w:val="clear" w:color="auto" w:fill="FFFFFF"/>
            <w:vAlign w:val="center"/>
          </w:tcPr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1.25 mM受试物A</w:t>
            </w:r>
          </w:p>
        </w:tc>
        <w:tc>
          <w:tcPr>
            <w:tcW w:w="714" w:type="dxa"/>
            <w:gridSpan w:val="2"/>
            <w:shd w:val="clear" w:color="auto" w:fill="FFFFFF"/>
            <w:vAlign w:val="center"/>
          </w:tcPr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1.25 mM 受试物A</w:t>
            </w:r>
          </w:p>
        </w:tc>
        <w:tc>
          <w:tcPr>
            <w:tcW w:w="714" w:type="dxa"/>
            <w:shd w:val="clear" w:color="auto" w:fill="FFFFFF"/>
            <w:vAlign w:val="center"/>
          </w:tcPr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1.25 mM受试物A</w:t>
            </w:r>
          </w:p>
        </w:tc>
        <w:tc>
          <w:tcPr>
            <w:tcW w:w="714" w:type="dxa"/>
            <w:shd w:val="clear" w:color="auto" w:fill="FFFFFF"/>
            <w:vAlign w:val="center"/>
          </w:tcPr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1.25 mM受试物B</w:t>
            </w:r>
          </w:p>
        </w:tc>
        <w:tc>
          <w:tcPr>
            <w:tcW w:w="714" w:type="dxa"/>
            <w:shd w:val="clear" w:color="auto" w:fill="FFFFFF"/>
            <w:vAlign w:val="center"/>
          </w:tcPr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1.25 mM受试物B</w:t>
            </w:r>
          </w:p>
        </w:tc>
        <w:tc>
          <w:tcPr>
            <w:tcW w:w="714" w:type="dxa"/>
            <w:shd w:val="clear" w:color="auto" w:fill="FFFFFF"/>
            <w:vAlign w:val="center"/>
          </w:tcPr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1.25 mM受试物B</w:t>
            </w:r>
          </w:p>
        </w:tc>
        <w:tc>
          <w:tcPr>
            <w:tcW w:w="714" w:type="dxa"/>
            <w:shd w:val="clear" w:color="auto" w:fill="FFFFFF"/>
            <w:vAlign w:val="center"/>
          </w:tcPr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1.25 mM受试物C</w:t>
            </w:r>
          </w:p>
        </w:tc>
        <w:tc>
          <w:tcPr>
            <w:tcW w:w="714" w:type="dxa"/>
            <w:shd w:val="clear" w:color="auto" w:fill="FFFFFF"/>
            <w:vAlign w:val="center"/>
          </w:tcPr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1.25 mM 受试物C</w:t>
            </w:r>
          </w:p>
        </w:tc>
        <w:tc>
          <w:tcPr>
            <w:tcW w:w="714" w:type="dxa"/>
            <w:shd w:val="clear" w:color="auto" w:fill="FFFFFF"/>
            <w:vAlign w:val="center"/>
          </w:tcPr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1.25 mM 受试物C</w:t>
            </w:r>
          </w:p>
        </w:tc>
        <w:tc>
          <w:tcPr>
            <w:tcW w:w="714" w:type="dxa"/>
            <w:shd w:val="clear" w:color="auto" w:fill="FFFFFF"/>
            <w:vAlign w:val="center"/>
          </w:tcPr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1.25 mM 受试物A</w:t>
            </w:r>
          </w:p>
        </w:tc>
        <w:tc>
          <w:tcPr>
            <w:tcW w:w="714" w:type="dxa"/>
            <w:shd w:val="clear" w:color="auto" w:fill="FFFFFF"/>
            <w:vAlign w:val="center"/>
          </w:tcPr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1.25 mM 受试物B</w:t>
            </w:r>
          </w:p>
        </w:tc>
        <w:tc>
          <w:tcPr>
            <w:tcW w:w="723" w:type="dxa"/>
            <w:shd w:val="clear" w:color="auto" w:fill="FFFFFF"/>
            <w:vAlign w:val="center"/>
          </w:tcPr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1.25 mM 受试物C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322" w:type="dxa"/>
            <w:shd w:val="clear" w:color="auto" w:fill="FFFFFF"/>
            <w:vAlign w:val="center"/>
          </w:tcPr>
          <w:p>
            <w:pPr>
              <w:adjustRightInd w:val="0"/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D</w:t>
            </w:r>
          </w:p>
        </w:tc>
        <w:tc>
          <w:tcPr>
            <w:tcW w:w="727" w:type="dxa"/>
            <w:gridSpan w:val="2"/>
            <w:shd w:val="clear" w:color="auto" w:fill="FFFFFF"/>
            <w:vAlign w:val="center"/>
          </w:tcPr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2.5</w:t>
            </w:r>
          </w:p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mM</w:t>
            </w:r>
          </w:p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受试物A</w:t>
            </w:r>
          </w:p>
        </w:tc>
        <w:tc>
          <w:tcPr>
            <w:tcW w:w="701" w:type="dxa"/>
            <w:shd w:val="clear" w:color="auto" w:fill="FFFFFF"/>
            <w:vAlign w:val="center"/>
          </w:tcPr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2.5</w:t>
            </w:r>
          </w:p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mM受试物A</w:t>
            </w:r>
          </w:p>
        </w:tc>
        <w:tc>
          <w:tcPr>
            <w:tcW w:w="714" w:type="dxa"/>
            <w:shd w:val="clear" w:color="auto" w:fill="FFFFFF"/>
            <w:vAlign w:val="center"/>
          </w:tcPr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2.5</w:t>
            </w:r>
          </w:p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mM受试物A</w:t>
            </w:r>
          </w:p>
        </w:tc>
        <w:tc>
          <w:tcPr>
            <w:tcW w:w="714" w:type="dxa"/>
            <w:shd w:val="clear" w:color="auto" w:fill="FFFFFF"/>
            <w:vAlign w:val="center"/>
          </w:tcPr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2.5</w:t>
            </w:r>
          </w:p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mM受试物B</w:t>
            </w:r>
          </w:p>
        </w:tc>
        <w:tc>
          <w:tcPr>
            <w:tcW w:w="714" w:type="dxa"/>
            <w:shd w:val="clear" w:color="auto" w:fill="FFFFFF"/>
            <w:vAlign w:val="center"/>
          </w:tcPr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2.5</w:t>
            </w:r>
          </w:p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mM 受试物B</w:t>
            </w:r>
          </w:p>
        </w:tc>
        <w:tc>
          <w:tcPr>
            <w:tcW w:w="714" w:type="dxa"/>
            <w:shd w:val="clear" w:color="auto" w:fill="FFFFFF"/>
            <w:vAlign w:val="center"/>
          </w:tcPr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2.5</w:t>
            </w:r>
          </w:p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mM受试物B</w:t>
            </w:r>
          </w:p>
        </w:tc>
        <w:tc>
          <w:tcPr>
            <w:tcW w:w="714" w:type="dxa"/>
            <w:shd w:val="clear" w:color="auto" w:fill="FFFFFF"/>
            <w:vAlign w:val="center"/>
          </w:tcPr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2.5</w:t>
            </w:r>
          </w:p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mM受试物C</w:t>
            </w:r>
          </w:p>
        </w:tc>
        <w:tc>
          <w:tcPr>
            <w:tcW w:w="714" w:type="dxa"/>
            <w:shd w:val="clear" w:color="auto" w:fill="FFFFFF"/>
            <w:vAlign w:val="center"/>
          </w:tcPr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2.5</w:t>
            </w:r>
          </w:p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mM 受试物C</w:t>
            </w:r>
          </w:p>
        </w:tc>
        <w:tc>
          <w:tcPr>
            <w:tcW w:w="714" w:type="dxa"/>
            <w:shd w:val="clear" w:color="auto" w:fill="FFFFFF"/>
            <w:vAlign w:val="center"/>
          </w:tcPr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2.5</w:t>
            </w:r>
          </w:p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mM 受试物C</w:t>
            </w:r>
          </w:p>
        </w:tc>
        <w:tc>
          <w:tcPr>
            <w:tcW w:w="714" w:type="dxa"/>
            <w:shd w:val="clear" w:color="auto" w:fill="FFFFFF"/>
            <w:vAlign w:val="center"/>
          </w:tcPr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2.5</w:t>
            </w:r>
          </w:p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mM 受试物A</w:t>
            </w:r>
          </w:p>
        </w:tc>
        <w:tc>
          <w:tcPr>
            <w:tcW w:w="714" w:type="dxa"/>
            <w:shd w:val="clear" w:color="auto" w:fill="FFFFFF"/>
            <w:vAlign w:val="center"/>
          </w:tcPr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2.5</w:t>
            </w:r>
          </w:p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mM 受试物B</w:t>
            </w:r>
          </w:p>
        </w:tc>
        <w:tc>
          <w:tcPr>
            <w:tcW w:w="723" w:type="dxa"/>
            <w:shd w:val="clear" w:color="auto" w:fill="FFFFFF"/>
            <w:vAlign w:val="center"/>
          </w:tcPr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2.5</w:t>
            </w:r>
          </w:p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mM 受试物C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322" w:type="dxa"/>
            <w:shd w:val="clear" w:color="auto" w:fill="FFFFFF"/>
            <w:vAlign w:val="center"/>
          </w:tcPr>
          <w:p>
            <w:pPr>
              <w:adjustRightInd w:val="0"/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E</w:t>
            </w:r>
          </w:p>
        </w:tc>
        <w:tc>
          <w:tcPr>
            <w:tcW w:w="727" w:type="dxa"/>
            <w:gridSpan w:val="2"/>
            <w:shd w:val="clear" w:color="auto" w:fill="FFFFFF"/>
            <w:vAlign w:val="center"/>
          </w:tcPr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5</w:t>
            </w:r>
          </w:p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mM</w:t>
            </w:r>
          </w:p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受试物A</w:t>
            </w:r>
          </w:p>
        </w:tc>
        <w:tc>
          <w:tcPr>
            <w:tcW w:w="701" w:type="dxa"/>
            <w:shd w:val="clear" w:color="auto" w:fill="FFFFFF"/>
            <w:vAlign w:val="center"/>
          </w:tcPr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5</w:t>
            </w:r>
          </w:p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mM受试物A</w:t>
            </w:r>
          </w:p>
        </w:tc>
        <w:tc>
          <w:tcPr>
            <w:tcW w:w="714" w:type="dxa"/>
            <w:shd w:val="clear" w:color="auto" w:fill="FFFFFF"/>
            <w:vAlign w:val="center"/>
          </w:tcPr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5</w:t>
            </w:r>
          </w:p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mM受试物A</w:t>
            </w:r>
          </w:p>
        </w:tc>
        <w:tc>
          <w:tcPr>
            <w:tcW w:w="714" w:type="dxa"/>
            <w:shd w:val="clear" w:color="auto" w:fill="FFFFFF"/>
            <w:vAlign w:val="center"/>
          </w:tcPr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5</w:t>
            </w:r>
          </w:p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mM 受试物B</w:t>
            </w:r>
          </w:p>
        </w:tc>
        <w:tc>
          <w:tcPr>
            <w:tcW w:w="714" w:type="dxa"/>
            <w:shd w:val="clear" w:color="auto" w:fill="FFFFFF"/>
            <w:vAlign w:val="center"/>
          </w:tcPr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5</w:t>
            </w:r>
          </w:p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mM 受试物B</w:t>
            </w:r>
          </w:p>
        </w:tc>
        <w:tc>
          <w:tcPr>
            <w:tcW w:w="714" w:type="dxa"/>
            <w:shd w:val="clear" w:color="auto" w:fill="FFFFFF"/>
            <w:vAlign w:val="center"/>
          </w:tcPr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5</w:t>
            </w:r>
          </w:p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mM受试物B</w:t>
            </w:r>
          </w:p>
        </w:tc>
        <w:tc>
          <w:tcPr>
            <w:tcW w:w="714" w:type="dxa"/>
            <w:shd w:val="clear" w:color="auto" w:fill="FFFFFF"/>
            <w:vAlign w:val="center"/>
          </w:tcPr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5</w:t>
            </w:r>
          </w:p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mM受试物C</w:t>
            </w:r>
          </w:p>
        </w:tc>
        <w:tc>
          <w:tcPr>
            <w:tcW w:w="714" w:type="dxa"/>
            <w:shd w:val="clear" w:color="auto" w:fill="FFFFFF"/>
            <w:vAlign w:val="center"/>
          </w:tcPr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5</w:t>
            </w:r>
          </w:p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mM 受试物C</w:t>
            </w:r>
          </w:p>
        </w:tc>
        <w:tc>
          <w:tcPr>
            <w:tcW w:w="714" w:type="dxa"/>
            <w:shd w:val="clear" w:color="auto" w:fill="FFFFFF"/>
            <w:vAlign w:val="center"/>
          </w:tcPr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5</w:t>
            </w:r>
          </w:p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mM 受试物C</w:t>
            </w:r>
          </w:p>
        </w:tc>
        <w:tc>
          <w:tcPr>
            <w:tcW w:w="714" w:type="dxa"/>
            <w:shd w:val="clear" w:color="auto" w:fill="FFFFFF"/>
            <w:vAlign w:val="center"/>
          </w:tcPr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5</w:t>
            </w:r>
          </w:p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mM 受试物A</w:t>
            </w:r>
          </w:p>
        </w:tc>
        <w:tc>
          <w:tcPr>
            <w:tcW w:w="714" w:type="dxa"/>
            <w:shd w:val="clear" w:color="auto" w:fill="FFFFFF"/>
            <w:vAlign w:val="center"/>
          </w:tcPr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5</w:t>
            </w:r>
          </w:p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mM 受试物B</w:t>
            </w:r>
          </w:p>
        </w:tc>
        <w:tc>
          <w:tcPr>
            <w:tcW w:w="723" w:type="dxa"/>
            <w:shd w:val="clear" w:color="auto" w:fill="FFFFFF"/>
            <w:vAlign w:val="center"/>
          </w:tcPr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5</w:t>
            </w:r>
          </w:p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mM 受试物C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322" w:type="dxa"/>
            <w:shd w:val="clear" w:color="auto" w:fill="FFFFFF"/>
            <w:vAlign w:val="center"/>
          </w:tcPr>
          <w:p>
            <w:pPr>
              <w:adjustRightInd w:val="0"/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F</w:t>
            </w:r>
          </w:p>
        </w:tc>
        <w:tc>
          <w:tcPr>
            <w:tcW w:w="727" w:type="dxa"/>
            <w:gridSpan w:val="2"/>
            <w:shd w:val="clear" w:color="auto" w:fill="FFFFFF"/>
            <w:vAlign w:val="center"/>
          </w:tcPr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10 mM</w:t>
            </w:r>
          </w:p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受试物A</w:t>
            </w:r>
          </w:p>
        </w:tc>
        <w:tc>
          <w:tcPr>
            <w:tcW w:w="701" w:type="dxa"/>
            <w:shd w:val="clear" w:color="auto" w:fill="FFFFFF"/>
            <w:vAlign w:val="center"/>
          </w:tcPr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10 mM受试物A</w:t>
            </w:r>
          </w:p>
        </w:tc>
        <w:tc>
          <w:tcPr>
            <w:tcW w:w="714" w:type="dxa"/>
            <w:shd w:val="clear" w:color="auto" w:fill="FFFFFF"/>
            <w:vAlign w:val="center"/>
          </w:tcPr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10 mM受试物A</w:t>
            </w:r>
          </w:p>
        </w:tc>
        <w:tc>
          <w:tcPr>
            <w:tcW w:w="714" w:type="dxa"/>
            <w:shd w:val="clear" w:color="auto" w:fill="FFFFFF"/>
            <w:vAlign w:val="center"/>
          </w:tcPr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10 mM 受试物B</w:t>
            </w:r>
          </w:p>
        </w:tc>
        <w:tc>
          <w:tcPr>
            <w:tcW w:w="714" w:type="dxa"/>
            <w:shd w:val="clear" w:color="auto" w:fill="FFFFFF"/>
            <w:vAlign w:val="center"/>
          </w:tcPr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10 mM 受试物B</w:t>
            </w:r>
          </w:p>
        </w:tc>
        <w:tc>
          <w:tcPr>
            <w:tcW w:w="714" w:type="dxa"/>
            <w:shd w:val="clear" w:color="auto" w:fill="FFFFFF"/>
            <w:vAlign w:val="center"/>
          </w:tcPr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10 mM受试物B</w:t>
            </w:r>
          </w:p>
        </w:tc>
        <w:tc>
          <w:tcPr>
            <w:tcW w:w="714" w:type="dxa"/>
            <w:shd w:val="clear" w:color="auto" w:fill="FFFFFF"/>
            <w:vAlign w:val="center"/>
          </w:tcPr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10 mM受试物C</w:t>
            </w:r>
          </w:p>
        </w:tc>
        <w:tc>
          <w:tcPr>
            <w:tcW w:w="714" w:type="dxa"/>
            <w:shd w:val="clear" w:color="auto" w:fill="FFFFFF"/>
            <w:vAlign w:val="center"/>
          </w:tcPr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10 mM 受试物C</w:t>
            </w:r>
          </w:p>
        </w:tc>
        <w:tc>
          <w:tcPr>
            <w:tcW w:w="714" w:type="dxa"/>
            <w:shd w:val="clear" w:color="auto" w:fill="FFFFFF"/>
            <w:vAlign w:val="center"/>
          </w:tcPr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10 mM 受试物C</w:t>
            </w:r>
          </w:p>
        </w:tc>
        <w:tc>
          <w:tcPr>
            <w:tcW w:w="714" w:type="dxa"/>
            <w:shd w:val="clear" w:color="auto" w:fill="FFFFFF"/>
            <w:vAlign w:val="center"/>
          </w:tcPr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10 mM 受试物A</w:t>
            </w:r>
          </w:p>
        </w:tc>
        <w:tc>
          <w:tcPr>
            <w:tcW w:w="714" w:type="dxa"/>
            <w:shd w:val="clear" w:color="auto" w:fill="FFFFFF"/>
            <w:vAlign w:val="center"/>
          </w:tcPr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10 mM 受试物B</w:t>
            </w:r>
          </w:p>
        </w:tc>
        <w:tc>
          <w:tcPr>
            <w:tcW w:w="723" w:type="dxa"/>
            <w:shd w:val="clear" w:color="auto" w:fill="FFFFFF"/>
            <w:vAlign w:val="center"/>
          </w:tcPr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10 mM 受试物C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322" w:type="dxa"/>
            <w:shd w:val="clear" w:color="auto" w:fill="FFFFFF"/>
            <w:vAlign w:val="center"/>
          </w:tcPr>
          <w:p>
            <w:pPr>
              <w:adjustRightInd w:val="0"/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G</w:t>
            </w:r>
          </w:p>
        </w:tc>
        <w:tc>
          <w:tcPr>
            <w:tcW w:w="727" w:type="dxa"/>
            <w:gridSpan w:val="2"/>
            <w:shd w:val="clear" w:color="auto" w:fill="FFFFFF"/>
            <w:vAlign w:val="center"/>
          </w:tcPr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20</w:t>
            </w:r>
          </w:p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mM</w:t>
            </w:r>
          </w:p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受试物A</w:t>
            </w:r>
          </w:p>
        </w:tc>
        <w:tc>
          <w:tcPr>
            <w:tcW w:w="701" w:type="dxa"/>
            <w:shd w:val="clear" w:color="auto" w:fill="FFFFFF"/>
            <w:vAlign w:val="center"/>
          </w:tcPr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20</w:t>
            </w:r>
          </w:p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mM受试物A</w:t>
            </w:r>
          </w:p>
        </w:tc>
        <w:tc>
          <w:tcPr>
            <w:tcW w:w="714" w:type="dxa"/>
            <w:shd w:val="clear" w:color="auto" w:fill="FFFFFF"/>
            <w:vAlign w:val="center"/>
          </w:tcPr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20</w:t>
            </w:r>
          </w:p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mM受试物A</w:t>
            </w:r>
          </w:p>
        </w:tc>
        <w:tc>
          <w:tcPr>
            <w:tcW w:w="714" w:type="dxa"/>
            <w:shd w:val="clear" w:color="auto" w:fill="FFFFFF"/>
            <w:vAlign w:val="center"/>
          </w:tcPr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20</w:t>
            </w:r>
          </w:p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mM受试物B</w:t>
            </w:r>
          </w:p>
        </w:tc>
        <w:tc>
          <w:tcPr>
            <w:tcW w:w="714" w:type="dxa"/>
            <w:shd w:val="clear" w:color="auto" w:fill="FFFFFF"/>
            <w:vAlign w:val="center"/>
          </w:tcPr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20</w:t>
            </w:r>
          </w:p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mM 受试物B</w:t>
            </w:r>
          </w:p>
        </w:tc>
        <w:tc>
          <w:tcPr>
            <w:tcW w:w="714" w:type="dxa"/>
            <w:shd w:val="clear" w:color="auto" w:fill="FFFFFF"/>
            <w:vAlign w:val="center"/>
          </w:tcPr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20</w:t>
            </w:r>
          </w:p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mM 受试物B</w:t>
            </w:r>
          </w:p>
        </w:tc>
        <w:tc>
          <w:tcPr>
            <w:tcW w:w="714" w:type="dxa"/>
            <w:shd w:val="clear" w:color="auto" w:fill="FFFFFF"/>
            <w:vAlign w:val="center"/>
          </w:tcPr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20</w:t>
            </w:r>
          </w:p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mM受试物C</w:t>
            </w:r>
          </w:p>
        </w:tc>
        <w:tc>
          <w:tcPr>
            <w:tcW w:w="714" w:type="dxa"/>
            <w:shd w:val="clear" w:color="auto" w:fill="FFFFFF"/>
            <w:vAlign w:val="center"/>
          </w:tcPr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20</w:t>
            </w:r>
          </w:p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mM 受试物C</w:t>
            </w:r>
          </w:p>
        </w:tc>
        <w:tc>
          <w:tcPr>
            <w:tcW w:w="714" w:type="dxa"/>
            <w:shd w:val="clear" w:color="auto" w:fill="FFFFFF"/>
            <w:vAlign w:val="center"/>
          </w:tcPr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20</w:t>
            </w:r>
          </w:p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mM 受试物C</w:t>
            </w:r>
          </w:p>
        </w:tc>
        <w:tc>
          <w:tcPr>
            <w:tcW w:w="714" w:type="dxa"/>
            <w:shd w:val="clear" w:color="auto" w:fill="FFFFFF"/>
            <w:vAlign w:val="center"/>
          </w:tcPr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20</w:t>
            </w:r>
          </w:p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mM 受试物A</w:t>
            </w:r>
          </w:p>
        </w:tc>
        <w:tc>
          <w:tcPr>
            <w:tcW w:w="714" w:type="dxa"/>
            <w:shd w:val="clear" w:color="auto" w:fill="FFFFFF"/>
            <w:vAlign w:val="center"/>
          </w:tcPr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20</w:t>
            </w:r>
          </w:p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mM 受试物B</w:t>
            </w:r>
          </w:p>
        </w:tc>
        <w:tc>
          <w:tcPr>
            <w:tcW w:w="723" w:type="dxa"/>
            <w:shd w:val="clear" w:color="auto" w:fill="FFFFFF"/>
            <w:vAlign w:val="center"/>
          </w:tcPr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20</w:t>
            </w:r>
          </w:p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mM 受试物C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" w:hRule="atLeast"/>
          <w:jc w:val="center"/>
        </w:trPr>
        <w:tc>
          <w:tcPr>
            <w:tcW w:w="322" w:type="dxa"/>
            <w:shd w:val="clear" w:color="auto" w:fill="FFFFFF"/>
            <w:vAlign w:val="center"/>
          </w:tcPr>
          <w:p>
            <w:pPr>
              <w:adjustRightInd w:val="0"/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H</w:t>
            </w:r>
          </w:p>
        </w:tc>
        <w:tc>
          <w:tcPr>
            <w:tcW w:w="727" w:type="dxa"/>
            <w:gridSpan w:val="2"/>
            <w:shd w:val="clear" w:color="auto" w:fill="FFFFFF"/>
            <w:vAlign w:val="center"/>
          </w:tcPr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1.25 mM</w:t>
            </w:r>
            <w:r>
              <w:rPr>
                <w:rFonts w:hint="eastAsia" w:ascii="Times New Roman" w:hAnsi="Times New Roman"/>
                <w:sz w:val="18"/>
                <w:szCs w:val="18"/>
                <w:highlight w:val="none"/>
              </w:rPr>
              <w:t>　</w:t>
            </w: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PC</w:t>
            </w:r>
          </w:p>
        </w:tc>
        <w:tc>
          <w:tcPr>
            <w:tcW w:w="701" w:type="dxa"/>
            <w:shd w:val="clear" w:color="auto" w:fill="FFFFFF"/>
            <w:vAlign w:val="center"/>
          </w:tcPr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2.5</w:t>
            </w:r>
          </w:p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mM PC</w:t>
            </w:r>
          </w:p>
        </w:tc>
        <w:tc>
          <w:tcPr>
            <w:tcW w:w="714" w:type="dxa"/>
            <w:shd w:val="clear" w:color="auto" w:fill="FFFFFF"/>
            <w:vAlign w:val="center"/>
          </w:tcPr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5</w:t>
            </w:r>
          </w:p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mM</w:t>
            </w:r>
          </w:p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PC</w:t>
            </w:r>
          </w:p>
        </w:tc>
        <w:tc>
          <w:tcPr>
            <w:tcW w:w="714" w:type="dxa"/>
            <w:shd w:val="clear" w:color="auto" w:fill="FFFFFF"/>
            <w:vAlign w:val="center"/>
          </w:tcPr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10</w:t>
            </w:r>
          </w:p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mM PC</w:t>
            </w:r>
          </w:p>
        </w:tc>
        <w:tc>
          <w:tcPr>
            <w:tcW w:w="714" w:type="dxa"/>
            <w:shd w:val="clear" w:color="auto" w:fill="FFFFFF"/>
            <w:vAlign w:val="center"/>
          </w:tcPr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20</w:t>
            </w:r>
          </w:p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mM</w:t>
            </w:r>
          </w:p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PC</w:t>
            </w:r>
          </w:p>
        </w:tc>
        <w:tc>
          <w:tcPr>
            <w:tcW w:w="714" w:type="dxa"/>
            <w:shd w:val="clear" w:color="auto" w:fill="FFFFFF"/>
            <w:vAlign w:val="center"/>
          </w:tcPr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</w:p>
        </w:tc>
        <w:tc>
          <w:tcPr>
            <w:tcW w:w="714" w:type="dxa"/>
            <w:shd w:val="clear" w:color="auto" w:fill="FFFFFF"/>
            <w:vAlign w:val="center"/>
          </w:tcPr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</w:p>
        </w:tc>
        <w:tc>
          <w:tcPr>
            <w:tcW w:w="714" w:type="dxa"/>
            <w:shd w:val="clear" w:color="auto" w:fill="FFFFFF"/>
            <w:vAlign w:val="center"/>
          </w:tcPr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1.25 mM PC</w:t>
            </w:r>
          </w:p>
        </w:tc>
        <w:tc>
          <w:tcPr>
            <w:tcW w:w="714" w:type="dxa"/>
            <w:shd w:val="clear" w:color="auto" w:fill="FFFFFF"/>
            <w:vAlign w:val="center"/>
          </w:tcPr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2.5</w:t>
            </w:r>
          </w:p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mM PC</w:t>
            </w:r>
          </w:p>
        </w:tc>
        <w:tc>
          <w:tcPr>
            <w:tcW w:w="714" w:type="dxa"/>
            <w:shd w:val="clear" w:color="auto" w:fill="FFFFFF"/>
            <w:vAlign w:val="center"/>
          </w:tcPr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5</w:t>
            </w:r>
          </w:p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mM PC</w:t>
            </w:r>
          </w:p>
        </w:tc>
        <w:tc>
          <w:tcPr>
            <w:tcW w:w="714" w:type="dxa"/>
            <w:shd w:val="clear" w:color="auto" w:fill="FFFFFF"/>
            <w:vAlign w:val="center"/>
          </w:tcPr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10</w:t>
            </w:r>
          </w:p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mM PC</w:t>
            </w:r>
          </w:p>
        </w:tc>
        <w:tc>
          <w:tcPr>
            <w:tcW w:w="723" w:type="dxa"/>
            <w:shd w:val="clear" w:color="auto" w:fill="FFFFFF"/>
            <w:vAlign w:val="center"/>
          </w:tcPr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20</w:t>
            </w:r>
          </w:p>
          <w:p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mM PC</w:t>
            </w:r>
          </w:p>
        </w:tc>
      </w:tr>
    </w:tbl>
    <w:p>
      <w:pPr>
        <w:spacing w:before="156" w:beforeLines="50" w:after="156" w:afterLines="50" w:line="300" w:lineRule="auto"/>
        <w:ind w:firstLine="495" w:firstLineChars="236"/>
        <w:jc w:val="center"/>
        <w:rPr>
          <w:rFonts w:ascii="黑体" w:hAnsi="黑体" w:eastAsia="黑体" w:cs="Calibri"/>
          <w:szCs w:val="21"/>
          <w:highlight w:val="none"/>
        </w:rPr>
      </w:pPr>
      <w:r>
        <w:rPr>
          <w:rFonts w:ascii="黑体" w:hAnsi="黑体" w:eastAsia="黑体" w:cs="Calibri"/>
          <w:szCs w:val="21"/>
          <w:highlight w:val="none"/>
        </w:rPr>
        <w:t>图</w:t>
      </w:r>
      <w:r>
        <w:rPr>
          <w:rFonts w:ascii="Times New Roman" w:hAnsi="Times New Roman" w:eastAsia="黑体" w:cs="Calibri"/>
          <w:szCs w:val="21"/>
          <w:highlight w:val="none"/>
        </w:rPr>
        <w:t>2</w:t>
      </w:r>
      <w:r>
        <w:rPr>
          <w:rFonts w:ascii="黑体" w:hAnsi="黑体" w:eastAsia="黑体" w:cs="Calibri"/>
          <w:szCs w:val="21"/>
          <w:highlight w:val="none"/>
        </w:rPr>
        <w:t xml:space="preserve"> 应用板加样示例</w:t>
      </w:r>
    </w:p>
    <w:p>
      <w:pPr>
        <w:spacing w:before="156" w:beforeLines="50" w:after="156" w:afterLines="50" w:line="300" w:lineRule="auto"/>
        <w:rPr>
          <w:rFonts w:ascii="Times New Roman" w:hAnsi="Times New Roman" w:cs="Calibri"/>
          <w:szCs w:val="21"/>
          <w:highlight w:val="none"/>
        </w:rPr>
      </w:pPr>
      <w:r>
        <w:rPr>
          <w:rFonts w:ascii="Times New Roman" w:hAnsi="Times New Roman" w:cs="Calibri"/>
          <w:szCs w:val="21"/>
          <w:highlight w:val="none"/>
        </w:rPr>
        <w:t>6.3 孵育</w:t>
      </w:r>
    </w:p>
    <w:p>
      <w:pPr>
        <w:spacing w:line="300" w:lineRule="auto"/>
        <w:ind w:firstLine="420" w:firstLineChars="200"/>
        <w:rPr>
          <w:rFonts w:ascii="Times New Roman" w:hAnsi="Times New Roman" w:cs="Calibri"/>
          <w:szCs w:val="21"/>
          <w:highlight w:val="none"/>
        </w:rPr>
      </w:pPr>
      <w:r>
        <w:rPr>
          <w:rFonts w:ascii="Times New Roman" w:hAnsi="Times New Roman" w:cs="Calibri"/>
          <w:szCs w:val="21"/>
          <w:highlight w:val="none"/>
        </w:rPr>
        <w:t>使用多通道移液器从应用板中吸取40 μL配制好的溶液加入反应板对应孔中，用封板膜将反应板密封，200 rpm震摇5 min后，25 ℃分别孵育10 min</w:t>
      </w:r>
      <w:r>
        <w:rPr>
          <w:rFonts w:hint="eastAsia" w:ascii="Times New Roman" w:hAnsi="Times New Roman" w:cs="Calibri"/>
          <w:szCs w:val="21"/>
          <w:highlight w:val="none"/>
        </w:rPr>
        <w:t xml:space="preserve"> </w:t>
      </w:r>
      <w:r>
        <w:rPr>
          <w:rFonts w:ascii="Times New Roman" w:hAnsi="Times New Roman" w:cs="Calibri"/>
          <w:szCs w:val="21"/>
          <w:highlight w:val="none"/>
        </w:rPr>
        <w:t>±</w:t>
      </w:r>
      <w:r>
        <w:rPr>
          <w:rFonts w:hint="eastAsia" w:ascii="Times New Roman" w:hAnsi="Times New Roman" w:cs="Calibri"/>
          <w:szCs w:val="21"/>
          <w:highlight w:val="none"/>
        </w:rPr>
        <w:t xml:space="preserve"> </w:t>
      </w:r>
      <w:r>
        <w:rPr>
          <w:rFonts w:ascii="Times New Roman" w:hAnsi="Times New Roman" w:cs="Calibri"/>
          <w:szCs w:val="21"/>
          <w:highlight w:val="none"/>
        </w:rPr>
        <w:t>30 s、30 min</w:t>
      </w:r>
      <w:r>
        <w:rPr>
          <w:rFonts w:hint="eastAsia" w:ascii="Times New Roman" w:hAnsi="Times New Roman" w:cs="Calibri"/>
          <w:szCs w:val="21"/>
          <w:highlight w:val="none"/>
        </w:rPr>
        <w:t xml:space="preserve"> </w:t>
      </w:r>
      <w:r>
        <w:rPr>
          <w:rFonts w:ascii="Times New Roman" w:hAnsi="Times New Roman" w:cs="Calibri"/>
          <w:szCs w:val="21"/>
          <w:highlight w:val="none"/>
        </w:rPr>
        <w:t>±</w:t>
      </w:r>
      <w:r>
        <w:rPr>
          <w:rFonts w:hint="eastAsia" w:ascii="Times New Roman" w:hAnsi="Times New Roman" w:cs="Calibri"/>
          <w:szCs w:val="21"/>
          <w:highlight w:val="none"/>
        </w:rPr>
        <w:t xml:space="preserve"> </w:t>
      </w:r>
      <w:r>
        <w:rPr>
          <w:rFonts w:ascii="Times New Roman" w:hAnsi="Times New Roman" w:cs="Calibri"/>
          <w:szCs w:val="21"/>
          <w:highlight w:val="none"/>
        </w:rPr>
        <w:t>3 min、90 min</w:t>
      </w:r>
      <w:r>
        <w:rPr>
          <w:rFonts w:hint="eastAsia" w:ascii="Times New Roman" w:hAnsi="Times New Roman" w:cs="Calibri"/>
          <w:szCs w:val="21"/>
          <w:highlight w:val="none"/>
        </w:rPr>
        <w:t xml:space="preserve"> </w:t>
      </w:r>
      <w:r>
        <w:rPr>
          <w:rFonts w:ascii="Times New Roman" w:hAnsi="Times New Roman" w:cs="Calibri"/>
          <w:szCs w:val="21"/>
          <w:highlight w:val="none"/>
        </w:rPr>
        <w:t>±</w:t>
      </w:r>
      <w:r>
        <w:rPr>
          <w:rFonts w:hint="eastAsia" w:ascii="Times New Roman" w:hAnsi="Times New Roman" w:cs="Calibri"/>
          <w:szCs w:val="21"/>
          <w:highlight w:val="none"/>
        </w:rPr>
        <w:t xml:space="preserve"> </w:t>
      </w:r>
      <w:r>
        <w:rPr>
          <w:rFonts w:ascii="Times New Roman" w:hAnsi="Times New Roman" w:cs="Calibri"/>
          <w:szCs w:val="21"/>
          <w:highlight w:val="none"/>
        </w:rPr>
        <w:t>5 min、150 min</w:t>
      </w:r>
      <w:r>
        <w:rPr>
          <w:rFonts w:hint="eastAsia" w:ascii="Times New Roman" w:hAnsi="Times New Roman" w:cs="Calibri"/>
          <w:szCs w:val="21"/>
          <w:highlight w:val="none"/>
        </w:rPr>
        <w:t xml:space="preserve"> </w:t>
      </w:r>
      <w:r>
        <w:rPr>
          <w:rFonts w:ascii="Times New Roman" w:hAnsi="Times New Roman" w:cs="Calibri"/>
          <w:szCs w:val="21"/>
          <w:highlight w:val="none"/>
        </w:rPr>
        <w:t>±</w:t>
      </w:r>
      <w:r>
        <w:rPr>
          <w:rFonts w:hint="eastAsia" w:ascii="Times New Roman" w:hAnsi="Times New Roman" w:cs="Calibri"/>
          <w:szCs w:val="21"/>
          <w:highlight w:val="none"/>
        </w:rPr>
        <w:t xml:space="preserve"> </w:t>
      </w:r>
      <w:r>
        <w:rPr>
          <w:rFonts w:ascii="Times New Roman" w:hAnsi="Times New Roman" w:cs="Calibri"/>
          <w:szCs w:val="21"/>
          <w:highlight w:val="none"/>
        </w:rPr>
        <w:t>10 min、210 min</w:t>
      </w:r>
      <w:r>
        <w:rPr>
          <w:rFonts w:hint="eastAsia" w:ascii="Times New Roman" w:hAnsi="Times New Roman" w:cs="Calibri"/>
          <w:szCs w:val="21"/>
          <w:highlight w:val="none"/>
        </w:rPr>
        <w:t xml:space="preserve"> </w:t>
      </w:r>
      <w:r>
        <w:rPr>
          <w:rFonts w:ascii="Times New Roman" w:hAnsi="Times New Roman" w:cs="Calibri"/>
          <w:szCs w:val="21"/>
          <w:highlight w:val="none"/>
        </w:rPr>
        <w:t>±</w:t>
      </w:r>
      <w:r>
        <w:rPr>
          <w:rFonts w:hint="eastAsia" w:ascii="Times New Roman" w:hAnsi="Times New Roman" w:cs="Calibri"/>
          <w:szCs w:val="21"/>
          <w:highlight w:val="none"/>
        </w:rPr>
        <w:t xml:space="preserve"> </w:t>
      </w:r>
      <w:r>
        <w:rPr>
          <w:rFonts w:ascii="Times New Roman" w:hAnsi="Times New Roman" w:cs="Calibri"/>
          <w:szCs w:val="21"/>
          <w:highlight w:val="none"/>
        </w:rPr>
        <w:t>10 min、1440 min</w:t>
      </w:r>
      <w:r>
        <w:rPr>
          <w:rFonts w:hint="eastAsia" w:ascii="Times New Roman" w:hAnsi="Times New Roman" w:cs="Calibri"/>
          <w:szCs w:val="21"/>
          <w:highlight w:val="none"/>
        </w:rPr>
        <w:t xml:space="preserve"> </w:t>
      </w:r>
      <w:r>
        <w:rPr>
          <w:rFonts w:ascii="Times New Roman" w:hAnsi="Times New Roman" w:cs="Calibri"/>
          <w:szCs w:val="21"/>
          <w:highlight w:val="none"/>
        </w:rPr>
        <w:t>±</w:t>
      </w:r>
      <w:r>
        <w:rPr>
          <w:rFonts w:hint="eastAsia" w:ascii="Times New Roman" w:hAnsi="Times New Roman" w:cs="Calibri"/>
          <w:szCs w:val="21"/>
          <w:highlight w:val="none"/>
        </w:rPr>
        <w:t xml:space="preserve"> </w:t>
      </w:r>
      <w:r>
        <w:rPr>
          <w:rFonts w:ascii="Times New Roman" w:hAnsi="Times New Roman" w:cs="Calibri"/>
          <w:szCs w:val="21"/>
          <w:highlight w:val="none"/>
        </w:rPr>
        <w:t>15 min。</w:t>
      </w:r>
    </w:p>
    <w:p>
      <w:pPr>
        <w:spacing w:before="156" w:beforeLines="50" w:after="156" w:afterLines="50" w:line="300" w:lineRule="auto"/>
        <w:rPr>
          <w:rFonts w:ascii="Times New Roman" w:hAnsi="Times New Roman" w:cs="Calibri"/>
          <w:szCs w:val="21"/>
          <w:highlight w:val="none"/>
        </w:rPr>
      </w:pPr>
      <w:r>
        <w:rPr>
          <w:rFonts w:ascii="Times New Roman" w:hAnsi="Times New Roman" w:cs="Calibri"/>
          <w:szCs w:val="21"/>
          <w:highlight w:val="none"/>
        </w:rPr>
        <w:t>6.4 测定</w:t>
      </w:r>
    </w:p>
    <w:p>
      <w:pPr>
        <w:spacing w:line="300" w:lineRule="auto"/>
        <w:ind w:firstLine="420" w:firstLineChars="200"/>
        <w:rPr>
          <w:rFonts w:ascii="Times New Roman" w:hAnsi="Times New Roman" w:cs="Calibri"/>
          <w:szCs w:val="21"/>
          <w:highlight w:val="none"/>
        </w:rPr>
      </w:pPr>
      <w:r>
        <w:rPr>
          <w:rFonts w:ascii="Times New Roman" w:hAnsi="Times New Roman" w:cs="Calibri"/>
          <w:szCs w:val="21"/>
          <w:highlight w:val="none"/>
        </w:rPr>
        <w:t>孵育结束后，撕下封板膜，每孔加入新鲜配制的3</w:t>
      </w:r>
      <w:r>
        <w:rPr>
          <w:rFonts w:hint="eastAsia" w:ascii="Times New Roman" w:hAnsi="Times New Roman" w:cs="Calibri"/>
          <w:szCs w:val="21"/>
          <w:highlight w:val="none"/>
        </w:rPr>
        <w:t xml:space="preserve"> </w:t>
      </w:r>
      <w:r>
        <w:rPr>
          <w:rFonts w:ascii="Times New Roman" w:hAnsi="Times New Roman" w:cs="Calibri"/>
          <w:szCs w:val="21"/>
          <w:highlight w:val="none"/>
        </w:rPr>
        <w:t>mM单溴二胺溶液40 μL。200</w:t>
      </w:r>
      <w:r>
        <w:rPr>
          <w:rFonts w:hint="eastAsia" w:ascii="Times New Roman" w:hAnsi="Times New Roman" w:cs="Calibri"/>
          <w:szCs w:val="21"/>
          <w:highlight w:val="none"/>
        </w:rPr>
        <w:t xml:space="preserve"> </w:t>
      </w:r>
      <w:r>
        <w:rPr>
          <w:rFonts w:ascii="Times New Roman" w:hAnsi="Times New Roman" w:cs="Calibri"/>
          <w:szCs w:val="21"/>
          <w:highlight w:val="none"/>
        </w:rPr>
        <w:t>~</w:t>
      </w:r>
      <w:r>
        <w:rPr>
          <w:rFonts w:hint="eastAsia" w:ascii="Times New Roman" w:hAnsi="Times New Roman" w:cs="Calibri"/>
          <w:szCs w:val="21"/>
          <w:highlight w:val="none"/>
        </w:rPr>
        <w:t xml:space="preserve"> </w:t>
      </w:r>
      <w:r>
        <w:rPr>
          <w:rFonts w:ascii="Times New Roman" w:hAnsi="Times New Roman" w:cs="Calibri"/>
          <w:szCs w:val="21"/>
          <w:highlight w:val="none"/>
        </w:rPr>
        <w:t>300 rpm震摇5 min后，用酶标仪在激发波长390 nm，发射波长480 nm下检测荧光强度。</w:t>
      </w:r>
    </w:p>
    <w:p>
      <w:pPr>
        <w:spacing w:before="156" w:beforeLines="50" w:after="156" w:afterLines="50" w:line="300" w:lineRule="auto"/>
        <w:outlineLvl w:val="2"/>
        <w:rPr>
          <w:rFonts w:ascii="Times New Roman" w:hAnsi="Times New Roman" w:cs="Calibri"/>
          <w:b/>
          <w:bCs/>
          <w:sz w:val="32"/>
          <w:szCs w:val="32"/>
          <w:highlight w:val="none"/>
        </w:rPr>
      </w:pPr>
      <w:bookmarkStart w:id="21" w:name="_Toc28702"/>
      <w:r>
        <w:rPr>
          <w:rFonts w:ascii="Times New Roman" w:hAnsi="Times New Roman" w:eastAsia="黑体" w:cs="Calibri"/>
          <w:szCs w:val="21"/>
          <w:highlight w:val="none"/>
        </w:rPr>
        <w:t>7 数据处理</w:t>
      </w:r>
      <w:bookmarkEnd w:id="21"/>
    </w:p>
    <w:p>
      <w:pPr>
        <w:spacing w:before="156" w:beforeLines="50" w:after="156" w:afterLines="50" w:line="300" w:lineRule="auto"/>
        <w:rPr>
          <w:rFonts w:ascii="Times New Roman" w:hAnsi="Times New Roman" w:cs="Calibri"/>
          <w:szCs w:val="21"/>
          <w:highlight w:val="none"/>
        </w:rPr>
      </w:pPr>
      <w:r>
        <w:rPr>
          <w:rFonts w:ascii="Times New Roman" w:hAnsi="Times New Roman" w:cs="Calibri"/>
          <w:szCs w:val="21"/>
          <w:highlight w:val="none"/>
        </w:rPr>
        <w:t>7.1</w:t>
      </w:r>
      <w:r>
        <w:rPr>
          <w:rFonts w:hint="eastAsia" w:ascii="Times New Roman" w:hAnsi="Times New Roman" w:cs="Calibri"/>
          <w:szCs w:val="21"/>
          <w:highlight w:val="none"/>
        </w:rPr>
        <w:t xml:space="preserve"> 荧光值计算和校正</w:t>
      </w:r>
    </w:p>
    <w:p>
      <w:pPr>
        <w:spacing w:line="300" w:lineRule="auto"/>
        <w:ind w:firstLine="420" w:firstLineChars="200"/>
        <w:rPr>
          <w:rFonts w:ascii="Times New Roman" w:hAnsi="Times New Roman" w:cs="Calibri"/>
          <w:szCs w:val="21"/>
          <w:highlight w:val="none"/>
        </w:rPr>
      </w:pPr>
      <w:r>
        <w:rPr>
          <w:rFonts w:ascii="Times New Roman" w:hAnsi="Times New Roman" w:cs="Calibri"/>
          <w:szCs w:val="21"/>
          <w:highlight w:val="none"/>
        </w:rPr>
        <w:t>计算BC组、VC组的平均荧光强度和标准差</w:t>
      </w:r>
      <w:r>
        <w:rPr>
          <w:rFonts w:hint="eastAsia" w:ascii="Times New Roman" w:hAnsi="Times New Roman" w:cs="Calibri"/>
          <w:szCs w:val="21"/>
          <w:highlight w:val="none"/>
        </w:rPr>
        <w:t>，</w:t>
      </w:r>
      <w:r>
        <w:rPr>
          <w:rFonts w:ascii="Times New Roman" w:hAnsi="Times New Roman" w:cs="Calibri"/>
          <w:szCs w:val="21"/>
          <w:highlight w:val="none"/>
        </w:rPr>
        <w:t>VC孔减去BC组的平均荧光强度值，各浓度受试物和阳性对照孔减去各自的对照组的荧光强度值。</w:t>
      </w:r>
    </w:p>
    <w:p>
      <w:pPr>
        <w:spacing w:line="300" w:lineRule="auto"/>
        <w:ind w:firstLine="420" w:firstLineChars="200"/>
        <w:rPr>
          <w:rFonts w:ascii="Times New Roman" w:hAnsi="Times New Roman" w:cs="Calibri"/>
          <w:szCs w:val="21"/>
          <w:highlight w:val="none"/>
        </w:rPr>
      </w:pPr>
      <w:r>
        <w:rPr>
          <w:rFonts w:ascii="Times New Roman" w:hAnsi="Times New Roman" w:cs="Calibri"/>
          <w:szCs w:val="21"/>
          <w:highlight w:val="none"/>
        </w:rPr>
        <w:t>计算每个测试浓度三个重复孔的平均荧光强度和标准差</w:t>
      </w:r>
      <w:r>
        <w:rPr>
          <w:rFonts w:hint="eastAsia" w:ascii="Times New Roman" w:hAnsi="Times New Roman" w:cs="Calibri"/>
          <w:szCs w:val="21"/>
          <w:highlight w:val="none"/>
        </w:rPr>
        <w:t>，</w:t>
      </w:r>
      <w:r>
        <w:rPr>
          <w:rFonts w:ascii="Times New Roman" w:hAnsi="Times New Roman" w:cs="Calibri"/>
          <w:szCs w:val="21"/>
          <w:highlight w:val="none"/>
        </w:rPr>
        <w:t>采用</w:t>
      </w:r>
      <w:r>
        <w:rPr>
          <w:rFonts w:hint="eastAsia" w:ascii="Times New Roman" w:hAnsi="Times New Roman" w:cs="Calibri"/>
          <w:i/>
          <w:iCs/>
          <w:szCs w:val="21"/>
          <w:highlight w:val="none"/>
        </w:rPr>
        <w:t>t</w:t>
      </w:r>
      <w:r>
        <w:rPr>
          <w:rFonts w:ascii="Times New Roman" w:hAnsi="Times New Roman" w:cs="Calibri"/>
          <w:szCs w:val="21"/>
          <w:highlight w:val="none"/>
        </w:rPr>
        <w:t>检验统计与VC</w:t>
      </w:r>
      <w:r>
        <w:rPr>
          <w:rFonts w:hint="eastAsia" w:ascii="Times New Roman" w:hAnsi="Times New Roman" w:cs="Calibri"/>
          <w:szCs w:val="21"/>
          <w:highlight w:val="none"/>
        </w:rPr>
        <w:t>组</w:t>
      </w:r>
      <w:r>
        <w:rPr>
          <w:rFonts w:ascii="Times New Roman" w:hAnsi="Times New Roman" w:cs="Calibri"/>
          <w:szCs w:val="21"/>
          <w:highlight w:val="none"/>
        </w:rPr>
        <w:t>（12个重复）的平均多肽浓度是否有显著性差异。</w:t>
      </w:r>
    </w:p>
    <w:p>
      <w:pPr>
        <w:spacing w:before="156" w:beforeLines="50" w:after="156" w:afterLines="50" w:line="300" w:lineRule="auto"/>
        <w:rPr>
          <w:rFonts w:ascii="Times New Roman" w:hAnsi="Times New Roman" w:cs="Calibri"/>
          <w:szCs w:val="21"/>
          <w:highlight w:val="none"/>
        </w:rPr>
      </w:pPr>
      <w:r>
        <w:rPr>
          <w:rFonts w:ascii="Times New Roman" w:hAnsi="Times New Roman" w:cs="Calibri"/>
          <w:szCs w:val="21"/>
          <w:highlight w:val="none"/>
        </w:rPr>
        <w:t>7.</w:t>
      </w:r>
      <w:r>
        <w:rPr>
          <w:rFonts w:hint="eastAsia" w:ascii="Times New Roman" w:hAnsi="Times New Roman" w:cs="Calibri"/>
          <w:szCs w:val="21"/>
          <w:highlight w:val="none"/>
        </w:rPr>
        <w:t xml:space="preserve">2 </w:t>
      </w:r>
      <w:r>
        <w:rPr>
          <w:rFonts w:ascii="Times New Roman" w:hAnsi="Times New Roman" w:cs="Calibri"/>
          <w:szCs w:val="21"/>
          <w:highlight w:val="none"/>
        </w:rPr>
        <w:t>多肽消耗率计算</w:t>
      </w:r>
    </w:p>
    <w:p>
      <w:pPr>
        <w:spacing w:line="300" w:lineRule="auto"/>
        <w:ind w:firstLine="420" w:firstLineChars="200"/>
        <w:rPr>
          <w:rFonts w:ascii="Times New Roman" w:hAnsi="Times New Roman" w:cs="Calibri"/>
          <w:szCs w:val="21"/>
          <w:highlight w:val="none"/>
        </w:rPr>
      </w:pPr>
      <w:r>
        <w:rPr>
          <w:rFonts w:hint="eastAsia" w:ascii="Times New Roman" w:hAnsi="Times New Roman" w:cs="Calibri"/>
          <w:szCs w:val="21"/>
          <w:highlight w:val="none"/>
        </w:rPr>
        <w:t>按以下</w:t>
      </w:r>
      <w:r>
        <w:rPr>
          <w:rFonts w:ascii="Times New Roman" w:hAnsi="Times New Roman" w:cs="Calibri"/>
          <w:szCs w:val="21"/>
          <w:highlight w:val="none"/>
        </w:rPr>
        <w:t>公式</w:t>
      </w:r>
      <w:r>
        <w:rPr>
          <w:rFonts w:hint="eastAsia" w:ascii="Times New Roman" w:hAnsi="Times New Roman" w:cs="Calibri"/>
          <w:szCs w:val="21"/>
          <w:highlight w:val="none"/>
        </w:rPr>
        <w:t>计算多肽消除率</w:t>
      </w:r>
      <w:r>
        <w:rPr>
          <w:rFonts w:ascii="Times New Roman" w:hAnsi="Times New Roman" w:cs="Calibri"/>
          <w:szCs w:val="21"/>
          <w:highlight w:val="none"/>
        </w:rPr>
        <w:t>：</w:t>
      </w:r>
    </w:p>
    <w:p>
      <w:pPr>
        <w:spacing w:line="300" w:lineRule="auto"/>
        <w:ind w:firstLine="420" w:firstLineChars="200"/>
        <w:rPr>
          <w:rFonts w:ascii="Times New Roman" w:hAnsi="Times New Roman" w:cs="Calibri"/>
          <w:szCs w:val="21"/>
          <w:highlight w:val="none"/>
        </w:rPr>
      </w:pPr>
      <w:r>
        <w:rPr>
          <w:rFonts w:ascii="Times New Roman" w:hAnsi="Times New Roman" w:cs="Calibri"/>
          <w:szCs w:val="21"/>
          <w:highlight w:val="none"/>
        </w:rPr>
        <w:t>多肽消耗率（%）=</w:t>
      </w:r>
      <w:r>
        <w:rPr>
          <w:rFonts w:hint="eastAsia" w:ascii="Times New Roman" w:hAnsi="Times New Roman" w:cs="Calibri"/>
          <w:szCs w:val="21"/>
          <w:highlight w:val="none"/>
        </w:rPr>
        <w:t>[1-</w:t>
      </w:r>
      <m:oMath>
        <m:r>
          <m:rPr/>
          <w:rPr>
            <w:rFonts w:ascii="DejaVu Math TeX Gyre" w:hAnsi="DejaVu Math TeX Gyre" w:eastAsiaTheme="minorEastAsia"/>
            <w:szCs w:val="21"/>
            <w:highlight w:val="none"/>
          </w:rPr>
          <m:t xml:space="preserve"> </m:t>
        </m:r>
        <m:f>
          <m:fPr>
            <m:ctrlPr>
              <w:rPr>
                <w:rFonts w:ascii="DejaVu Math TeX Gyre" w:hAnsi="DejaVu Math TeX Gyre" w:eastAsiaTheme="minorEastAsia"/>
                <w:szCs w:val="21"/>
                <w:highlight w:val="none"/>
              </w:rPr>
            </m:ctrlPr>
          </m:fPr>
          <m:num>
            <m:r>
              <m:rPr>
                <m:sty m:val="p"/>
              </m:rPr>
              <w:rPr>
                <w:rFonts w:ascii="DejaVu Math TeX Gyre" w:hAnsi="DejaVu Math TeX Gyre" w:eastAsiaTheme="minorEastAsia"/>
                <w:highlight w:val="none"/>
              </w:rPr>
              <m:t xml:space="preserve"> </m:t>
            </m:r>
            <m:r>
              <m:rPr>
                <m:sty m:val="p"/>
              </m:rPr>
              <w:rPr>
                <w:rFonts w:ascii="DejaVu Math TeX Gyre" w:hAnsi="DejaVu Math TeX Gyre" w:eastAsiaTheme="minorEastAsia"/>
                <w:position w:val="-6"/>
                <w:highlight w:val="none"/>
              </w:rPr>
              <w:object>
                <v:shape id="_x0000_i1025" o:spt="75" type="#_x0000_t75" style="height:10.5pt;width:103.95pt;" o:ole="t" filled="f" o:preferrelative="t" stroked="f" coordsize="21600,21600">
                  <v:path/>
                  <v:fill on="f" focussize="0,0"/>
                  <v:stroke on="f" joinstyle="miter"/>
                  <v:imagedata r:id="rId9" o:title=""/>
                  <o:lock v:ext="edit" aspectratio="t"/>
                  <w10:wrap type="none"/>
                  <w10:anchorlock/>
                </v:shape>
                <o:OLEObject Type="Embed" ProgID="Equation.KSEE3" ShapeID="_x0000_i1025" DrawAspect="Content" ObjectID="_1468075725" r:id="rId8">
                  <o:LockedField>false</o:LockedField>
                </o:OLEObject>
              </w:object>
            </m:r>
            <m:ctrlPr>
              <w:rPr>
                <w:rFonts w:ascii="DejaVu Math TeX Gyre" w:hAnsi="DejaVu Math TeX Gyre" w:eastAsiaTheme="minorEastAsia"/>
                <w:szCs w:val="21"/>
                <w:highlight w:val="none"/>
              </w:rPr>
            </m:ctrlPr>
          </m:num>
          <m:den>
            <m:r>
              <m:rPr>
                <m:sty m:val="p"/>
              </m:rPr>
              <w:rPr>
                <w:rFonts w:ascii="DejaVu Math TeX Gyre" w:hAnsi="DejaVu Math TeX Gyre" w:eastAsiaTheme="minorEastAsia"/>
                <w:position w:val="-6"/>
                <w:highlight w:val="none"/>
              </w:rPr>
              <w:object>
                <v:shape id="_x0000_i1026" o:spt="75" type="#_x0000_t75" style="height:10.5pt;width:90.05pt;" o:ole="t" filled="f" o:preferrelative="t" stroked="f" coordsize="21600,21600">
                  <v:path/>
                  <v:fill on="f" focussize="0,0"/>
                  <v:stroke on="f" joinstyle="miter"/>
                  <v:imagedata r:id="rId11" o:title=""/>
                  <o:lock v:ext="edit" aspectratio="t"/>
                  <w10:wrap type="none"/>
                  <w10:anchorlock/>
                </v:shape>
                <o:OLEObject Type="Embed" ProgID="Equation.KSEE3" ShapeID="_x0000_i1026" DrawAspect="Content" ObjectID="_1468075726" r:id="rId10">
                  <o:LockedField>false</o:LockedField>
                </o:OLEObject>
              </w:object>
            </m:r>
            <m:ctrlPr>
              <w:rPr>
                <w:rFonts w:ascii="DejaVu Math TeX Gyre" w:hAnsi="DejaVu Math TeX Gyre" w:eastAsiaTheme="minorEastAsia"/>
                <w:szCs w:val="21"/>
                <w:highlight w:val="none"/>
              </w:rPr>
            </m:ctrlPr>
          </m:den>
        </m:f>
      </m:oMath>
      <w:r>
        <w:rPr>
          <w:rFonts w:hint="eastAsia" w:ascii="Times New Roman" w:hAnsi="Times New Roman" w:cs="Calibri"/>
          <w:szCs w:val="21"/>
          <w:highlight w:val="none"/>
        </w:rPr>
        <w:t>]</w:t>
      </w:r>
      <w:r>
        <w:rPr>
          <w:rFonts w:ascii="Times New Roman" w:hAnsi="Times New Roman" w:cs="Calibri"/>
          <w:szCs w:val="21"/>
          <w:highlight w:val="none"/>
        </w:rPr>
        <w:t xml:space="preserve"> ×100%</w:t>
      </w:r>
    </w:p>
    <w:p>
      <w:pPr>
        <w:spacing w:before="156" w:beforeLines="50" w:after="156" w:afterLines="50" w:line="300" w:lineRule="auto"/>
        <w:rPr>
          <w:rFonts w:ascii="Times New Roman" w:hAnsi="Times New Roman" w:cs="Calibri"/>
          <w:szCs w:val="21"/>
          <w:highlight w:val="none"/>
        </w:rPr>
      </w:pPr>
      <w:r>
        <w:rPr>
          <w:rFonts w:hint="eastAsia" w:ascii="Times New Roman" w:hAnsi="Times New Roman" w:cs="Calibri"/>
          <w:szCs w:val="21"/>
          <w:highlight w:val="none"/>
        </w:rPr>
        <w:t xml:space="preserve">7.3 </w:t>
      </w:r>
      <w:r>
        <w:rPr>
          <w:rFonts w:ascii="Times New Roman" w:hAnsi="Times New Roman" w:cs="Calibri"/>
          <w:szCs w:val="21"/>
          <w:highlight w:val="none"/>
        </w:rPr>
        <w:t>反应动力学常数</w:t>
      </w:r>
      <w:r>
        <w:rPr>
          <w:rFonts w:hint="eastAsia" w:ascii="Times New Roman" w:hAnsi="Times New Roman" w:cs="Calibri"/>
          <w:szCs w:val="21"/>
          <w:highlight w:val="none"/>
        </w:rPr>
        <w:t>计算</w:t>
      </w:r>
    </w:p>
    <w:p>
      <w:pPr>
        <w:spacing w:line="300" w:lineRule="auto"/>
        <w:ind w:firstLine="420" w:firstLineChars="200"/>
        <w:rPr>
          <w:rFonts w:ascii="Times New Roman" w:hAnsi="Times New Roman" w:cs="Calibri"/>
          <w:szCs w:val="21"/>
          <w:highlight w:val="none"/>
        </w:rPr>
      </w:pPr>
      <w:r>
        <w:rPr>
          <w:rFonts w:ascii="Times New Roman" w:hAnsi="Times New Roman" w:cs="Calibri"/>
          <w:szCs w:val="21"/>
          <w:highlight w:val="none"/>
        </w:rPr>
        <w:t>如给定时间的最高测试浓度（受试物终浓度为5 mM）符合半胱氨酸多肽结合阳性标准，即多肽消除率</w:t>
      </w:r>
      <w:r>
        <w:rPr>
          <w:rFonts w:hint="eastAsia" w:ascii="Times New Roman" w:hAnsi="Times New Roman" w:cs="Calibri"/>
          <w:szCs w:val="21"/>
          <w:highlight w:val="none"/>
        </w:rPr>
        <w:t>≥</w:t>
      </w:r>
      <w:r>
        <w:rPr>
          <w:rFonts w:ascii="Times New Roman" w:hAnsi="Times New Roman" w:cs="Calibri"/>
          <w:szCs w:val="21"/>
          <w:highlight w:val="none"/>
        </w:rPr>
        <w:t>13.89%，且与VC组差异有显著性，对该暴露时间进行进一步计算反应动力学常数。如不符合阳性标准，则受试物</w:t>
      </w:r>
      <w:r>
        <w:rPr>
          <w:rFonts w:ascii="Times New Roman" w:hAnsi="Times New Roman"/>
          <w:szCs w:val="21"/>
          <w:highlight w:val="none"/>
        </w:rPr>
        <w:t>为</w:t>
      </w:r>
      <w:r>
        <w:rPr>
          <w:rFonts w:hint="eastAsia" w:ascii="Times New Roman" w:hAnsi="Times New Roman"/>
          <w:szCs w:val="21"/>
          <w:highlight w:val="none"/>
        </w:rPr>
        <w:t>非反应性</w:t>
      </w:r>
      <w:r>
        <w:rPr>
          <w:rFonts w:ascii="Times New Roman" w:hAnsi="Times New Roman" w:cs="Calibri"/>
          <w:szCs w:val="21"/>
          <w:highlight w:val="none"/>
        </w:rPr>
        <w:t>。</w:t>
      </w:r>
    </w:p>
    <w:p>
      <w:pPr>
        <w:spacing w:line="300" w:lineRule="auto"/>
        <w:ind w:firstLine="420" w:firstLineChars="200"/>
        <w:rPr>
          <w:rFonts w:ascii="Times New Roman" w:hAnsi="Times New Roman" w:cs="Calibri"/>
          <w:szCs w:val="21"/>
          <w:highlight w:val="none"/>
        </w:rPr>
      </w:pPr>
      <w:r>
        <w:rPr>
          <w:rFonts w:ascii="Times New Roman" w:hAnsi="Times New Roman" w:cs="Calibri"/>
          <w:szCs w:val="21"/>
          <w:highlight w:val="none"/>
        </w:rPr>
        <w:t>每个时间点，以未消耗肽占比（%）的自然对数，</w:t>
      </w:r>
      <w:r>
        <w:rPr>
          <w:rFonts w:hint="eastAsia" w:ascii="Times New Roman" w:hAnsi="Times New Roman" w:cs="Calibri"/>
          <w:szCs w:val="21"/>
          <w:highlight w:val="none"/>
        </w:rPr>
        <w:t>即</w:t>
      </w:r>
      <w:r>
        <w:rPr>
          <w:rFonts w:ascii="Times New Roman" w:hAnsi="Times New Roman" w:cs="Calibri"/>
          <w:szCs w:val="21"/>
          <w:highlight w:val="none"/>
        </w:rPr>
        <w:t>ln</w:t>
      </w:r>
      <w:bookmarkStart w:id="22" w:name="OLE_LINK17"/>
      <w:r>
        <w:rPr>
          <w:rFonts w:ascii="Times New Roman" w:hAnsi="Times New Roman" w:cs="Calibri"/>
          <w:szCs w:val="21"/>
          <w:highlight w:val="none"/>
        </w:rPr>
        <w:t>（</w:t>
      </w:r>
      <w:bookmarkEnd w:id="22"/>
      <w:r>
        <w:rPr>
          <w:rFonts w:ascii="Times New Roman" w:hAnsi="Times New Roman" w:cs="Calibri"/>
          <w:szCs w:val="21"/>
          <w:highlight w:val="none"/>
        </w:rPr>
        <w:t>100-dp）为纵坐标，受试物浓度为横坐标绘制反应曲线，若两者呈线性相关（相关系数</w:t>
      </w:r>
      <w:r>
        <w:rPr>
          <w:rFonts w:ascii="Times New Roman" w:hAnsi="Times New Roman" w:cs="Calibri"/>
          <w:i/>
          <w:iCs/>
          <w:szCs w:val="21"/>
          <w:highlight w:val="none"/>
        </w:rPr>
        <w:t>r</w:t>
      </w:r>
      <w:r>
        <w:rPr>
          <w:rFonts w:ascii="Times New Roman" w:hAnsi="Times New Roman" w:cs="Calibri"/>
          <w:szCs w:val="21"/>
          <w:highlight w:val="none"/>
        </w:rPr>
        <w:t>＞0.90），则得到的负斜率的绝对值即为准一级反应速率常数</w:t>
      </w:r>
      <w:r>
        <w:rPr>
          <w:rFonts w:ascii="Times New Roman" w:hAnsi="Times New Roman" w:cs="Calibri"/>
          <w:i/>
          <w:iCs/>
          <w:szCs w:val="21"/>
          <w:highlight w:val="none"/>
        </w:rPr>
        <w:t>k</w:t>
      </w:r>
      <w:r>
        <w:rPr>
          <w:rFonts w:ascii="Times New Roman" w:hAnsi="Times New Roman" w:cs="Calibri"/>
          <w:szCs w:val="21"/>
          <w:highlight w:val="none"/>
          <w:vertAlign w:val="subscript"/>
        </w:rPr>
        <w:t>observed</w:t>
      </w:r>
      <w:r>
        <w:rPr>
          <w:rFonts w:ascii="Times New Roman" w:hAnsi="Times New Roman" w:cs="Calibri"/>
          <w:szCs w:val="21"/>
          <w:highlight w:val="none"/>
        </w:rPr>
        <w:t>（mM</w:t>
      </w:r>
      <w:r>
        <w:rPr>
          <w:rFonts w:ascii="Times New Roman" w:hAnsi="Times New Roman" w:cs="Calibri"/>
          <w:szCs w:val="21"/>
          <w:highlight w:val="none"/>
          <w:vertAlign w:val="superscript"/>
        </w:rPr>
        <w:t>-1</w:t>
      </w:r>
      <w:r>
        <w:rPr>
          <w:rFonts w:ascii="Times New Roman" w:hAnsi="Times New Roman" w:cs="Calibri"/>
          <w:szCs w:val="21"/>
          <w:highlight w:val="none"/>
        </w:rPr>
        <w:t>），按照下式计算各时间点反应动力学常数</w:t>
      </w:r>
      <w:r>
        <w:rPr>
          <w:rFonts w:ascii="Times New Roman" w:hAnsi="Times New Roman" w:cs="Calibri"/>
          <w:i/>
          <w:iCs/>
          <w:szCs w:val="21"/>
          <w:highlight w:val="none"/>
        </w:rPr>
        <w:t>k</w:t>
      </w:r>
      <w:r>
        <w:rPr>
          <w:rFonts w:ascii="Times New Roman" w:hAnsi="Times New Roman" w:cs="Calibri"/>
          <w:szCs w:val="21"/>
          <w:highlight w:val="none"/>
          <w:vertAlign w:val="subscript"/>
        </w:rPr>
        <w:t>t</w:t>
      </w:r>
      <w:r>
        <w:rPr>
          <w:rFonts w:ascii="Times New Roman" w:hAnsi="Times New Roman" w:cs="Calibri"/>
          <w:szCs w:val="21"/>
          <w:highlight w:val="none"/>
        </w:rPr>
        <w:t>（M</w:t>
      </w:r>
      <w:r>
        <w:rPr>
          <w:rFonts w:ascii="Times New Roman" w:hAnsi="Times New Roman" w:cs="Calibri"/>
          <w:szCs w:val="21"/>
          <w:highlight w:val="none"/>
          <w:vertAlign w:val="superscript"/>
        </w:rPr>
        <w:t>-1</w:t>
      </w:r>
      <w:r>
        <w:rPr>
          <w:rFonts w:ascii="Times New Roman" w:hAnsi="Times New Roman" w:cs="Calibri"/>
          <w:szCs w:val="21"/>
          <w:highlight w:val="none"/>
        </w:rPr>
        <w:t>s</w:t>
      </w:r>
      <w:r>
        <w:rPr>
          <w:rFonts w:ascii="Times New Roman" w:hAnsi="Times New Roman" w:cs="Calibri"/>
          <w:szCs w:val="21"/>
          <w:highlight w:val="none"/>
          <w:vertAlign w:val="superscript"/>
        </w:rPr>
        <w:t>-1</w:t>
      </w:r>
      <w:r>
        <w:rPr>
          <w:rFonts w:ascii="Times New Roman" w:hAnsi="Times New Roman" w:cs="Calibri"/>
          <w:szCs w:val="21"/>
          <w:highlight w:val="none"/>
        </w:rPr>
        <w:t>）：</w:t>
      </w:r>
    </w:p>
    <w:p>
      <w:pPr>
        <w:spacing w:line="300" w:lineRule="auto"/>
        <w:ind w:firstLine="420" w:firstLineChars="200"/>
        <w:jc w:val="center"/>
        <w:rPr>
          <w:rFonts w:ascii="Times New Roman" w:hAnsi="Times New Roman" w:cs="Calibri"/>
          <w:szCs w:val="21"/>
          <w:highlight w:val="none"/>
        </w:rPr>
      </w:pPr>
      <w:r>
        <w:rPr>
          <w:rFonts w:ascii="Times New Roman" w:hAnsi="Times New Roman" w:cs="Calibri"/>
          <w:i/>
          <w:iCs/>
          <w:szCs w:val="21"/>
          <w:highlight w:val="none"/>
        </w:rPr>
        <w:t>k</w:t>
      </w:r>
      <w:r>
        <w:rPr>
          <w:rFonts w:ascii="Times New Roman" w:hAnsi="Times New Roman" w:cs="Calibri"/>
          <w:i/>
          <w:iCs/>
          <w:szCs w:val="21"/>
          <w:highlight w:val="none"/>
          <w:vertAlign w:val="subscript"/>
        </w:rPr>
        <w:t>t</w:t>
      </w:r>
      <w:r>
        <w:rPr>
          <w:rFonts w:ascii="Times New Roman" w:hAnsi="Times New Roman" w:cs="Calibri"/>
          <w:szCs w:val="21"/>
          <w:highlight w:val="none"/>
        </w:rPr>
        <w:t>=</w:t>
      </w:r>
      <w:r>
        <w:rPr>
          <w:rFonts w:ascii="Times New Roman" w:hAnsi="Times New Roman" w:cs="Calibri"/>
          <w:i/>
          <w:iCs/>
          <w:szCs w:val="21"/>
          <w:highlight w:val="none"/>
        </w:rPr>
        <w:t>k</w:t>
      </w:r>
      <w:r>
        <w:rPr>
          <w:rFonts w:ascii="Times New Roman" w:hAnsi="Times New Roman" w:cs="Calibri"/>
          <w:szCs w:val="21"/>
          <w:highlight w:val="none"/>
          <w:vertAlign w:val="subscript"/>
        </w:rPr>
        <w:t>observed</w:t>
      </w:r>
      <w:r>
        <w:rPr>
          <w:rFonts w:ascii="Times New Roman" w:hAnsi="Times New Roman" w:cs="Calibri"/>
          <w:szCs w:val="21"/>
          <w:highlight w:val="none"/>
        </w:rPr>
        <w:t>·</w:t>
      </w:r>
      <w:r>
        <w:rPr>
          <w:rFonts w:ascii="Times New Roman" w:hAnsi="Times New Roman" w:cs="Calibri"/>
          <w:position w:val="-12"/>
          <w:szCs w:val="21"/>
          <w:highlight w:val="none"/>
        </w:rPr>
        <w:object>
          <v:shape id="_x0000_i1027" o:spt="75" type="#_x0000_t75" style="height:24.5pt;width:25.25pt;" o:ole="t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  <w10:wrap type="none"/>
            <w10:anchorlock/>
          </v:shape>
          <o:OLEObject Type="Embed" ProgID="Equation.3" ShapeID="_x0000_i1027" DrawAspect="Content" ObjectID="_1468075727" r:id="rId12">
            <o:LockedField>false</o:LockedField>
          </o:OLEObject>
        </w:object>
      </w:r>
    </w:p>
    <w:p>
      <w:pPr>
        <w:spacing w:line="300" w:lineRule="auto"/>
        <w:ind w:firstLine="420" w:firstLineChars="200"/>
        <w:rPr>
          <w:rFonts w:ascii="Times New Roman" w:hAnsi="Times New Roman" w:cs="Calibri"/>
          <w:szCs w:val="21"/>
          <w:highlight w:val="none"/>
        </w:rPr>
      </w:pPr>
      <w:r>
        <w:rPr>
          <w:rFonts w:hint="eastAsia" w:ascii="Times New Roman" w:hAnsi="Times New Roman" w:cs="Calibri"/>
          <w:szCs w:val="21"/>
          <w:highlight w:val="none"/>
        </w:rPr>
        <w:t>注：</w:t>
      </w:r>
      <w:r>
        <w:rPr>
          <w:rFonts w:ascii="Times New Roman" w:hAnsi="Times New Roman" w:cs="Calibri"/>
          <w:szCs w:val="21"/>
          <w:highlight w:val="none"/>
        </w:rPr>
        <w:t>t为孵育时间，以min表示。</w:t>
      </w:r>
    </w:p>
    <w:p>
      <w:pPr>
        <w:spacing w:line="300" w:lineRule="auto"/>
        <w:ind w:firstLine="420" w:firstLineChars="200"/>
        <w:rPr>
          <w:rFonts w:ascii="Times New Roman" w:hAnsi="Times New Roman" w:cs="Calibri"/>
          <w:szCs w:val="21"/>
          <w:highlight w:val="none"/>
        </w:rPr>
      </w:pPr>
      <w:r>
        <w:rPr>
          <w:rFonts w:ascii="Times New Roman" w:hAnsi="Times New Roman" w:cs="Calibri"/>
          <w:szCs w:val="21"/>
          <w:highlight w:val="none"/>
        </w:rPr>
        <w:t>计算所有满足</w:t>
      </w:r>
      <w:r>
        <w:rPr>
          <w:rFonts w:ascii="Times New Roman" w:hAnsi="Times New Roman" w:cs="Calibri"/>
          <w:i/>
          <w:iCs/>
          <w:szCs w:val="21"/>
          <w:highlight w:val="none"/>
        </w:rPr>
        <w:t>r</w:t>
      </w:r>
      <w:r>
        <w:rPr>
          <w:rFonts w:ascii="Times New Roman" w:hAnsi="Times New Roman" w:cs="Calibri"/>
          <w:szCs w:val="21"/>
          <w:highlight w:val="none"/>
        </w:rPr>
        <w:t>＞0.90的孵育时间的lg</w:t>
      </w:r>
      <w:r>
        <w:rPr>
          <w:rFonts w:ascii="Times New Roman" w:hAnsi="Times New Roman" w:cs="Calibri"/>
          <w:i/>
          <w:iCs/>
          <w:szCs w:val="21"/>
          <w:highlight w:val="none"/>
        </w:rPr>
        <w:t>k</w:t>
      </w:r>
      <w:r>
        <w:rPr>
          <w:rFonts w:ascii="Times New Roman" w:hAnsi="Times New Roman" w:cs="Calibri"/>
          <w:szCs w:val="21"/>
          <w:highlight w:val="none"/>
          <w:vertAlign w:val="subscript"/>
        </w:rPr>
        <w:t>t</w:t>
      </w:r>
      <w:r>
        <w:rPr>
          <w:rFonts w:ascii="Times New Roman" w:hAnsi="Times New Roman" w:cs="Calibri"/>
          <w:szCs w:val="21"/>
          <w:highlight w:val="none"/>
        </w:rPr>
        <w:t>，取其中最大值为lg</w:t>
      </w:r>
      <w:r>
        <w:rPr>
          <w:rFonts w:ascii="Times New Roman" w:hAnsi="Times New Roman" w:cs="Calibri"/>
          <w:i/>
          <w:iCs/>
          <w:szCs w:val="21"/>
          <w:highlight w:val="none"/>
        </w:rPr>
        <w:t>k</w:t>
      </w:r>
      <w:r>
        <w:rPr>
          <w:rFonts w:ascii="Times New Roman" w:hAnsi="Times New Roman" w:cs="Calibri"/>
          <w:szCs w:val="21"/>
          <w:highlight w:val="none"/>
          <w:vertAlign w:val="subscript"/>
        </w:rPr>
        <w:t>max</w:t>
      </w:r>
      <w:r>
        <w:rPr>
          <w:rFonts w:ascii="Times New Roman" w:hAnsi="Times New Roman" w:cs="Calibri"/>
          <w:szCs w:val="21"/>
          <w:highlight w:val="none"/>
        </w:rPr>
        <w:t>。</w:t>
      </w:r>
    </w:p>
    <w:p>
      <w:pPr>
        <w:tabs>
          <w:tab w:val="left" w:pos="3360"/>
        </w:tabs>
        <w:spacing w:before="156" w:beforeLines="50" w:after="156" w:afterLines="50" w:line="300" w:lineRule="auto"/>
        <w:outlineLvl w:val="2"/>
        <w:rPr>
          <w:rFonts w:ascii="Times New Roman" w:hAnsi="Times New Roman" w:eastAsia="黑体" w:cs="Calibri"/>
          <w:szCs w:val="21"/>
          <w:highlight w:val="none"/>
        </w:rPr>
      </w:pPr>
      <w:bookmarkStart w:id="23" w:name="_Toc22333"/>
      <w:bookmarkStart w:id="24" w:name="OLE_LINK6"/>
      <w:r>
        <w:rPr>
          <w:rFonts w:ascii="Times New Roman" w:hAnsi="Times New Roman" w:eastAsia="黑体" w:cs="Calibri"/>
          <w:szCs w:val="21"/>
          <w:highlight w:val="none"/>
        </w:rPr>
        <w:t>8 试验成立条件</w:t>
      </w:r>
      <w:bookmarkEnd w:id="23"/>
    </w:p>
    <w:bookmarkEnd w:id="24"/>
    <w:p>
      <w:pPr>
        <w:spacing w:line="300" w:lineRule="auto"/>
        <w:ind w:firstLine="420" w:firstLineChars="200"/>
        <w:rPr>
          <w:rFonts w:ascii="Times New Roman" w:hAnsi="Times New Roman" w:cs="Calibri"/>
          <w:szCs w:val="21"/>
          <w:highlight w:val="none"/>
        </w:rPr>
      </w:pPr>
      <w:r>
        <w:rPr>
          <w:rFonts w:ascii="Times New Roman" w:hAnsi="Times New Roman" w:cs="Calibri"/>
          <w:szCs w:val="21"/>
          <w:highlight w:val="none"/>
        </w:rPr>
        <w:t>阳性对照组90 min</w:t>
      </w:r>
      <w:r>
        <w:rPr>
          <w:rFonts w:hint="eastAsia" w:ascii="Times New Roman" w:hAnsi="Times New Roman" w:cs="Calibri"/>
          <w:szCs w:val="21"/>
          <w:highlight w:val="none"/>
        </w:rPr>
        <w:t>时间点</w:t>
      </w:r>
      <w:r>
        <w:rPr>
          <w:rFonts w:ascii="Times New Roman" w:hAnsi="Times New Roman" w:cs="Calibri"/>
          <w:szCs w:val="21"/>
          <w:highlight w:val="none"/>
        </w:rPr>
        <w:t xml:space="preserve"> lg</w:t>
      </w:r>
      <w:r>
        <w:rPr>
          <w:rFonts w:ascii="Times New Roman" w:hAnsi="Times New Roman" w:cs="Calibri"/>
          <w:i/>
          <w:iCs/>
          <w:szCs w:val="21"/>
          <w:highlight w:val="none"/>
        </w:rPr>
        <w:t>k</w:t>
      </w:r>
      <w:r>
        <w:rPr>
          <w:rFonts w:ascii="Times New Roman" w:hAnsi="Times New Roman" w:cs="Calibri"/>
          <w:szCs w:val="21"/>
          <w:highlight w:val="none"/>
        </w:rPr>
        <w:t>值应在-1.75 M</w:t>
      </w:r>
      <w:r>
        <w:rPr>
          <w:rFonts w:ascii="Times New Roman" w:hAnsi="Times New Roman" w:cs="Calibri"/>
          <w:szCs w:val="21"/>
          <w:highlight w:val="none"/>
          <w:vertAlign w:val="superscript"/>
        </w:rPr>
        <w:t>-1</w:t>
      </w:r>
      <w:r>
        <w:rPr>
          <w:rFonts w:ascii="Times New Roman" w:hAnsi="Times New Roman" w:cs="Calibri"/>
          <w:szCs w:val="21"/>
          <w:highlight w:val="none"/>
        </w:rPr>
        <w:t>s</w:t>
      </w:r>
      <w:r>
        <w:rPr>
          <w:rFonts w:ascii="Times New Roman" w:hAnsi="Times New Roman" w:cs="Calibri"/>
          <w:szCs w:val="21"/>
          <w:highlight w:val="none"/>
          <w:vertAlign w:val="superscript"/>
        </w:rPr>
        <w:t>-1</w:t>
      </w:r>
      <w:r>
        <w:rPr>
          <w:rFonts w:hint="eastAsia" w:ascii="Times New Roman" w:hAnsi="Times New Roman" w:cs="Calibri"/>
          <w:szCs w:val="21"/>
          <w:highlight w:val="none"/>
          <w:vertAlign w:val="superscript"/>
        </w:rPr>
        <w:t xml:space="preserve"> </w:t>
      </w:r>
      <w:r>
        <w:rPr>
          <w:rFonts w:ascii="Times New Roman" w:hAnsi="Times New Roman" w:cs="Calibri"/>
          <w:szCs w:val="21"/>
          <w:highlight w:val="none"/>
        </w:rPr>
        <w:t>~</w:t>
      </w:r>
      <w:r>
        <w:rPr>
          <w:rFonts w:hint="eastAsia" w:ascii="Times New Roman" w:hAnsi="Times New Roman" w:cs="Calibri"/>
          <w:szCs w:val="21"/>
          <w:highlight w:val="none"/>
        </w:rPr>
        <w:t xml:space="preserve"> </w:t>
      </w:r>
      <w:r>
        <w:rPr>
          <w:rFonts w:ascii="Times New Roman" w:hAnsi="Times New Roman" w:cs="Calibri"/>
          <w:szCs w:val="21"/>
          <w:highlight w:val="none"/>
        </w:rPr>
        <w:t>-1.40 M</w:t>
      </w:r>
      <w:r>
        <w:rPr>
          <w:rFonts w:ascii="Times New Roman" w:hAnsi="Times New Roman" w:cs="Calibri"/>
          <w:szCs w:val="21"/>
          <w:highlight w:val="none"/>
          <w:vertAlign w:val="superscript"/>
        </w:rPr>
        <w:t>-1</w:t>
      </w:r>
      <w:r>
        <w:rPr>
          <w:rFonts w:ascii="Times New Roman" w:hAnsi="Times New Roman" w:cs="Calibri"/>
          <w:szCs w:val="21"/>
          <w:highlight w:val="none"/>
        </w:rPr>
        <w:t>s</w:t>
      </w:r>
      <w:r>
        <w:rPr>
          <w:rFonts w:ascii="Times New Roman" w:hAnsi="Times New Roman" w:cs="Calibri"/>
          <w:szCs w:val="21"/>
          <w:highlight w:val="none"/>
          <w:vertAlign w:val="superscript"/>
        </w:rPr>
        <w:t>-1</w:t>
      </w:r>
      <w:r>
        <w:rPr>
          <w:rFonts w:ascii="Times New Roman" w:hAnsi="Times New Roman" w:cs="Calibri"/>
          <w:szCs w:val="21"/>
          <w:highlight w:val="none"/>
        </w:rPr>
        <w:t>范围内，若90</w:t>
      </w:r>
      <w:r>
        <w:rPr>
          <w:rFonts w:hint="eastAsia" w:ascii="Times New Roman" w:hAnsi="Times New Roman" w:cs="Calibri"/>
          <w:szCs w:val="21"/>
          <w:highlight w:val="none"/>
        </w:rPr>
        <w:t xml:space="preserve"> </w:t>
      </w:r>
      <w:r>
        <w:rPr>
          <w:rFonts w:ascii="Times New Roman" w:hAnsi="Times New Roman" w:cs="Calibri"/>
          <w:szCs w:val="21"/>
          <w:highlight w:val="none"/>
        </w:rPr>
        <w:t>min时间点没有得到lg</w:t>
      </w:r>
      <w:r>
        <w:rPr>
          <w:rFonts w:ascii="Times New Roman" w:hAnsi="Times New Roman" w:cs="Calibri"/>
          <w:i/>
          <w:iCs/>
          <w:szCs w:val="21"/>
          <w:highlight w:val="none"/>
        </w:rPr>
        <w:t>k</w:t>
      </w:r>
      <w:r>
        <w:rPr>
          <w:rFonts w:ascii="Times New Roman" w:hAnsi="Times New Roman" w:cs="Calibri"/>
          <w:szCs w:val="21"/>
          <w:highlight w:val="none"/>
        </w:rPr>
        <w:t>值，150 min时间点lg</w:t>
      </w:r>
      <w:r>
        <w:rPr>
          <w:rFonts w:ascii="Times New Roman" w:hAnsi="Times New Roman" w:cs="Calibri"/>
          <w:i/>
          <w:iCs/>
          <w:szCs w:val="21"/>
          <w:highlight w:val="none"/>
        </w:rPr>
        <w:t>k</w:t>
      </w:r>
      <w:r>
        <w:rPr>
          <w:rFonts w:ascii="Times New Roman" w:hAnsi="Times New Roman" w:cs="Calibri"/>
          <w:szCs w:val="21"/>
          <w:highlight w:val="none"/>
        </w:rPr>
        <w:t>应在-1.90 M</w:t>
      </w:r>
      <w:r>
        <w:rPr>
          <w:rFonts w:ascii="Times New Roman" w:hAnsi="Times New Roman" w:cs="Calibri"/>
          <w:szCs w:val="21"/>
          <w:highlight w:val="none"/>
          <w:vertAlign w:val="superscript"/>
        </w:rPr>
        <w:t>-1</w:t>
      </w:r>
      <w:r>
        <w:rPr>
          <w:rFonts w:ascii="Times New Roman" w:hAnsi="Times New Roman" w:cs="Calibri"/>
          <w:szCs w:val="21"/>
          <w:highlight w:val="none"/>
        </w:rPr>
        <w:t>s</w:t>
      </w:r>
      <w:r>
        <w:rPr>
          <w:rFonts w:ascii="Times New Roman" w:hAnsi="Times New Roman" w:cs="Calibri"/>
          <w:szCs w:val="21"/>
          <w:highlight w:val="none"/>
          <w:vertAlign w:val="superscript"/>
        </w:rPr>
        <w:t>-1</w:t>
      </w:r>
      <w:r>
        <w:rPr>
          <w:rFonts w:hint="eastAsia" w:ascii="Times New Roman" w:hAnsi="Times New Roman" w:cs="Calibri"/>
          <w:szCs w:val="21"/>
          <w:highlight w:val="none"/>
          <w:vertAlign w:val="superscript"/>
        </w:rPr>
        <w:t xml:space="preserve"> </w:t>
      </w:r>
      <w:r>
        <w:rPr>
          <w:rFonts w:ascii="Times New Roman" w:hAnsi="Times New Roman" w:cs="Calibri"/>
          <w:szCs w:val="21"/>
          <w:highlight w:val="none"/>
        </w:rPr>
        <w:t>~</w:t>
      </w:r>
      <w:r>
        <w:rPr>
          <w:rFonts w:hint="eastAsia" w:ascii="Times New Roman" w:hAnsi="Times New Roman" w:cs="Calibri"/>
          <w:szCs w:val="21"/>
          <w:highlight w:val="none"/>
        </w:rPr>
        <w:t xml:space="preserve"> </w:t>
      </w:r>
      <w:r>
        <w:rPr>
          <w:rFonts w:ascii="Times New Roman" w:hAnsi="Times New Roman" w:cs="Calibri"/>
          <w:szCs w:val="21"/>
          <w:highlight w:val="none"/>
        </w:rPr>
        <w:t>-1.45 M</w:t>
      </w:r>
      <w:r>
        <w:rPr>
          <w:rFonts w:ascii="Times New Roman" w:hAnsi="Times New Roman" w:cs="Calibri"/>
          <w:szCs w:val="21"/>
          <w:highlight w:val="none"/>
          <w:vertAlign w:val="superscript"/>
        </w:rPr>
        <w:t>-1</w:t>
      </w:r>
      <w:r>
        <w:rPr>
          <w:rFonts w:ascii="Times New Roman" w:hAnsi="Times New Roman" w:cs="Calibri"/>
          <w:szCs w:val="21"/>
          <w:highlight w:val="none"/>
        </w:rPr>
        <w:t>s</w:t>
      </w:r>
      <w:r>
        <w:rPr>
          <w:rFonts w:ascii="Times New Roman" w:hAnsi="Times New Roman" w:cs="Calibri"/>
          <w:szCs w:val="21"/>
          <w:highlight w:val="none"/>
          <w:vertAlign w:val="superscript"/>
        </w:rPr>
        <w:t>-1</w:t>
      </w:r>
      <w:r>
        <w:rPr>
          <w:rFonts w:ascii="Times New Roman" w:hAnsi="Times New Roman" w:cs="Calibri"/>
          <w:szCs w:val="21"/>
          <w:highlight w:val="none"/>
        </w:rPr>
        <w:t>范围内。</w:t>
      </w:r>
    </w:p>
    <w:p>
      <w:pPr>
        <w:spacing w:line="300" w:lineRule="auto"/>
        <w:ind w:firstLine="420" w:firstLineChars="200"/>
        <w:rPr>
          <w:rFonts w:ascii="Times New Roman" w:hAnsi="Times New Roman" w:cs="Calibri"/>
          <w:szCs w:val="21"/>
          <w:highlight w:val="none"/>
        </w:rPr>
      </w:pPr>
      <w:r>
        <w:rPr>
          <w:rFonts w:ascii="Times New Roman" w:hAnsi="Times New Roman" w:cs="Calibri"/>
          <w:szCs w:val="21"/>
          <w:highlight w:val="none"/>
        </w:rPr>
        <w:t>至少有5个时间点溶剂对照组变异系数（Coefficient of Variation，CV）＜</w:t>
      </w:r>
      <w:r>
        <w:rPr>
          <w:rFonts w:hint="eastAsia" w:ascii="Times New Roman" w:hAnsi="Times New Roman" w:cs="Calibri"/>
          <w:szCs w:val="21"/>
          <w:highlight w:val="none"/>
        </w:rPr>
        <w:t>15</w:t>
      </w:r>
      <w:r>
        <w:rPr>
          <w:rFonts w:ascii="Times New Roman" w:hAnsi="Times New Roman" w:cs="Calibri"/>
          <w:szCs w:val="21"/>
          <w:highlight w:val="none"/>
        </w:rPr>
        <w:t>%。</w:t>
      </w:r>
    </w:p>
    <w:p>
      <w:pPr>
        <w:tabs>
          <w:tab w:val="left" w:pos="3360"/>
        </w:tabs>
        <w:spacing w:before="156" w:beforeLines="50" w:after="156" w:afterLines="50" w:line="300" w:lineRule="auto"/>
        <w:outlineLvl w:val="2"/>
        <w:rPr>
          <w:rFonts w:ascii="Times New Roman" w:hAnsi="Times New Roman" w:eastAsia="黑体" w:cs="Calibri"/>
          <w:szCs w:val="21"/>
          <w:highlight w:val="none"/>
        </w:rPr>
      </w:pPr>
      <w:bookmarkStart w:id="25" w:name="_Toc20590"/>
      <w:r>
        <w:rPr>
          <w:rFonts w:ascii="Times New Roman" w:hAnsi="Times New Roman" w:eastAsia="黑体" w:cs="Calibri"/>
          <w:szCs w:val="21"/>
          <w:highlight w:val="none"/>
        </w:rPr>
        <w:t>9 结果判定标准</w:t>
      </w:r>
      <w:bookmarkEnd w:id="25"/>
    </w:p>
    <w:p>
      <w:pPr>
        <w:spacing w:line="300" w:lineRule="auto"/>
        <w:ind w:firstLine="420" w:firstLineChars="200"/>
        <w:rPr>
          <w:rFonts w:ascii="Times New Roman" w:hAnsi="Times New Roman" w:cs="Calibri"/>
          <w:szCs w:val="21"/>
          <w:highlight w:val="none"/>
        </w:rPr>
      </w:pPr>
      <w:r>
        <w:rPr>
          <w:rFonts w:ascii="Times New Roman" w:hAnsi="Times New Roman" w:cs="Calibri"/>
          <w:szCs w:val="21"/>
          <w:highlight w:val="none"/>
        </w:rPr>
        <w:t>按表1对受试物进行致敏性分级。</w:t>
      </w:r>
      <w:bookmarkStart w:id="33" w:name="_GoBack"/>
      <w:bookmarkEnd w:id="33"/>
    </w:p>
    <w:p>
      <w:pPr>
        <w:spacing w:line="300" w:lineRule="auto"/>
        <w:ind w:firstLine="420" w:firstLineChars="200"/>
        <w:rPr>
          <w:rFonts w:ascii="Times New Roman" w:hAnsi="Times New Roman" w:cs="Calibri"/>
          <w:szCs w:val="21"/>
          <w:highlight w:val="none"/>
        </w:rPr>
      </w:pPr>
    </w:p>
    <w:p>
      <w:pPr>
        <w:spacing w:before="156" w:beforeLines="50" w:after="156" w:afterLines="50" w:line="300" w:lineRule="auto"/>
        <w:jc w:val="center"/>
        <w:rPr>
          <w:rFonts w:ascii="Times New Roman" w:hAnsi="Times New Roman" w:eastAsia="黑体" w:cs="Calibri"/>
          <w:szCs w:val="21"/>
          <w:highlight w:val="none"/>
        </w:rPr>
      </w:pPr>
      <w:r>
        <w:rPr>
          <w:rFonts w:ascii="Times New Roman" w:hAnsi="Times New Roman" w:eastAsia="黑体" w:cs="Calibri"/>
          <w:szCs w:val="21"/>
          <w:highlight w:val="none"/>
        </w:rPr>
        <w:t>表1  kDPRA结果判断</w:t>
      </w:r>
    </w:p>
    <w:tbl>
      <w:tblPr>
        <w:tblStyle w:val="8"/>
        <w:tblW w:w="0" w:type="auto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84"/>
        <w:gridCol w:w="3255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3484" w:type="dxa"/>
            <w:vAlign w:val="center"/>
          </w:tcPr>
          <w:p>
            <w:pPr>
              <w:spacing w:line="300" w:lineRule="auto"/>
              <w:jc w:val="center"/>
              <w:rPr>
                <w:rFonts w:ascii="Times New Roman" w:hAnsi="Times New Roman" w:cs="Calibri"/>
                <w:szCs w:val="21"/>
                <w:highlight w:val="none"/>
              </w:rPr>
            </w:pPr>
            <w:r>
              <w:rPr>
                <w:rFonts w:ascii="Times New Roman" w:hAnsi="Times New Roman" w:cs="Calibri"/>
                <w:szCs w:val="21"/>
                <w:highlight w:val="none"/>
              </w:rPr>
              <w:t>试验结果</w:t>
            </w:r>
          </w:p>
        </w:tc>
        <w:tc>
          <w:tcPr>
            <w:tcW w:w="3255" w:type="dxa"/>
            <w:vAlign w:val="center"/>
          </w:tcPr>
          <w:p>
            <w:pPr>
              <w:spacing w:line="300" w:lineRule="auto"/>
              <w:jc w:val="center"/>
              <w:rPr>
                <w:rFonts w:ascii="Times New Roman" w:hAnsi="Times New Roman" w:cs="Calibri"/>
                <w:szCs w:val="21"/>
                <w:highlight w:val="none"/>
              </w:rPr>
            </w:pPr>
            <w:r>
              <w:rPr>
                <w:rFonts w:ascii="Times New Roman" w:hAnsi="Times New Roman" w:cs="Calibri"/>
                <w:szCs w:val="21"/>
                <w:highlight w:val="none"/>
              </w:rPr>
              <w:t>预测结</w:t>
            </w:r>
            <w:r>
              <w:rPr>
                <w:rFonts w:hint="eastAsia" w:ascii="Times New Roman" w:hAnsi="Times New Roman" w:cs="Calibri"/>
                <w:szCs w:val="21"/>
                <w:highlight w:val="none"/>
              </w:rPr>
              <w:t>果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3484" w:type="dxa"/>
            <w:tcBorders>
              <w:bottom w:val="nil"/>
            </w:tcBorders>
            <w:vAlign w:val="center"/>
          </w:tcPr>
          <w:p>
            <w:pPr>
              <w:spacing w:line="300" w:lineRule="auto"/>
              <w:jc w:val="center"/>
              <w:rPr>
                <w:rFonts w:ascii="Times New Roman" w:hAnsi="Times New Roman" w:cs="Calibri"/>
                <w:szCs w:val="21"/>
                <w:highlight w:val="none"/>
              </w:rPr>
            </w:pPr>
            <w:r>
              <w:rPr>
                <w:rFonts w:ascii="Times New Roman" w:hAnsi="Times New Roman" w:cs="Calibri"/>
                <w:szCs w:val="21"/>
                <w:highlight w:val="none"/>
              </w:rPr>
              <w:t>lg</w:t>
            </w:r>
            <w:r>
              <w:rPr>
                <w:rFonts w:ascii="Times New Roman" w:hAnsi="Times New Roman" w:cs="Calibri"/>
                <w:i/>
                <w:szCs w:val="21"/>
                <w:highlight w:val="none"/>
              </w:rPr>
              <w:t>k</w:t>
            </w:r>
            <w:r>
              <w:rPr>
                <w:rFonts w:ascii="Times New Roman" w:hAnsi="Times New Roman" w:cs="Calibri"/>
                <w:szCs w:val="21"/>
                <w:highlight w:val="none"/>
                <w:vertAlign w:val="subscript"/>
              </w:rPr>
              <w:t>max</w:t>
            </w:r>
            <w:r>
              <w:rPr>
                <w:rFonts w:hint="eastAsia" w:ascii="Times New Roman" w:hAnsi="Times New Roman" w:cs="Calibri"/>
                <w:szCs w:val="21"/>
                <w:highlight w:val="none"/>
                <w:vertAlign w:val="subscript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≥</w:t>
            </w:r>
            <w:r>
              <w:rPr>
                <w:rFonts w:hint="eastAsia" w:ascii="宋体" w:hAnsi="宋体" w:cs="宋体"/>
                <w:szCs w:val="21"/>
                <w:highlight w:val="none"/>
              </w:rPr>
              <w:t>-</w:t>
            </w:r>
            <w:r>
              <w:rPr>
                <w:rFonts w:ascii="Times New Roman" w:hAnsi="Times New Roman" w:cs="Calibri"/>
                <w:szCs w:val="21"/>
                <w:highlight w:val="none"/>
              </w:rPr>
              <w:t>2.0</w:t>
            </w:r>
          </w:p>
        </w:tc>
        <w:tc>
          <w:tcPr>
            <w:tcW w:w="3255" w:type="dxa"/>
            <w:tcBorders>
              <w:bottom w:val="nil"/>
            </w:tcBorders>
            <w:vAlign w:val="center"/>
          </w:tcPr>
          <w:p>
            <w:pPr>
              <w:spacing w:line="300" w:lineRule="auto"/>
              <w:jc w:val="center"/>
              <w:rPr>
                <w:rFonts w:ascii="Times New Roman" w:hAnsi="Times New Roman" w:cs="Calibri"/>
                <w:szCs w:val="21"/>
                <w:highlight w:val="none"/>
              </w:rPr>
            </w:pPr>
            <w:bookmarkStart w:id="26" w:name="OLE_LINK62"/>
            <w:r>
              <w:rPr>
                <w:rFonts w:hint="eastAsia" w:ascii="Times New Roman" w:hAnsi="Times New Roman"/>
                <w:szCs w:val="21"/>
                <w:highlight w:val="none"/>
              </w:rPr>
              <w:t>极强或</w:t>
            </w:r>
            <w:r>
              <w:rPr>
                <w:rFonts w:hint="eastAsia" w:ascii="Times New Roman" w:hAnsi="Times New Roman" w:cs="Calibri"/>
                <w:szCs w:val="21"/>
                <w:highlight w:val="none"/>
              </w:rPr>
              <w:t>强致敏剂</w:t>
            </w:r>
            <w:bookmarkEnd w:id="26"/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3484" w:type="dxa"/>
            <w:tcBorders>
              <w:top w:val="nil"/>
            </w:tcBorders>
            <w:vAlign w:val="center"/>
          </w:tcPr>
          <w:p>
            <w:pPr>
              <w:spacing w:line="300" w:lineRule="auto"/>
              <w:jc w:val="center"/>
              <w:rPr>
                <w:rFonts w:ascii="Times New Roman" w:hAnsi="Times New Roman" w:cs="Calibri"/>
                <w:szCs w:val="21"/>
                <w:highlight w:val="none"/>
              </w:rPr>
            </w:pPr>
            <w:r>
              <w:rPr>
                <w:rFonts w:ascii="Times New Roman" w:hAnsi="Times New Roman" w:cs="Calibri"/>
                <w:szCs w:val="21"/>
                <w:highlight w:val="none"/>
              </w:rPr>
              <w:t>非反应性或lg</w:t>
            </w:r>
            <w:r>
              <w:rPr>
                <w:rFonts w:ascii="Times New Roman" w:hAnsi="Times New Roman" w:cs="Calibri"/>
                <w:i/>
                <w:szCs w:val="21"/>
                <w:highlight w:val="none"/>
              </w:rPr>
              <w:t>k</w:t>
            </w:r>
            <w:r>
              <w:rPr>
                <w:rFonts w:ascii="Times New Roman" w:hAnsi="Times New Roman" w:cs="Calibri"/>
                <w:szCs w:val="21"/>
                <w:highlight w:val="none"/>
                <w:vertAlign w:val="subscript"/>
              </w:rPr>
              <w:t>max</w:t>
            </w:r>
            <w:r>
              <w:rPr>
                <w:rFonts w:hint="eastAsia" w:ascii="Times New Roman" w:hAnsi="Times New Roman" w:cs="Calibri"/>
                <w:szCs w:val="21"/>
                <w:highlight w:val="none"/>
                <w:vertAlign w:val="subscript"/>
              </w:rPr>
              <w:t xml:space="preserve"> </w:t>
            </w:r>
            <w:r>
              <w:rPr>
                <w:rFonts w:ascii="Times New Roman" w:hAnsi="Times New Roman" w:cs="Calibri"/>
                <w:szCs w:val="21"/>
                <w:highlight w:val="none"/>
              </w:rPr>
              <w:t>＜-2.0</w:t>
            </w:r>
          </w:p>
        </w:tc>
        <w:tc>
          <w:tcPr>
            <w:tcW w:w="3255" w:type="dxa"/>
            <w:tcBorders>
              <w:top w:val="nil"/>
            </w:tcBorders>
            <w:vAlign w:val="center"/>
          </w:tcPr>
          <w:p>
            <w:pPr>
              <w:spacing w:line="300" w:lineRule="auto"/>
              <w:jc w:val="center"/>
              <w:rPr>
                <w:rFonts w:ascii="Times New Roman" w:hAnsi="Times New Roman" w:cs="Calibri"/>
                <w:szCs w:val="21"/>
                <w:highlight w:val="none"/>
              </w:rPr>
            </w:pPr>
            <w:bookmarkStart w:id="27" w:name="OLE_LINK63"/>
            <w:r>
              <w:rPr>
                <w:rFonts w:hint="eastAsia" w:ascii="Times New Roman" w:hAnsi="Times New Roman" w:cs="Calibri"/>
                <w:szCs w:val="21"/>
                <w:highlight w:val="none"/>
              </w:rPr>
              <w:t>非致敏剂或中、弱致敏剂</w:t>
            </w:r>
            <w:bookmarkEnd w:id="27"/>
          </w:p>
        </w:tc>
      </w:tr>
    </w:tbl>
    <w:p>
      <w:pPr>
        <w:tabs>
          <w:tab w:val="left" w:pos="3360"/>
        </w:tabs>
        <w:spacing w:before="156" w:beforeLines="50" w:after="156" w:afterLines="50" w:line="300" w:lineRule="auto"/>
        <w:outlineLvl w:val="2"/>
        <w:rPr>
          <w:rFonts w:ascii="Times New Roman" w:hAnsi="Times New Roman" w:eastAsia="黑体" w:cs="Calibri"/>
          <w:szCs w:val="21"/>
          <w:highlight w:val="none"/>
        </w:rPr>
      </w:pPr>
      <w:bookmarkStart w:id="28" w:name="_Toc3043"/>
      <w:r>
        <w:rPr>
          <w:rFonts w:ascii="Times New Roman" w:hAnsi="Times New Roman" w:eastAsia="黑体" w:cs="Calibri"/>
          <w:szCs w:val="21"/>
          <w:highlight w:val="none"/>
        </w:rPr>
        <w:t>10 注意事项</w:t>
      </w:r>
      <w:bookmarkEnd w:id="28"/>
    </w:p>
    <w:p>
      <w:pPr>
        <w:spacing w:before="156" w:beforeLines="50" w:after="156" w:afterLines="50" w:line="300" w:lineRule="auto"/>
        <w:rPr>
          <w:rFonts w:ascii="Times New Roman" w:hAnsi="Times New Roman" w:cs="Calibri"/>
          <w:szCs w:val="21"/>
          <w:highlight w:val="none"/>
        </w:rPr>
      </w:pPr>
      <w:bookmarkStart w:id="29" w:name="OLE_LINK8"/>
      <w:r>
        <w:rPr>
          <w:rFonts w:ascii="Times New Roman" w:hAnsi="Times New Roman" w:cs="Calibri"/>
          <w:szCs w:val="21"/>
          <w:highlight w:val="none"/>
        </w:rPr>
        <w:t>10.</w:t>
      </w:r>
      <w:r>
        <w:rPr>
          <w:rFonts w:hint="eastAsia" w:ascii="Times New Roman" w:hAnsi="Times New Roman" w:cs="Calibri"/>
          <w:szCs w:val="21"/>
          <w:highlight w:val="none"/>
        </w:rPr>
        <w:t>1 溶剂为磷酸盐缓冲液的受试物</w:t>
      </w:r>
    </w:p>
    <w:p>
      <w:pPr>
        <w:spacing w:line="300" w:lineRule="auto"/>
        <w:ind w:firstLine="420" w:firstLineChars="200"/>
        <w:rPr>
          <w:rFonts w:ascii="Times New Roman" w:hAnsi="Times New Roman"/>
          <w:szCs w:val="21"/>
          <w:highlight w:val="none"/>
        </w:rPr>
      </w:pPr>
      <w:r>
        <w:rPr>
          <w:rFonts w:hint="eastAsia" w:ascii="Times New Roman" w:hAnsi="Times New Roman"/>
          <w:szCs w:val="21"/>
          <w:highlight w:val="none"/>
        </w:rPr>
        <w:t xml:space="preserve">如果受试物溶剂为磷酸盐缓冲液，则半胱氨酸多肽贮备液配制浓度为1 mM（0.752 mg/mL），同时反应板制备时半胱氨酸多肽贮备液（或磷酸盐缓冲液）每孔加样体积减少到80 </w:t>
      </w:r>
      <w:r>
        <w:rPr>
          <w:rFonts w:ascii="Times New Roman" w:hAnsi="Times New Roman"/>
          <w:szCs w:val="21"/>
          <w:highlight w:val="none"/>
        </w:rPr>
        <w:t>μL</w:t>
      </w:r>
      <w:r>
        <w:rPr>
          <w:rFonts w:hint="eastAsia" w:ascii="Times New Roman" w:hAnsi="Times New Roman"/>
          <w:szCs w:val="21"/>
          <w:highlight w:val="none"/>
        </w:rPr>
        <w:t xml:space="preserve">，然后再加入乙腈或磷酸盐缓冲液40 </w:t>
      </w:r>
      <w:r>
        <w:rPr>
          <w:rFonts w:ascii="Times New Roman" w:hAnsi="Times New Roman"/>
          <w:szCs w:val="21"/>
          <w:highlight w:val="none"/>
        </w:rPr>
        <w:t>μL</w:t>
      </w:r>
      <w:r>
        <w:rPr>
          <w:rFonts w:hint="eastAsia" w:ascii="Times New Roman" w:hAnsi="Times New Roman"/>
          <w:szCs w:val="21"/>
          <w:highlight w:val="none"/>
        </w:rPr>
        <w:t xml:space="preserve">补至120 </w:t>
      </w:r>
      <w:r>
        <w:rPr>
          <w:rFonts w:ascii="Times New Roman" w:hAnsi="Times New Roman"/>
          <w:szCs w:val="21"/>
          <w:highlight w:val="none"/>
        </w:rPr>
        <w:t>μ</w:t>
      </w:r>
      <w:r>
        <w:rPr>
          <w:rFonts w:hint="eastAsia" w:ascii="Times New Roman" w:hAnsi="Times New Roman"/>
          <w:szCs w:val="21"/>
          <w:highlight w:val="none"/>
        </w:rPr>
        <w:t>L，使所有孔中乙腈总体积仍为40 µL。</w:t>
      </w:r>
    </w:p>
    <w:p>
      <w:pPr>
        <w:spacing w:before="156" w:beforeLines="50" w:after="156" w:afterLines="50" w:line="300" w:lineRule="auto"/>
        <w:rPr>
          <w:rFonts w:ascii="Times New Roman" w:hAnsi="Times New Roman" w:cs="Calibri"/>
          <w:szCs w:val="21"/>
          <w:highlight w:val="none"/>
        </w:rPr>
      </w:pPr>
      <w:r>
        <w:rPr>
          <w:rFonts w:ascii="Times New Roman" w:hAnsi="Times New Roman" w:cs="Calibri"/>
          <w:szCs w:val="21"/>
          <w:highlight w:val="none"/>
        </w:rPr>
        <w:t>10.</w:t>
      </w:r>
      <w:r>
        <w:rPr>
          <w:rFonts w:hint="eastAsia" w:ascii="Times New Roman" w:hAnsi="Times New Roman" w:cs="Calibri"/>
          <w:szCs w:val="21"/>
          <w:highlight w:val="none"/>
        </w:rPr>
        <w:t>2</w:t>
      </w:r>
      <w:r>
        <w:rPr>
          <w:rFonts w:ascii="Times New Roman" w:hAnsi="Times New Roman" w:cs="Calibri"/>
          <w:szCs w:val="21"/>
          <w:highlight w:val="none"/>
        </w:rPr>
        <w:t xml:space="preserve"> 非线性</w:t>
      </w:r>
      <w:r>
        <w:rPr>
          <w:rFonts w:hint="eastAsia" w:ascii="Times New Roman" w:hAnsi="Times New Roman" w:cs="Calibri"/>
          <w:szCs w:val="21"/>
          <w:highlight w:val="none"/>
        </w:rPr>
        <w:t>反</w:t>
      </w:r>
      <w:r>
        <w:rPr>
          <w:rFonts w:ascii="Times New Roman" w:hAnsi="Times New Roman" w:cs="Calibri"/>
          <w:szCs w:val="21"/>
          <w:highlight w:val="none"/>
        </w:rPr>
        <w:t>应</w:t>
      </w:r>
    </w:p>
    <w:p>
      <w:pPr>
        <w:spacing w:line="300" w:lineRule="auto"/>
        <w:ind w:firstLine="420" w:firstLineChars="200"/>
        <w:rPr>
          <w:rFonts w:ascii="Times New Roman" w:hAnsi="Times New Roman" w:cs="Calibri"/>
          <w:szCs w:val="21"/>
          <w:highlight w:val="none"/>
        </w:rPr>
      </w:pPr>
      <w:r>
        <w:rPr>
          <w:rFonts w:hint="eastAsia" w:ascii="Times New Roman" w:hAnsi="Times New Roman" w:cs="Calibri"/>
          <w:szCs w:val="21"/>
          <w:highlight w:val="none"/>
        </w:rPr>
        <w:t>出现非线性反应时</w:t>
      </w:r>
      <w:r>
        <w:rPr>
          <w:rFonts w:ascii="Times New Roman" w:hAnsi="Times New Roman" w:cs="Calibri"/>
          <w:szCs w:val="21"/>
          <w:highlight w:val="none"/>
        </w:rPr>
        <w:t>无法通过斜率法求得速率常数。速率常数可以根据多肽消除率个体值按以下公式计算：</w:t>
      </w:r>
    </w:p>
    <w:p>
      <w:pPr>
        <w:spacing w:line="300" w:lineRule="auto"/>
        <w:ind w:firstLine="420" w:firstLineChars="200"/>
        <w:jc w:val="center"/>
        <w:rPr>
          <w:rFonts w:ascii="Times New Roman" w:hAnsi="Times New Roman" w:cs="Calibri"/>
          <w:color w:val="000000"/>
          <w:szCs w:val="21"/>
          <w:highlight w:val="none"/>
        </w:rPr>
      </w:pPr>
      <w:r>
        <w:rPr>
          <w:rFonts w:ascii="Times New Roman" w:hAnsi="Times New Roman" w:cs="Calibri"/>
          <w:i/>
          <w:iCs/>
          <w:color w:val="000000"/>
          <w:szCs w:val="21"/>
          <w:highlight w:val="none"/>
        </w:rPr>
        <w:t>k</w:t>
      </w:r>
      <w:r>
        <w:rPr>
          <w:rFonts w:ascii="Times New Roman" w:hAnsi="Times New Roman" w:cs="Calibri"/>
          <w:color w:val="000000"/>
          <w:szCs w:val="21"/>
          <w:highlight w:val="none"/>
        </w:rPr>
        <w:t>=</w:t>
      </w:r>
      <w:r>
        <w:rPr>
          <w:rFonts w:ascii="Times New Roman" w:hAnsi="Times New Roman" w:cs="Calibri"/>
          <w:color w:val="000000"/>
          <w:position w:val="-10"/>
          <w:szCs w:val="21"/>
          <w:highlight w:val="none"/>
        </w:rPr>
        <w:object>
          <v:shape id="_x0000_i1028" o:spt="75" type="#_x0000_t75" style="height:17pt;width:9.5pt;" o:ole="t" filled="f" o:preferrelative="t" stroked="f" coordsize="21600,21600">
            <v:path/>
            <v:fill on="f" focussize="0,0"/>
            <v:stroke on="f" joinstyle="miter"/>
            <v:imagedata r:id="rId15" o:title=""/>
            <o:lock v:ext="edit" aspectratio="t"/>
            <w10:wrap type="none"/>
            <w10:anchorlock/>
          </v:shape>
          <o:OLEObject Type="Embed" ProgID="Equation.3" ShapeID="_x0000_i1028" DrawAspect="Content" ObjectID="_1468075728" r:id="rId14">
            <o:LockedField>false</o:LockedField>
          </o:OLEObject>
        </w:object>
      </w:r>
      <w:r>
        <w:rPr>
          <w:rFonts w:ascii="Times New Roman" w:hAnsi="Times New Roman" w:cs="Calibri"/>
          <w:color w:val="000000"/>
          <w:position w:val="-12"/>
          <w:szCs w:val="21"/>
          <w:highlight w:val="none"/>
        </w:rPr>
        <w:object>
          <v:shape id="_x0000_i1029" o:spt="75" type="#_x0000_t75" style="height:25.25pt;width:69pt;" o:ole="t" filled="f" o:preferrelative="t" stroked="f" coordsize="21600,21600">
            <v:path/>
            <v:fill on="f" focussize="0,0"/>
            <v:stroke on="f" joinstyle="miter"/>
            <v:imagedata r:id="rId17" o:title=""/>
            <o:lock v:ext="edit" aspectratio="t"/>
            <w10:wrap type="none"/>
            <w10:anchorlock/>
          </v:shape>
          <o:OLEObject Type="Embed" ProgID="Equation.KSEE3" ShapeID="_x0000_i1029" DrawAspect="Content" ObjectID="_1468075729" r:id="rId16">
            <o:LockedField>false</o:LockedField>
          </o:OLEObject>
        </w:object>
      </w:r>
    </w:p>
    <w:p>
      <w:pPr>
        <w:spacing w:line="300" w:lineRule="auto"/>
        <w:ind w:firstLine="420" w:firstLineChars="200"/>
        <w:rPr>
          <w:rFonts w:ascii="Times New Roman" w:hAnsi="Times New Roman" w:cs="Calibri"/>
          <w:szCs w:val="21"/>
          <w:highlight w:val="none"/>
        </w:rPr>
      </w:pPr>
      <w:r>
        <w:rPr>
          <w:rFonts w:hint="eastAsia" w:ascii="Times New Roman" w:hAnsi="Times New Roman" w:cs="Calibri"/>
          <w:szCs w:val="21"/>
          <w:highlight w:val="none"/>
        </w:rPr>
        <w:t>注：</w:t>
      </w:r>
      <w:r>
        <w:rPr>
          <w:rFonts w:ascii="Times New Roman" w:hAnsi="Times New Roman" w:cs="Calibri"/>
          <w:szCs w:val="21"/>
          <w:highlight w:val="none"/>
        </w:rPr>
        <w:t>dp</w:t>
      </w:r>
      <w:r>
        <w:rPr>
          <w:rFonts w:hint="eastAsia" w:ascii="Times New Roman" w:hAnsi="Times New Roman" w:cs="Calibri"/>
          <w:szCs w:val="21"/>
          <w:highlight w:val="none"/>
        </w:rPr>
        <w:t>为</w:t>
      </w:r>
      <w:r>
        <w:rPr>
          <w:rFonts w:ascii="Times New Roman" w:hAnsi="Times New Roman" w:cs="Calibri"/>
          <w:szCs w:val="21"/>
          <w:highlight w:val="none"/>
        </w:rPr>
        <w:t>多肽消除率（%），E</w:t>
      </w:r>
      <w:r>
        <w:rPr>
          <w:rFonts w:hint="eastAsia" w:ascii="Times New Roman" w:hAnsi="Times New Roman" w:cs="Calibri"/>
          <w:szCs w:val="21"/>
          <w:highlight w:val="none"/>
        </w:rPr>
        <w:t>为</w:t>
      </w:r>
      <w:r>
        <w:rPr>
          <w:rFonts w:ascii="Times New Roman" w:hAnsi="Times New Roman" w:cs="Calibri"/>
          <w:szCs w:val="21"/>
          <w:highlight w:val="none"/>
        </w:rPr>
        <w:t>受试物的浓度，t是孵育时间。</w:t>
      </w:r>
    </w:p>
    <w:p>
      <w:pPr>
        <w:spacing w:line="300" w:lineRule="auto"/>
        <w:ind w:firstLine="420" w:firstLineChars="200"/>
        <w:rPr>
          <w:rFonts w:ascii="Times New Roman" w:hAnsi="Times New Roman" w:cs="Calibri"/>
          <w:szCs w:val="21"/>
          <w:highlight w:val="none"/>
        </w:rPr>
      </w:pPr>
      <w:r>
        <w:rPr>
          <w:rFonts w:ascii="Times New Roman" w:hAnsi="Times New Roman" w:cs="Calibri"/>
          <w:szCs w:val="21"/>
          <w:highlight w:val="none"/>
        </w:rPr>
        <w:t>根据该公式，计算多肽消耗率</w:t>
      </w:r>
      <w:bookmarkStart w:id="30" w:name="OLE_LINK2"/>
      <w:r>
        <w:rPr>
          <w:rFonts w:ascii="Times New Roman" w:hAnsi="Times New Roman" w:cs="Calibri"/>
          <w:szCs w:val="21"/>
          <w:highlight w:val="none"/>
        </w:rPr>
        <w:t>高于</w:t>
      </w:r>
      <w:bookmarkEnd w:id="30"/>
      <w:r>
        <w:rPr>
          <w:rFonts w:ascii="Times New Roman" w:hAnsi="Times New Roman" w:cs="Calibri"/>
          <w:szCs w:val="21"/>
          <w:highlight w:val="none"/>
        </w:rPr>
        <w:t>13.89%的阈值的每个时间点t和每个浓度E下的速率常数。将每个时间点不同浓度多肽消耗率求平均值，然后得到lg</w:t>
      </w:r>
      <w:r>
        <w:rPr>
          <w:rFonts w:ascii="Times New Roman" w:hAnsi="Times New Roman" w:cs="Calibri"/>
          <w:i/>
          <w:iCs/>
          <w:szCs w:val="21"/>
          <w:highlight w:val="none"/>
        </w:rPr>
        <w:t>k</w:t>
      </w:r>
      <w:r>
        <w:rPr>
          <w:rFonts w:ascii="Times New Roman" w:hAnsi="Times New Roman" w:cs="Calibri"/>
          <w:szCs w:val="21"/>
          <w:highlight w:val="none"/>
          <w:vertAlign w:val="subscript"/>
        </w:rPr>
        <w:t>max</w:t>
      </w:r>
      <w:r>
        <w:rPr>
          <w:rFonts w:ascii="Times New Roman" w:hAnsi="Times New Roman" w:cs="Calibri"/>
          <w:szCs w:val="21"/>
          <w:highlight w:val="none"/>
        </w:rPr>
        <w:t>值。</w:t>
      </w:r>
    </w:p>
    <w:p>
      <w:pPr>
        <w:spacing w:line="300" w:lineRule="auto"/>
        <w:ind w:firstLine="420" w:firstLineChars="200"/>
        <w:rPr>
          <w:rFonts w:ascii="Times New Roman" w:hAnsi="Times New Roman" w:cs="Calibri"/>
          <w:szCs w:val="21"/>
          <w:highlight w:val="none"/>
        </w:rPr>
      </w:pPr>
      <w:bookmarkStart w:id="31" w:name="OLE_LINK3"/>
      <w:r>
        <w:rPr>
          <w:rFonts w:ascii="Times New Roman" w:hAnsi="Times New Roman" w:cs="Calibri"/>
          <w:szCs w:val="21"/>
          <w:highlight w:val="none"/>
        </w:rPr>
        <w:t>在发生明显多肽结合的情况下，很少会出现</w:t>
      </w:r>
      <w:bookmarkStart w:id="32" w:name="OLE_LINK60"/>
      <w:r>
        <w:rPr>
          <w:rFonts w:ascii="Times New Roman" w:hAnsi="Times New Roman" w:cs="Calibri"/>
          <w:szCs w:val="21"/>
          <w:highlight w:val="none"/>
        </w:rPr>
        <w:t>非线性反应</w:t>
      </w:r>
      <w:bookmarkEnd w:id="32"/>
      <w:r>
        <w:rPr>
          <w:rFonts w:ascii="Times New Roman" w:hAnsi="Times New Roman" w:cs="Calibri"/>
          <w:szCs w:val="21"/>
          <w:highlight w:val="none"/>
        </w:rPr>
        <w:t>。</w:t>
      </w:r>
      <w:bookmarkEnd w:id="31"/>
      <w:r>
        <w:rPr>
          <w:rFonts w:hint="eastAsia" w:ascii="Times New Roman" w:hAnsi="Times New Roman" w:cs="Calibri"/>
          <w:szCs w:val="21"/>
          <w:highlight w:val="none"/>
        </w:rPr>
        <w:t>出现</w:t>
      </w:r>
      <w:r>
        <w:rPr>
          <w:rFonts w:ascii="Times New Roman" w:hAnsi="Times New Roman" w:cs="Calibri"/>
          <w:szCs w:val="21"/>
          <w:highlight w:val="none"/>
        </w:rPr>
        <w:t>非线性反应</w:t>
      </w:r>
      <w:r>
        <w:rPr>
          <w:rFonts w:hint="eastAsia" w:ascii="Times New Roman" w:hAnsi="Times New Roman" w:cs="Calibri"/>
          <w:szCs w:val="21"/>
          <w:highlight w:val="none"/>
        </w:rPr>
        <w:t>须</w:t>
      </w:r>
      <w:r>
        <w:rPr>
          <w:rFonts w:ascii="Times New Roman" w:hAnsi="Times New Roman" w:cs="Calibri"/>
          <w:szCs w:val="21"/>
          <w:highlight w:val="none"/>
        </w:rPr>
        <w:t>进行重复试验，以检查这种非线性</w:t>
      </w:r>
      <w:r>
        <w:rPr>
          <w:rFonts w:hint="eastAsia" w:ascii="Times New Roman" w:hAnsi="Times New Roman" w:cs="Calibri"/>
          <w:szCs w:val="21"/>
          <w:highlight w:val="none"/>
        </w:rPr>
        <w:t>反应</w:t>
      </w:r>
      <w:r>
        <w:rPr>
          <w:rFonts w:ascii="Times New Roman" w:hAnsi="Times New Roman" w:cs="Calibri"/>
          <w:szCs w:val="21"/>
          <w:highlight w:val="none"/>
        </w:rPr>
        <w:t>是受试物固有的，还是试验误差所致</w:t>
      </w:r>
      <w:r>
        <w:rPr>
          <w:rFonts w:hint="eastAsia" w:ascii="Times New Roman" w:hAnsi="Times New Roman" w:cs="Calibri"/>
          <w:szCs w:val="21"/>
          <w:highlight w:val="none"/>
        </w:rPr>
        <w:t>。</w:t>
      </w:r>
      <w:r>
        <w:rPr>
          <w:rFonts w:ascii="Times New Roman" w:hAnsi="Times New Roman" w:cs="Calibri"/>
          <w:szCs w:val="21"/>
          <w:highlight w:val="none"/>
        </w:rPr>
        <w:t>如果非线性结果可重复，</w:t>
      </w:r>
      <w:r>
        <w:rPr>
          <w:rFonts w:hint="eastAsia" w:ascii="Times New Roman" w:hAnsi="Times New Roman" w:cs="Calibri"/>
          <w:szCs w:val="21"/>
          <w:highlight w:val="none"/>
        </w:rPr>
        <w:t>则判定受试物</w:t>
      </w:r>
      <w:r>
        <w:rPr>
          <w:rFonts w:ascii="Times New Roman" w:hAnsi="Times New Roman" w:cs="Calibri"/>
          <w:szCs w:val="21"/>
          <w:highlight w:val="none"/>
        </w:rPr>
        <w:t>存在固有的非线性反应</w:t>
      </w:r>
      <w:r>
        <w:rPr>
          <w:rFonts w:hint="eastAsia" w:ascii="Times New Roman" w:hAnsi="Times New Roman" w:cs="Calibri"/>
          <w:szCs w:val="21"/>
          <w:highlight w:val="none"/>
        </w:rPr>
        <w:t>，可采用上述公式基于个体值的计算结果进行判断。若仅</w:t>
      </w:r>
      <w:r>
        <w:rPr>
          <w:rFonts w:ascii="Times New Roman" w:hAnsi="Times New Roman" w:cs="Calibri"/>
          <w:szCs w:val="21"/>
          <w:highlight w:val="none"/>
        </w:rPr>
        <w:t>在早期时间点观察到显著的肽消耗，但在随后的时间点没有观察到，</w:t>
      </w:r>
      <w:r>
        <w:rPr>
          <w:rFonts w:hint="eastAsia" w:ascii="Times New Roman" w:hAnsi="Times New Roman" w:cs="Calibri"/>
          <w:szCs w:val="21"/>
          <w:highlight w:val="none"/>
        </w:rPr>
        <w:t>也</w:t>
      </w:r>
      <w:r>
        <w:rPr>
          <w:rFonts w:ascii="Times New Roman" w:hAnsi="Times New Roman" w:cs="Calibri"/>
          <w:szCs w:val="21"/>
          <w:highlight w:val="none"/>
        </w:rPr>
        <w:t>可以将早期时间点的lg</w:t>
      </w:r>
      <w:r>
        <w:rPr>
          <w:rFonts w:ascii="Times New Roman" w:hAnsi="Times New Roman" w:cs="Calibri"/>
          <w:i/>
          <w:iCs/>
          <w:szCs w:val="21"/>
          <w:highlight w:val="none"/>
        </w:rPr>
        <w:t>k</w:t>
      </w:r>
      <w:r>
        <w:rPr>
          <w:rFonts w:ascii="Times New Roman" w:hAnsi="Times New Roman" w:cs="Calibri"/>
          <w:szCs w:val="21"/>
          <w:highlight w:val="none"/>
          <w:vertAlign w:val="subscript"/>
        </w:rPr>
        <w:t>t</w:t>
      </w:r>
      <w:r>
        <w:rPr>
          <w:rFonts w:ascii="Times New Roman" w:hAnsi="Times New Roman" w:cs="Calibri"/>
          <w:szCs w:val="21"/>
          <w:highlight w:val="none"/>
        </w:rPr>
        <w:t>作为结果进行致敏性分级判定。</w:t>
      </w:r>
    </w:p>
    <w:p>
      <w:pPr>
        <w:spacing w:before="156" w:beforeLines="50" w:after="156" w:afterLines="50" w:line="300" w:lineRule="auto"/>
        <w:rPr>
          <w:rFonts w:ascii="Times New Roman" w:hAnsi="Times New Roman" w:cs="Calibri"/>
          <w:szCs w:val="21"/>
          <w:highlight w:val="none"/>
        </w:rPr>
      </w:pPr>
      <w:r>
        <w:rPr>
          <w:rFonts w:hint="eastAsia" w:ascii="Times New Roman" w:hAnsi="Times New Roman" w:cs="Calibri"/>
          <w:szCs w:val="21"/>
          <w:highlight w:val="none"/>
        </w:rPr>
        <w:t>10.3 溶解度低于20 mM的受试物</w:t>
      </w:r>
    </w:p>
    <w:p>
      <w:pPr>
        <w:spacing w:line="300" w:lineRule="auto"/>
        <w:ind w:firstLine="420" w:firstLineChars="200"/>
        <w:rPr>
          <w:rFonts w:ascii="Times New Roman" w:hAnsi="Times New Roman" w:cs="Calibri"/>
          <w:szCs w:val="21"/>
          <w:highlight w:val="none"/>
        </w:rPr>
      </w:pPr>
      <w:r>
        <w:rPr>
          <w:rFonts w:ascii="Times New Roman" w:hAnsi="Times New Roman" w:cs="Calibri"/>
          <w:szCs w:val="21"/>
          <w:highlight w:val="none"/>
        </w:rPr>
        <w:t>对于最大溶解浓度低于20 mM的受试物，可在较低浓度下进行试验</w:t>
      </w:r>
      <w:r>
        <w:rPr>
          <w:rFonts w:hint="eastAsia" w:ascii="Times New Roman" w:hAnsi="Times New Roman" w:cs="Calibri"/>
          <w:szCs w:val="21"/>
          <w:highlight w:val="none"/>
        </w:rPr>
        <w:t>，如出现</w:t>
      </w:r>
      <w:r>
        <w:rPr>
          <w:rFonts w:ascii="Times New Roman" w:hAnsi="Times New Roman" w:cs="Calibri"/>
          <w:szCs w:val="21"/>
          <w:highlight w:val="none"/>
        </w:rPr>
        <w:t>lg</w:t>
      </w:r>
      <w:r>
        <w:rPr>
          <w:rFonts w:ascii="Times New Roman" w:hAnsi="Times New Roman" w:cs="Calibri"/>
          <w:i/>
          <w:iCs/>
          <w:szCs w:val="21"/>
          <w:highlight w:val="none"/>
        </w:rPr>
        <w:t>k</w:t>
      </w:r>
      <w:r>
        <w:rPr>
          <w:rFonts w:ascii="Times New Roman" w:hAnsi="Times New Roman" w:cs="Calibri"/>
          <w:szCs w:val="21"/>
          <w:highlight w:val="none"/>
          <w:vertAlign w:val="subscript"/>
        </w:rPr>
        <w:t>max</w:t>
      </w:r>
      <w:r>
        <w:rPr>
          <w:rFonts w:hint="eastAsia" w:ascii="Times New Roman" w:hAnsi="Times New Roman" w:cs="Calibri"/>
          <w:szCs w:val="21"/>
          <w:highlight w:val="none"/>
        </w:rPr>
        <w:t>≥</w:t>
      </w:r>
      <w:r>
        <w:rPr>
          <w:rFonts w:ascii="Times New Roman" w:hAnsi="Times New Roman" w:cs="Calibri"/>
          <w:szCs w:val="21"/>
          <w:highlight w:val="none"/>
        </w:rPr>
        <w:t>-2.0的结果</w:t>
      </w:r>
      <w:r>
        <w:rPr>
          <w:rFonts w:hint="eastAsia" w:ascii="Times New Roman" w:hAnsi="Times New Roman" w:cs="Calibri"/>
          <w:szCs w:val="21"/>
          <w:highlight w:val="none"/>
        </w:rPr>
        <w:t>，受试物可以</w:t>
      </w:r>
      <w:r>
        <w:rPr>
          <w:rFonts w:ascii="Times New Roman" w:hAnsi="Times New Roman" w:cs="Calibri"/>
          <w:szCs w:val="21"/>
          <w:highlight w:val="none"/>
        </w:rPr>
        <w:t>判断为GHS 1A亚类皮肤致敏物，但对于非</w:t>
      </w:r>
      <w:r>
        <w:rPr>
          <w:rFonts w:hint="eastAsia" w:ascii="Times New Roman" w:hAnsi="Times New Roman" w:cs="Calibri"/>
          <w:szCs w:val="21"/>
          <w:highlight w:val="none"/>
        </w:rPr>
        <w:t>致敏性</w:t>
      </w:r>
      <w:r>
        <w:rPr>
          <w:rFonts w:ascii="Times New Roman" w:hAnsi="Times New Roman" w:cs="Calibri"/>
          <w:szCs w:val="21"/>
          <w:highlight w:val="none"/>
        </w:rPr>
        <w:t>或lg</w:t>
      </w:r>
      <w:r>
        <w:rPr>
          <w:rFonts w:ascii="Times New Roman" w:hAnsi="Times New Roman" w:cs="Calibri"/>
          <w:i/>
          <w:iCs/>
          <w:szCs w:val="21"/>
          <w:highlight w:val="none"/>
        </w:rPr>
        <w:t>k</w:t>
      </w:r>
      <w:r>
        <w:rPr>
          <w:rFonts w:ascii="Times New Roman" w:hAnsi="Times New Roman" w:cs="Calibri"/>
          <w:szCs w:val="21"/>
          <w:highlight w:val="none"/>
          <w:vertAlign w:val="subscript"/>
        </w:rPr>
        <w:t>max</w:t>
      </w:r>
      <w:r>
        <w:rPr>
          <w:rFonts w:ascii="Times New Roman" w:hAnsi="Times New Roman" w:cs="Calibri"/>
          <w:szCs w:val="21"/>
          <w:highlight w:val="none"/>
        </w:rPr>
        <w:t>＜-2.0的结果则不能得出明确结论。此外，当得到lg</w:t>
      </w:r>
      <w:r>
        <w:rPr>
          <w:rFonts w:ascii="Times New Roman" w:hAnsi="Times New Roman" w:cs="Calibri"/>
          <w:i/>
          <w:iCs/>
          <w:szCs w:val="21"/>
          <w:highlight w:val="none"/>
        </w:rPr>
        <w:t>k</w:t>
      </w:r>
      <w:r>
        <w:rPr>
          <w:rFonts w:ascii="Times New Roman" w:hAnsi="Times New Roman" w:cs="Calibri"/>
          <w:szCs w:val="21"/>
          <w:highlight w:val="none"/>
          <w:vertAlign w:val="subscript"/>
        </w:rPr>
        <w:t>max</w:t>
      </w:r>
      <w:r>
        <w:rPr>
          <w:rFonts w:ascii="Times New Roman" w:hAnsi="Times New Roman" w:cs="Calibri"/>
          <w:szCs w:val="21"/>
          <w:highlight w:val="none"/>
        </w:rPr>
        <w:t>值在-1.93</w:t>
      </w:r>
      <w:r>
        <w:rPr>
          <w:rFonts w:hint="eastAsia" w:ascii="Times New Roman" w:hAnsi="Times New Roman" w:cs="Calibri"/>
          <w:szCs w:val="21"/>
          <w:highlight w:val="none"/>
        </w:rPr>
        <w:t xml:space="preserve"> </w:t>
      </w:r>
      <w:r>
        <w:rPr>
          <w:rFonts w:ascii="Times New Roman" w:hAnsi="Times New Roman" w:cs="Calibri"/>
          <w:szCs w:val="21"/>
          <w:highlight w:val="none"/>
        </w:rPr>
        <w:t>~</w:t>
      </w:r>
      <w:r>
        <w:rPr>
          <w:rFonts w:hint="eastAsia" w:ascii="Times New Roman" w:hAnsi="Times New Roman" w:cs="Calibri"/>
          <w:szCs w:val="21"/>
          <w:highlight w:val="none"/>
        </w:rPr>
        <w:t xml:space="preserve"> </w:t>
      </w:r>
      <w:r>
        <w:rPr>
          <w:rFonts w:ascii="Times New Roman" w:hAnsi="Times New Roman" w:cs="Calibri"/>
          <w:szCs w:val="21"/>
          <w:highlight w:val="none"/>
        </w:rPr>
        <w:t>-2.06范围内，无法进行受试物致敏性分级判定，需要重新测试和/或补充额外的数据/信息进行结果判定。</w:t>
      </w:r>
    </w:p>
    <w:bookmarkEnd w:id="29"/>
    <w:p>
      <w:pPr>
        <w:spacing w:before="156" w:beforeLines="50" w:after="156" w:afterLines="50" w:line="300" w:lineRule="auto"/>
        <w:rPr>
          <w:rFonts w:ascii="Times New Roman" w:hAnsi="Times New Roman" w:cs="Calibri"/>
          <w:szCs w:val="21"/>
          <w:highlight w:val="none"/>
        </w:rPr>
      </w:pPr>
      <w:r>
        <w:rPr>
          <w:rFonts w:ascii="Times New Roman" w:hAnsi="Times New Roman" w:cs="Calibri"/>
          <w:szCs w:val="21"/>
          <w:highlight w:val="none"/>
        </w:rPr>
        <w:t>10.</w:t>
      </w:r>
      <w:r>
        <w:rPr>
          <w:rFonts w:hint="eastAsia" w:ascii="Times New Roman" w:hAnsi="Times New Roman" w:cs="Calibri"/>
          <w:szCs w:val="21"/>
          <w:highlight w:val="none"/>
        </w:rPr>
        <w:t>4</w:t>
      </w:r>
      <w:r>
        <w:rPr>
          <w:rFonts w:ascii="Times New Roman" w:hAnsi="Times New Roman" w:cs="Calibri"/>
          <w:szCs w:val="21"/>
          <w:highlight w:val="none"/>
        </w:rPr>
        <w:t xml:space="preserve"> </w:t>
      </w:r>
      <w:r>
        <w:rPr>
          <w:rFonts w:hint="eastAsia" w:ascii="Times New Roman" w:hAnsi="Times New Roman" w:cs="Calibri"/>
          <w:szCs w:val="21"/>
          <w:highlight w:val="none"/>
        </w:rPr>
        <w:t>特殊化合物的适用性</w:t>
      </w:r>
    </w:p>
    <w:p>
      <w:pPr>
        <w:spacing w:line="300" w:lineRule="auto"/>
        <w:ind w:firstLine="420" w:firstLineChars="200"/>
        <w:rPr>
          <w:rFonts w:ascii="Times New Roman" w:hAnsi="Times New Roman" w:cs="Calibri"/>
          <w:szCs w:val="21"/>
          <w:highlight w:val="none"/>
        </w:rPr>
      </w:pPr>
      <w:r>
        <w:rPr>
          <w:rFonts w:ascii="Times New Roman" w:hAnsi="Times New Roman" w:cs="Calibri"/>
          <w:szCs w:val="21"/>
          <w:highlight w:val="none"/>
        </w:rPr>
        <w:t>金属化合物可通过共价结合以外的机制与蛋白质发生反应，该方法不适用于金属化合物</w:t>
      </w:r>
      <w:r>
        <w:rPr>
          <w:rFonts w:hint="eastAsia" w:ascii="Times New Roman" w:hAnsi="Times New Roman" w:cs="Calibri"/>
          <w:szCs w:val="21"/>
          <w:highlight w:val="none"/>
          <w:lang w:eastAsia="zh-CN"/>
        </w:rPr>
        <w:t>（</w:t>
      </w:r>
      <w:r>
        <w:rPr>
          <w:rFonts w:hint="eastAsia" w:ascii="Times New Roman" w:hAnsi="Times New Roman" w:cs="Calibri"/>
          <w:szCs w:val="21"/>
          <w:highlight w:val="none"/>
          <w:lang w:val="en-US" w:eastAsia="zh-CN"/>
        </w:rPr>
        <w:t>如硫酸镍，</w:t>
      </w:r>
      <w:r>
        <w:rPr>
          <w:rFonts w:hint="eastAsia" w:ascii="Times New Roman" w:hAnsi="Times New Roman" w:cs="Calibri"/>
          <w:szCs w:val="21"/>
          <w:highlight w:val="none"/>
        </w:rPr>
        <w:t>Nickel sulphate</w:t>
      </w:r>
      <w:r>
        <w:rPr>
          <w:rFonts w:hint="eastAsia" w:ascii="Times New Roman" w:hAnsi="Times New Roman" w:cs="Calibri"/>
          <w:szCs w:val="21"/>
          <w:highlight w:val="none"/>
          <w:lang w:eastAsia="zh-CN"/>
        </w:rPr>
        <w:t>）</w:t>
      </w:r>
      <w:r>
        <w:rPr>
          <w:rFonts w:ascii="Times New Roman" w:hAnsi="Times New Roman" w:cs="Calibri"/>
          <w:szCs w:val="21"/>
          <w:highlight w:val="none"/>
        </w:rPr>
        <w:t>。此外，</w:t>
      </w:r>
      <w:r>
        <w:rPr>
          <w:rFonts w:hint="eastAsia" w:ascii="Times New Roman" w:hAnsi="Times New Roman" w:cs="Calibri"/>
          <w:szCs w:val="21"/>
          <w:highlight w:val="none"/>
        </w:rPr>
        <w:t>k</w:t>
      </w:r>
      <w:r>
        <w:rPr>
          <w:rFonts w:ascii="Times New Roman" w:hAnsi="Times New Roman" w:cs="Calibri"/>
          <w:szCs w:val="21"/>
          <w:highlight w:val="none"/>
        </w:rPr>
        <w:t>DPRA仅测量与半胱氨酸肽的反应性，不适用于具有赖氨酸专属反应性的强致敏剂，如一些酰基卤化物、酚酯或醛类等。</w:t>
      </w:r>
    </w:p>
    <w:p>
      <w:pPr>
        <w:spacing w:line="300" w:lineRule="auto"/>
        <w:ind w:firstLine="420" w:firstLineChars="200"/>
        <w:rPr>
          <w:rFonts w:ascii="Times New Roman" w:hAnsi="Times New Roman" w:cs="Calibri"/>
          <w:szCs w:val="21"/>
          <w:highlight w:val="none"/>
        </w:rPr>
      </w:pPr>
      <w:r>
        <w:rPr>
          <w:rFonts w:ascii="Times New Roman" w:hAnsi="Times New Roman" w:cs="Calibri"/>
          <w:szCs w:val="21"/>
          <w:highlight w:val="none"/>
        </w:rPr>
        <w:t>有些化合物（如</w:t>
      </w:r>
      <w:r>
        <w:rPr>
          <w:rFonts w:hint="eastAsia" w:ascii="Times New Roman" w:hAnsi="Times New Roman" w:cs="Calibri"/>
          <w:szCs w:val="21"/>
          <w:highlight w:val="none"/>
        </w:rPr>
        <w:t>苯基炔丙基醛，</w:t>
      </w:r>
      <w:r>
        <w:rPr>
          <w:rFonts w:hint="eastAsia" w:ascii="Times New Roman" w:hAnsi="Times New Roman" w:cs="Calibri"/>
          <w:szCs w:val="21"/>
          <w:highlight w:val="none"/>
          <w:lang w:val="en-US" w:eastAsia="zh-CN"/>
        </w:rPr>
        <w:t>P</w:t>
      </w:r>
      <w:r>
        <w:rPr>
          <w:rFonts w:hint="eastAsia" w:ascii="Times New Roman" w:hAnsi="Times New Roman" w:cs="Calibri"/>
          <w:szCs w:val="21"/>
          <w:highlight w:val="none"/>
        </w:rPr>
        <w:t>henylpropionic aldehyde</w:t>
      </w:r>
      <w:r>
        <w:rPr>
          <w:rFonts w:ascii="Times New Roman" w:hAnsi="Times New Roman" w:cs="Calibri"/>
          <w:szCs w:val="21"/>
          <w:highlight w:val="none"/>
        </w:rPr>
        <w:t>）不与肽共价结合，但可促进其氧化（即半胱氨酸二聚化），会引起测得多肽消耗量</w:t>
      </w:r>
      <w:r>
        <w:rPr>
          <w:rFonts w:hint="eastAsia" w:ascii="Times New Roman" w:hAnsi="Times New Roman" w:cs="Calibri"/>
          <w:szCs w:val="21"/>
          <w:highlight w:val="none"/>
        </w:rPr>
        <w:t>“</w:t>
      </w:r>
      <w:r>
        <w:rPr>
          <w:rFonts w:ascii="Times New Roman" w:hAnsi="Times New Roman" w:cs="Calibri"/>
          <w:szCs w:val="21"/>
          <w:highlight w:val="none"/>
        </w:rPr>
        <w:t>增加</w:t>
      </w:r>
      <w:r>
        <w:rPr>
          <w:rFonts w:hint="eastAsia" w:ascii="Times New Roman" w:hAnsi="Times New Roman" w:cs="Calibri"/>
          <w:szCs w:val="21"/>
          <w:highlight w:val="none"/>
        </w:rPr>
        <w:t>”</w:t>
      </w:r>
      <w:r>
        <w:rPr>
          <w:rFonts w:ascii="Times New Roman" w:hAnsi="Times New Roman" w:cs="Calibri"/>
          <w:szCs w:val="21"/>
          <w:highlight w:val="none"/>
        </w:rPr>
        <w:t>，</w:t>
      </w:r>
      <w:r>
        <w:rPr>
          <w:rFonts w:hint="eastAsia" w:ascii="Times New Roman" w:hAnsi="Times New Roman" w:cs="Calibri"/>
          <w:szCs w:val="21"/>
          <w:highlight w:val="none"/>
        </w:rPr>
        <w:t>可能</w:t>
      </w:r>
      <w:r>
        <w:rPr>
          <w:rFonts w:ascii="Times New Roman" w:hAnsi="Times New Roman" w:cs="Calibri"/>
          <w:szCs w:val="21"/>
          <w:highlight w:val="none"/>
        </w:rPr>
        <w:t>导致假阳性</w:t>
      </w:r>
      <w:r>
        <w:rPr>
          <w:rFonts w:hint="eastAsia" w:ascii="Times New Roman" w:hAnsi="Times New Roman" w:cs="Calibri"/>
          <w:szCs w:val="21"/>
          <w:highlight w:val="none"/>
        </w:rPr>
        <w:t>结果</w:t>
      </w:r>
      <w:r>
        <w:rPr>
          <w:rFonts w:ascii="Times New Roman" w:hAnsi="Times New Roman" w:cs="Calibri"/>
          <w:szCs w:val="21"/>
          <w:highlight w:val="none"/>
        </w:rPr>
        <w:t>和/或</w:t>
      </w:r>
      <w:r>
        <w:rPr>
          <w:rFonts w:hint="eastAsia" w:ascii="Times New Roman" w:hAnsi="Times New Roman" w:cs="Calibri"/>
          <w:szCs w:val="21"/>
          <w:highlight w:val="none"/>
        </w:rPr>
        <w:t>预测反应性更高</w:t>
      </w:r>
      <w:r>
        <w:rPr>
          <w:rFonts w:ascii="Times New Roman" w:hAnsi="Times New Roman" w:cs="Calibri"/>
          <w:szCs w:val="21"/>
          <w:highlight w:val="none"/>
        </w:rPr>
        <w:t>。</w:t>
      </w:r>
    </w:p>
    <w:p>
      <w:pPr>
        <w:spacing w:line="300" w:lineRule="auto"/>
        <w:ind w:firstLine="420" w:firstLineChars="200"/>
        <w:rPr>
          <w:rFonts w:ascii="Times New Roman" w:hAnsi="Times New Roman" w:cs="Calibri"/>
          <w:szCs w:val="21"/>
          <w:highlight w:val="none"/>
        </w:rPr>
      </w:pPr>
      <w:r>
        <w:rPr>
          <w:rFonts w:hint="eastAsia" w:ascii="Times New Roman" w:hAnsi="Times New Roman" w:cs="Calibri"/>
          <w:szCs w:val="21"/>
          <w:highlight w:val="none"/>
        </w:rPr>
        <w:t>该</w:t>
      </w:r>
      <w:r>
        <w:rPr>
          <w:rFonts w:ascii="Times New Roman" w:hAnsi="Times New Roman" w:cs="Calibri"/>
          <w:szCs w:val="21"/>
          <w:highlight w:val="none"/>
        </w:rPr>
        <w:t>方法没有代谢活化系统，不能用于检测需要进行酶促反应</w:t>
      </w:r>
      <w:r>
        <w:rPr>
          <w:rFonts w:hint="eastAsia" w:ascii="Times New Roman" w:hAnsi="Times New Roman" w:cs="Calibri"/>
          <w:szCs w:val="21"/>
          <w:highlight w:val="none"/>
        </w:rPr>
        <w:t>生物</w:t>
      </w:r>
      <w:r>
        <w:rPr>
          <w:rFonts w:ascii="Times New Roman" w:hAnsi="Times New Roman" w:cs="Calibri"/>
          <w:szCs w:val="21"/>
          <w:highlight w:val="none"/>
        </w:rPr>
        <w:t>活化后成为致敏剂的化学物质</w:t>
      </w:r>
      <w:r>
        <w:rPr>
          <w:rFonts w:hint="eastAsia" w:ascii="Times New Roman" w:hAnsi="Times New Roman" w:cs="Calibri"/>
          <w:szCs w:val="21"/>
          <w:highlight w:val="none"/>
        </w:rPr>
        <w:t>（如3-二甲氨基丙胺，3-Dimethylaminopropylamine）</w:t>
      </w:r>
      <w:r>
        <w:rPr>
          <w:rFonts w:ascii="Times New Roman" w:hAnsi="Times New Roman" w:cs="Calibri"/>
          <w:szCs w:val="21"/>
          <w:highlight w:val="none"/>
        </w:rPr>
        <w:t>。</w:t>
      </w:r>
      <w:r>
        <w:rPr>
          <w:rFonts w:hint="eastAsia" w:ascii="Times New Roman" w:hAnsi="Times New Roman" w:cs="Calibri"/>
          <w:szCs w:val="21"/>
          <w:highlight w:val="none"/>
        </w:rPr>
        <w:t>大部分通过非生物转换后形成致敏物质的化合物（如半抗原）能够被该方法正确评价，但发生自发快速氧化的半抗原</w:t>
      </w:r>
      <w:r>
        <w:rPr>
          <w:rFonts w:hint="eastAsia" w:ascii="Times New Roman" w:hAnsi="Times New Roman" w:cs="Calibri"/>
          <w:szCs w:val="21"/>
          <w:highlight w:val="none"/>
          <w:lang w:eastAsia="zh-CN"/>
        </w:rPr>
        <w:t>（</w:t>
      </w:r>
      <w:r>
        <w:rPr>
          <w:rFonts w:hint="eastAsia" w:ascii="Times New Roman" w:hAnsi="Times New Roman" w:cs="Calibri"/>
          <w:szCs w:val="21"/>
          <w:highlight w:val="none"/>
        </w:rPr>
        <w:t>如</w:t>
      </w:r>
      <w:r>
        <w:rPr>
          <w:rFonts w:hint="eastAsia" w:cs="Calibri"/>
          <w:highlight w:val="none"/>
        </w:rPr>
        <w:t>芳香胺、儿茶酚类或氢醌类</w:t>
      </w:r>
      <w:r>
        <w:rPr>
          <w:rFonts w:hint="eastAsia" w:ascii="Times New Roman" w:hAnsi="Times New Roman" w:cs="Calibri"/>
          <w:szCs w:val="21"/>
          <w:highlight w:val="none"/>
          <w:lang w:eastAsia="zh-CN"/>
        </w:rPr>
        <w:t>）</w:t>
      </w:r>
      <w:r>
        <w:rPr>
          <w:rFonts w:hint="eastAsia" w:ascii="Times New Roman" w:hAnsi="Times New Roman" w:cs="Calibri"/>
          <w:szCs w:val="21"/>
          <w:highlight w:val="none"/>
        </w:rPr>
        <w:t>由于氧化停滞阶段可引起反应速率的降低，</w:t>
      </w:r>
      <w:r>
        <w:rPr>
          <w:rFonts w:hint="eastAsia" w:cs="Calibri"/>
          <w:highlight w:val="none"/>
        </w:rPr>
        <w:t>需要更多数据确定其在氧化条件下的弱反应性。</w:t>
      </w:r>
    </w:p>
    <w:p>
      <w:pPr>
        <w:spacing w:line="300" w:lineRule="auto"/>
        <w:ind w:firstLine="420" w:firstLineChars="200"/>
        <w:rPr>
          <w:rFonts w:ascii="Times New Roman" w:hAnsi="Times New Roman" w:cs="Calibri"/>
          <w:szCs w:val="21"/>
          <w:highlight w:val="none"/>
        </w:rPr>
      </w:pPr>
      <w:r>
        <w:rPr>
          <w:rFonts w:hint="default" w:ascii="Times New Roman" w:hAnsi="Times New Roman" w:cs="Calibri"/>
          <w:szCs w:val="21"/>
          <w:highlight w:val="none"/>
          <w:lang w:val="en-US" w:eastAsia="zh-CN"/>
        </w:rPr>
        <w:t>由于</w:t>
      </w:r>
      <w:r>
        <w:rPr>
          <w:rFonts w:ascii="Times New Roman" w:hAnsi="Times New Roman" w:cs="Calibri"/>
          <w:szCs w:val="21"/>
          <w:highlight w:val="none"/>
        </w:rPr>
        <w:t>kDPRA</w:t>
      </w:r>
      <w:r>
        <w:rPr>
          <w:rFonts w:hint="default" w:ascii="Times New Roman" w:hAnsi="Times New Roman" w:cs="Calibri"/>
          <w:szCs w:val="21"/>
          <w:highlight w:val="none"/>
          <w:lang w:val="en-US" w:eastAsia="zh-CN"/>
        </w:rPr>
        <w:t>采用荧光检测技术，具有</w:t>
      </w:r>
      <w:r>
        <w:rPr>
          <w:rFonts w:ascii="Times New Roman" w:hAnsi="Times New Roman" w:cs="Calibri"/>
          <w:szCs w:val="21"/>
          <w:highlight w:val="none"/>
        </w:rPr>
        <w:t>自</w:t>
      </w:r>
      <w:r>
        <w:rPr>
          <w:rFonts w:hint="default" w:ascii="Times New Roman" w:hAnsi="Times New Roman" w:cs="Calibri"/>
          <w:szCs w:val="21"/>
          <w:highlight w:val="none"/>
          <w:lang w:val="en-US" w:eastAsia="zh-CN"/>
        </w:rPr>
        <w:t>发</w:t>
      </w:r>
      <w:r>
        <w:rPr>
          <w:rFonts w:ascii="Times New Roman" w:hAnsi="Times New Roman" w:cs="Calibri"/>
          <w:szCs w:val="21"/>
          <w:highlight w:val="none"/>
        </w:rPr>
        <w:t>荧光</w:t>
      </w:r>
      <w:r>
        <w:rPr>
          <w:rFonts w:hint="eastAsia" w:ascii="Times New Roman" w:hAnsi="Times New Roman" w:cs="Calibri"/>
          <w:szCs w:val="21"/>
          <w:highlight w:val="none"/>
        </w:rPr>
        <w:t>（如3,3',4',5-四氯水杨酰苯胺，</w:t>
      </w:r>
      <w:r>
        <w:rPr>
          <w:rFonts w:hint="default" w:ascii="Times New Roman" w:hAnsi="Times New Roman" w:eastAsia="宋体" w:cs="Calibri"/>
          <w:sz w:val="21"/>
          <w:szCs w:val="21"/>
          <w:highlight w:val="none"/>
        </w:rPr>
        <w:t>Tetrachlorosalicylanilide</w:t>
      </w:r>
      <w:r>
        <w:rPr>
          <w:rFonts w:hint="eastAsia" w:ascii="Times New Roman" w:hAnsi="Times New Roman" w:cs="Calibri"/>
          <w:szCs w:val="21"/>
          <w:highlight w:val="none"/>
        </w:rPr>
        <w:t>）</w:t>
      </w:r>
      <w:r>
        <w:rPr>
          <w:rFonts w:hint="default" w:ascii="Times New Roman" w:hAnsi="Times New Roman" w:cs="Calibri"/>
          <w:szCs w:val="21"/>
          <w:highlight w:val="none"/>
          <w:lang w:val="en-US" w:eastAsia="zh-CN"/>
        </w:rPr>
        <w:t>或荧光淬灭</w:t>
      </w:r>
      <w:r>
        <w:rPr>
          <w:rFonts w:hint="default" w:ascii="Times New Roman" w:hAnsi="Times New Roman" w:cs="Calibri"/>
          <w:szCs w:val="21"/>
          <w:highlight w:val="none"/>
          <w:lang w:eastAsia="zh-CN"/>
        </w:rPr>
        <w:t>（</w:t>
      </w:r>
      <w:r>
        <w:rPr>
          <w:rFonts w:hint="default" w:ascii="Times New Roman" w:hAnsi="Times New Roman" w:cs="Calibri"/>
          <w:szCs w:val="21"/>
          <w:highlight w:val="none"/>
          <w:lang w:val="en-US" w:eastAsia="zh-CN"/>
        </w:rPr>
        <w:t>如香兰素，</w:t>
      </w:r>
      <w:r>
        <w:rPr>
          <w:rFonts w:hint="default" w:ascii="Times New Roman" w:hAnsi="Times New Roman" w:eastAsia="宋体" w:cs="Calibri"/>
          <w:color w:val="auto"/>
          <w:kern w:val="2"/>
          <w:sz w:val="21"/>
          <w:szCs w:val="21"/>
          <w:highlight w:val="none"/>
          <w:lang w:val="en-US" w:eastAsia="zh-CN" w:bidi="ar"/>
        </w:rPr>
        <w:t>Vanilin</w:t>
      </w:r>
      <w:r>
        <w:rPr>
          <w:rFonts w:hint="default" w:ascii="Times New Roman" w:hAnsi="Times New Roman" w:cs="Calibri"/>
          <w:szCs w:val="21"/>
          <w:highlight w:val="none"/>
          <w:lang w:eastAsia="zh-CN"/>
        </w:rPr>
        <w:t>）</w:t>
      </w:r>
      <w:r>
        <w:rPr>
          <w:rFonts w:hint="default" w:ascii="Times New Roman" w:hAnsi="Times New Roman" w:cs="Calibri"/>
          <w:szCs w:val="21"/>
          <w:highlight w:val="none"/>
          <w:lang w:val="en-US" w:eastAsia="zh-CN"/>
        </w:rPr>
        <w:t>的受试物可影响试验结果。此外，应注意受试物</w:t>
      </w:r>
      <w:r>
        <w:rPr>
          <w:rFonts w:hint="eastAsia" w:ascii="Times New Roman" w:hAnsi="Times New Roman" w:cs="Calibri"/>
          <w:szCs w:val="21"/>
          <w:highlight w:val="none"/>
        </w:rPr>
        <w:t>与</w:t>
      </w:r>
      <w:r>
        <w:rPr>
          <w:rFonts w:ascii="Times New Roman" w:hAnsi="Times New Roman" w:cs="Calibri"/>
          <w:szCs w:val="21"/>
          <w:highlight w:val="none"/>
        </w:rPr>
        <w:t>单溴二胺</w:t>
      </w:r>
      <w:r>
        <w:rPr>
          <w:rFonts w:hint="default" w:ascii="Times New Roman" w:hAnsi="Times New Roman" w:cs="Calibri"/>
          <w:szCs w:val="21"/>
          <w:highlight w:val="none"/>
          <w:lang w:val="en-US" w:eastAsia="zh-CN"/>
        </w:rPr>
        <w:t>的</w:t>
      </w:r>
      <w:r>
        <w:rPr>
          <w:rFonts w:ascii="Times New Roman" w:hAnsi="Times New Roman" w:cs="Calibri"/>
          <w:szCs w:val="21"/>
          <w:highlight w:val="none"/>
        </w:rPr>
        <w:t>相互作用</w:t>
      </w:r>
      <w:r>
        <w:rPr>
          <w:rFonts w:hint="default" w:ascii="Times New Roman" w:hAnsi="Times New Roman" w:cs="Calibri"/>
          <w:szCs w:val="21"/>
          <w:highlight w:val="none"/>
          <w:lang w:eastAsia="zh-CN"/>
        </w:rPr>
        <w:t>，</w:t>
      </w:r>
      <w:r>
        <w:rPr>
          <w:rFonts w:ascii="Times New Roman" w:hAnsi="Times New Roman" w:cs="Calibri"/>
          <w:szCs w:val="21"/>
          <w:highlight w:val="none"/>
        </w:rPr>
        <w:t>如硫醇</w:t>
      </w:r>
      <w:r>
        <w:rPr>
          <w:rFonts w:hint="eastAsia" w:ascii="Times New Roman" w:hAnsi="Times New Roman" w:cs="Calibri"/>
          <w:szCs w:val="21"/>
          <w:highlight w:val="none"/>
        </w:rPr>
        <w:t>结构中的-SH</w:t>
      </w:r>
      <w:r>
        <w:rPr>
          <w:rFonts w:ascii="Times New Roman" w:hAnsi="Times New Roman" w:cs="Calibri"/>
          <w:szCs w:val="21"/>
          <w:highlight w:val="none"/>
        </w:rPr>
        <w:t>可以与单溴二胺相互作用，导致荧光增强，因此</w:t>
      </w:r>
      <w:r>
        <w:rPr>
          <w:rFonts w:hint="default" w:ascii="Times New Roman" w:hAnsi="Times New Roman" w:cs="Calibri"/>
          <w:szCs w:val="21"/>
          <w:highlight w:val="none"/>
          <w:lang w:val="en-US" w:eastAsia="zh-CN"/>
        </w:rPr>
        <w:t>该方法</w:t>
      </w:r>
      <w:r>
        <w:rPr>
          <w:rFonts w:ascii="Times New Roman" w:hAnsi="Times New Roman" w:cs="Calibri"/>
          <w:szCs w:val="21"/>
          <w:highlight w:val="none"/>
        </w:rPr>
        <w:t>不适用于</w:t>
      </w:r>
      <w:r>
        <w:rPr>
          <w:rFonts w:hint="eastAsia" w:ascii="Times New Roman" w:hAnsi="Times New Roman" w:cs="Calibri"/>
          <w:szCs w:val="21"/>
          <w:highlight w:val="none"/>
        </w:rPr>
        <w:t>硫醇类物质</w:t>
      </w:r>
      <w:r>
        <w:rPr>
          <w:rFonts w:ascii="Times New Roman" w:hAnsi="Times New Roman" w:cs="Calibri"/>
          <w:szCs w:val="21"/>
          <w:highlight w:val="none"/>
        </w:rPr>
        <w:t>，包括在试验条件下产生并释放游离</w:t>
      </w:r>
      <w:r>
        <w:rPr>
          <w:rFonts w:hint="eastAsia" w:ascii="Times New Roman" w:hAnsi="Times New Roman" w:cs="Calibri"/>
          <w:szCs w:val="21"/>
          <w:highlight w:val="none"/>
        </w:rPr>
        <w:t>-</w:t>
      </w:r>
      <w:r>
        <w:rPr>
          <w:rFonts w:ascii="Times New Roman" w:hAnsi="Times New Roman" w:cs="Calibri"/>
          <w:szCs w:val="21"/>
          <w:highlight w:val="none"/>
        </w:rPr>
        <w:t>SH的物质。</w:t>
      </w:r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1440" w:right="1797" w:bottom="1440" w:left="1797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altName w:val="3 of 9 Barcode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3 of 9 Barcode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MS PGothic">
    <w:altName w:val="宋体"/>
    <w:panose1 w:val="020B0600070205080204"/>
    <w:charset w:val="80"/>
    <w:family w:val="swiss"/>
    <w:pitch w:val="default"/>
    <w:sig w:usb0="00000000" w:usb1="00000000" w:usb2="08000012" w:usb3="00000000" w:csb0="4002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rPr>
                              <w:rFonts w:ascii="Times New Roman" w:hAnsi="Times New Roman"/>
                            </w:rPr>
                            <w:id w:val="147482836"/>
                          </w:sdtPr>
                          <w:sdtEndPr>
                            <w:rPr>
                              <w:rFonts w:ascii="Times New Roman" w:hAnsi="Times New Roman"/>
                            </w:rPr>
                          </w:sdtEndPr>
                          <w:sdtContent>
                            <w:p>
                              <w:pPr>
                                <w:pStyle w:val="4"/>
                                <w:jc w:val="center"/>
                                <w:rPr>
                                  <w:rFonts w:ascii="Times New Roman" w:hAnsi="Times New Roman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</w:rPr>
                                <w:fldChar w:fldCharType="begin"/>
                              </w:r>
                              <w:r>
                                <w:rPr>
                                  <w:rFonts w:ascii="Times New Roman" w:hAnsi="Times New Roman"/>
                                </w:rPr>
                                <w:instrText xml:space="preserve">PAGE   \* MERGEFORMAT</w:instrText>
                              </w:r>
                              <w:r>
                                <w:rPr>
                                  <w:rFonts w:ascii="Times New Roman" w:hAnsi="Times New Roman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Times New Roman" w:hAnsi="Times New Roman"/>
                                  <w:lang w:val="zh-CN"/>
                                </w:rPr>
                                <w:t>1</w:t>
                              </w:r>
                              <w:r>
                                <w:rPr>
                                  <w:rFonts w:ascii="Times New Roman" w:hAnsi="Times New Roman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>
                          <w:pPr>
                            <w:rPr>
                              <w:rFonts w:ascii="Times New Roman" w:hAnsi="Times New Roman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FgAA&#10;AGRycy9QSwECFAAUAAAACACHTuJAs0lY7tAAAAAFAQAADwAAAAAAAAABACAAAAA4AAAAZHJzL2Rv&#10;d25yZXYueG1sUEsBAhQAFAAAAAgAh07iQK9j2DAsAgAAVQQAAA4AAAAAAAAAAQAgAAAANQEAAGRy&#10;cy9lMm9Eb2MueG1sUEsFBgAAAAAGAAYAWQEAAN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rPr>
                        <w:rFonts w:ascii="Times New Roman" w:hAnsi="Times New Roman"/>
                      </w:rPr>
                      <w:id w:val="147482836"/>
                    </w:sdtPr>
                    <w:sdtEndPr>
                      <w:rPr>
                        <w:rFonts w:ascii="Times New Roman" w:hAnsi="Times New Roman"/>
                      </w:rPr>
                    </w:sdtEndPr>
                    <w:sdtContent>
                      <w:p>
                        <w:pPr>
                          <w:pStyle w:val="4"/>
                          <w:jc w:val="center"/>
                          <w:rPr>
                            <w:rFonts w:ascii="Times New Roman" w:hAnsi="Times New Roman"/>
                          </w:rPr>
                        </w:pPr>
                        <w:r>
                          <w:rPr>
                            <w:rFonts w:ascii="Times New Roman" w:hAnsi="Times New Roman"/>
                          </w:rPr>
                          <w:fldChar w:fldCharType="begin"/>
                        </w:r>
                        <w:r>
                          <w:rPr>
                            <w:rFonts w:ascii="Times New Roman" w:hAnsi="Times New Roman"/>
                          </w:rPr>
                          <w:instrText xml:space="preserve">PAGE   \* MERGEFORMAT</w:instrText>
                        </w:r>
                        <w:r>
                          <w:rPr>
                            <w:rFonts w:ascii="Times New Roman" w:hAnsi="Times New Roman"/>
                          </w:rPr>
                          <w:fldChar w:fldCharType="separate"/>
                        </w:r>
                        <w:r>
                          <w:rPr>
                            <w:rFonts w:ascii="Times New Roman" w:hAnsi="Times New Roman"/>
                            <w:lang w:val="zh-CN"/>
                          </w:rPr>
                          <w:t>1</w:t>
                        </w:r>
                        <w:r>
                          <w:rPr>
                            <w:rFonts w:ascii="Times New Roman" w:hAnsi="Times New Roman"/>
                          </w:rPr>
                          <w:fldChar w:fldCharType="end"/>
                        </w:r>
                      </w:p>
                    </w:sdtContent>
                  </w:sdt>
                  <w:p>
                    <w:pPr>
                      <w:rPr>
                        <w:rFonts w:ascii="Times New Roman" w:hAnsi="Times New Roman"/>
                      </w:rPr>
                    </w:pPr>
                  </w:p>
                </w:txbxContent>
              </v:textbox>
            </v:shape>
          </w:pict>
        </mc:Fallback>
      </mc:AlternateContent>
    </w:r>
  </w:p>
  <w:p>
    <w:pPr>
      <w:pStyle w:val="4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FgAA&#10;AGRycy9QSwECFAAUAAAACACHTuJAs0lY7tAAAAAFAQAADwAAAAAAAAABACAAAAA4AAAAZHJzL2Rv&#10;d25yZXYueG1sUEsBAhQAFAAAAAgAh07iQJ66C/ssAgAAVQQAAA4AAAAAAAAAAQAgAAAANQEAAGRy&#10;cy9lMm9Eb2MueG1sUEsFBgAAAAAGAAYAWQEAAN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trackRevisions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JiNDg2MmEwNmQ1NTgzNWFkZDM5ZTZkNTJlNTFlNjQifQ=="/>
  </w:docVars>
  <w:rsids>
    <w:rsidRoot w:val="001E51B9"/>
    <w:rsid w:val="000104FE"/>
    <w:rsid w:val="00082020"/>
    <w:rsid w:val="00094B85"/>
    <w:rsid w:val="000B3EE8"/>
    <w:rsid w:val="000E742B"/>
    <w:rsid w:val="0014250E"/>
    <w:rsid w:val="00144001"/>
    <w:rsid w:val="00154737"/>
    <w:rsid w:val="00163440"/>
    <w:rsid w:val="001927A2"/>
    <w:rsid w:val="00192F7A"/>
    <w:rsid w:val="001B4362"/>
    <w:rsid w:val="001E17D3"/>
    <w:rsid w:val="001E51B9"/>
    <w:rsid w:val="002128E7"/>
    <w:rsid w:val="00212CDD"/>
    <w:rsid w:val="00283CC9"/>
    <w:rsid w:val="00284E54"/>
    <w:rsid w:val="002D352A"/>
    <w:rsid w:val="002E0C4F"/>
    <w:rsid w:val="002F7054"/>
    <w:rsid w:val="003446F9"/>
    <w:rsid w:val="00360804"/>
    <w:rsid w:val="00386E41"/>
    <w:rsid w:val="00433C10"/>
    <w:rsid w:val="00434554"/>
    <w:rsid w:val="00455503"/>
    <w:rsid w:val="00457B40"/>
    <w:rsid w:val="00462078"/>
    <w:rsid w:val="00463AF1"/>
    <w:rsid w:val="004721C1"/>
    <w:rsid w:val="00481812"/>
    <w:rsid w:val="00492DF7"/>
    <w:rsid w:val="004B5A36"/>
    <w:rsid w:val="004D72F4"/>
    <w:rsid w:val="004F62B4"/>
    <w:rsid w:val="00500F70"/>
    <w:rsid w:val="00527A63"/>
    <w:rsid w:val="00536E7B"/>
    <w:rsid w:val="0058230E"/>
    <w:rsid w:val="005832F1"/>
    <w:rsid w:val="00595FF1"/>
    <w:rsid w:val="00597BC2"/>
    <w:rsid w:val="005F3533"/>
    <w:rsid w:val="0060366B"/>
    <w:rsid w:val="00626C5E"/>
    <w:rsid w:val="00636188"/>
    <w:rsid w:val="00664BB2"/>
    <w:rsid w:val="006878AA"/>
    <w:rsid w:val="00694055"/>
    <w:rsid w:val="006A12D5"/>
    <w:rsid w:val="006C0F22"/>
    <w:rsid w:val="006C7CFA"/>
    <w:rsid w:val="006C7E5F"/>
    <w:rsid w:val="006D6717"/>
    <w:rsid w:val="006D786E"/>
    <w:rsid w:val="00717CDE"/>
    <w:rsid w:val="007255B1"/>
    <w:rsid w:val="00756128"/>
    <w:rsid w:val="0077080F"/>
    <w:rsid w:val="007778CE"/>
    <w:rsid w:val="00782629"/>
    <w:rsid w:val="00785D93"/>
    <w:rsid w:val="00786607"/>
    <w:rsid w:val="00787971"/>
    <w:rsid w:val="007B0FC3"/>
    <w:rsid w:val="007C2A05"/>
    <w:rsid w:val="007F5660"/>
    <w:rsid w:val="00841E07"/>
    <w:rsid w:val="00850D16"/>
    <w:rsid w:val="00861C3A"/>
    <w:rsid w:val="008C79D4"/>
    <w:rsid w:val="008C7F73"/>
    <w:rsid w:val="008E722A"/>
    <w:rsid w:val="008F04CD"/>
    <w:rsid w:val="00931065"/>
    <w:rsid w:val="00971523"/>
    <w:rsid w:val="00973CCA"/>
    <w:rsid w:val="009755BD"/>
    <w:rsid w:val="0098738F"/>
    <w:rsid w:val="00987CEE"/>
    <w:rsid w:val="009D32EB"/>
    <w:rsid w:val="009D5D1B"/>
    <w:rsid w:val="009F724E"/>
    <w:rsid w:val="00A12D14"/>
    <w:rsid w:val="00A13460"/>
    <w:rsid w:val="00A1410D"/>
    <w:rsid w:val="00A55369"/>
    <w:rsid w:val="00AD7064"/>
    <w:rsid w:val="00AE2D55"/>
    <w:rsid w:val="00AE4515"/>
    <w:rsid w:val="00B04C72"/>
    <w:rsid w:val="00B60A53"/>
    <w:rsid w:val="00BC028D"/>
    <w:rsid w:val="00BD0898"/>
    <w:rsid w:val="00C4775D"/>
    <w:rsid w:val="00C90327"/>
    <w:rsid w:val="00CB361B"/>
    <w:rsid w:val="00CB4E76"/>
    <w:rsid w:val="00CC7441"/>
    <w:rsid w:val="00CD1FA3"/>
    <w:rsid w:val="00CE0C0A"/>
    <w:rsid w:val="00CF2006"/>
    <w:rsid w:val="00CF6D01"/>
    <w:rsid w:val="00D02E25"/>
    <w:rsid w:val="00D113B7"/>
    <w:rsid w:val="00D17528"/>
    <w:rsid w:val="00D26D65"/>
    <w:rsid w:val="00D62AC5"/>
    <w:rsid w:val="00D70A10"/>
    <w:rsid w:val="00DA0A1E"/>
    <w:rsid w:val="00DC4A83"/>
    <w:rsid w:val="00DE1560"/>
    <w:rsid w:val="00DE553F"/>
    <w:rsid w:val="00DF3C15"/>
    <w:rsid w:val="00E24149"/>
    <w:rsid w:val="00E30C65"/>
    <w:rsid w:val="00E50261"/>
    <w:rsid w:val="00E56CF2"/>
    <w:rsid w:val="00E57B2C"/>
    <w:rsid w:val="00E666D5"/>
    <w:rsid w:val="00E671DC"/>
    <w:rsid w:val="00EB232A"/>
    <w:rsid w:val="00EE3904"/>
    <w:rsid w:val="00F02076"/>
    <w:rsid w:val="00F302F8"/>
    <w:rsid w:val="00F51601"/>
    <w:rsid w:val="00F52317"/>
    <w:rsid w:val="00F530B7"/>
    <w:rsid w:val="00F60DEE"/>
    <w:rsid w:val="00F81B0D"/>
    <w:rsid w:val="00F86206"/>
    <w:rsid w:val="00FD16F0"/>
    <w:rsid w:val="00FE6331"/>
    <w:rsid w:val="01992F0C"/>
    <w:rsid w:val="04F1535B"/>
    <w:rsid w:val="06A353BD"/>
    <w:rsid w:val="0B836C9C"/>
    <w:rsid w:val="0BBB0D75"/>
    <w:rsid w:val="10035C7F"/>
    <w:rsid w:val="1FA014BE"/>
    <w:rsid w:val="20F43BF5"/>
    <w:rsid w:val="23066C09"/>
    <w:rsid w:val="24A5668D"/>
    <w:rsid w:val="267FCC79"/>
    <w:rsid w:val="29E64F12"/>
    <w:rsid w:val="373A57EA"/>
    <w:rsid w:val="39F976BE"/>
    <w:rsid w:val="3C7A5098"/>
    <w:rsid w:val="3CF4361D"/>
    <w:rsid w:val="49F84D68"/>
    <w:rsid w:val="4EEF0E82"/>
    <w:rsid w:val="4FDD4F54"/>
    <w:rsid w:val="547F5AFB"/>
    <w:rsid w:val="54A97BFF"/>
    <w:rsid w:val="5AB85696"/>
    <w:rsid w:val="5D48361B"/>
    <w:rsid w:val="5D811540"/>
    <w:rsid w:val="65E825C4"/>
    <w:rsid w:val="693D1D24"/>
    <w:rsid w:val="6DAE4B5C"/>
    <w:rsid w:val="7AFD589D"/>
    <w:rsid w:val="7BFD531D"/>
    <w:rsid w:val="7F36143D"/>
    <w:rsid w:val="7F674E25"/>
    <w:rsid w:val="9D1FF12E"/>
    <w:rsid w:val="DFCF8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21"/>
    <w:unhideWhenUsed/>
    <w:qFormat/>
    <w:uiPriority w:val="99"/>
    <w:pPr>
      <w:jc w:val="left"/>
    </w:pPr>
  </w:style>
  <w:style w:type="paragraph" w:styleId="3">
    <w:name w:val="Balloon Text"/>
    <w:basedOn w:val="1"/>
    <w:link w:val="18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MS PGothic" w:hAnsi="MS PGothic" w:eastAsia="MS PGothic" w:cs="MS PGothic"/>
      <w:kern w:val="0"/>
      <w:sz w:val="24"/>
      <w:szCs w:val="24"/>
      <w:lang w:eastAsia="ja-JP"/>
    </w:rPr>
  </w:style>
  <w:style w:type="paragraph" w:styleId="7">
    <w:name w:val="annotation subject"/>
    <w:basedOn w:val="2"/>
    <w:next w:val="2"/>
    <w:link w:val="22"/>
    <w:semiHidden/>
    <w:unhideWhenUsed/>
    <w:qFormat/>
    <w:uiPriority w:val="99"/>
    <w:rPr>
      <w:b/>
      <w:bCs/>
    </w:rPr>
  </w:style>
  <w:style w:type="table" w:styleId="9">
    <w:name w:val="Table Grid"/>
    <w:basedOn w:val="8"/>
    <w:qFormat/>
    <w:uiPriority w:val="39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annotation reference"/>
    <w:basedOn w:val="10"/>
    <w:semiHidden/>
    <w:unhideWhenUsed/>
    <w:qFormat/>
    <w:uiPriority w:val="99"/>
    <w:rPr>
      <w:sz w:val="21"/>
      <w:szCs w:val="21"/>
    </w:rPr>
  </w:style>
  <w:style w:type="paragraph" w:customStyle="1" w:styleId="12">
    <w:name w:val="样式1"/>
    <w:basedOn w:val="1"/>
    <w:next w:val="1"/>
    <w:qFormat/>
    <w:uiPriority w:val="0"/>
    <w:pPr>
      <w:ind w:firstLine="602" w:firstLineChars="200"/>
    </w:pPr>
    <w:rPr>
      <w:rFonts w:ascii="仿宋" w:hAnsi="仿宋" w:eastAsia="仿宋"/>
      <w:sz w:val="30"/>
      <w:szCs w:val="30"/>
    </w:rPr>
  </w:style>
  <w:style w:type="paragraph" w:customStyle="1" w:styleId="13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character" w:customStyle="1" w:styleId="14">
    <w:name w:val="页眉 Char"/>
    <w:basedOn w:val="10"/>
    <w:link w:val="5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5">
    <w:name w:val="页脚 Char"/>
    <w:basedOn w:val="10"/>
    <w:link w:val="4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6">
    <w:name w:val="font21"/>
    <w:basedOn w:val="10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7">
    <w:name w:val="font31"/>
    <w:basedOn w:val="10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8">
    <w:name w:val="批注框文本 Char"/>
    <w:basedOn w:val="10"/>
    <w:link w:val="3"/>
    <w:semiHidden/>
    <w:qFormat/>
    <w:uiPriority w:val="99"/>
    <w:rPr>
      <w:rFonts w:ascii="Calibri" w:hAnsi="Calibri" w:eastAsia="宋体" w:cs="Times New Roman"/>
      <w:kern w:val="2"/>
      <w:sz w:val="18"/>
      <w:szCs w:val="18"/>
    </w:rPr>
  </w:style>
  <w:style w:type="paragraph" w:customStyle="1" w:styleId="19">
    <w:name w:val="修订1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0">
    <w:name w:val="Revision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21">
    <w:name w:val="批注文字 Char"/>
    <w:basedOn w:val="10"/>
    <w:link w:val="2"/>
    <w:qFormat/>
    <w:uiPriority w:val="99"/>
    <w:rPr>
      <w:rFonts w:ascii="Calibri" w:hAnsi="Calibri" w:eastAsia="宋体" w:cs="Times New Roman"/>
      <w:kern w:val="2"/>
      <w:sz w:val="21"/>
      <w:szCs w:val="22"/>
    </w:rPr>
  </w:style>
  <w:style w:type="character" w:customStyle="1" w:styleId="22">
    <w:name w:val="批注主题 Char"/>
    <w:basedOn w:val="21"/>
    <w:link w:val="7"/>
    <w:semiHidden/>
    <w:qFormat/>
    <w:uiPriority w:val="99"/>
    <w:rPr>
      <w:rFonts w:ascii="Calibri" w:hAnsi="Calibri" w:eastAsia="宋体" w:cs="Times New Roman"/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wmf"/><Relationship Id="rId8" Type="http://schemas.openxmlformats.org/officeDocument/2006/relationships/oleObject" Target="embeddings/oleObject1.bin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1.xml"/><Relationship Id="rId17" Type="http://schemas.openxmlformats.org/officeDocument/2006/relationships/image" Target="media/image5.wmf"/><Relationship Id="rId16" Type="http://schemas.openxmlformats.org/officeDocument/2006/relationships/oleObject" Target="embeddings/oleObject5.bin"/><Relationship Id="rId15" Type="http://schemas.openxmlformats.org/officeDocument/2006/relationships/image" Target="media/image4.wmf"/><Relationship Id="rId14" Type="http://schemas.openxmlformats.org/officeDocument/2006/relationships/oleObject" Target="embeddings/oleObject4.bin"/><Relationship Id="rId13" Type="http://schemas.openxmlformats.org/officeDocument/2006/relationships/image" Target="media/image3.wmf"/><Relationship Id="rId12" Type="http://schemas.openxmlformats.org/officeDocument/2006/relationships/oleObject" Target="embeddings/oleObject3.bin"/><Relationship Id="rId11" Type="http://schemas.openxmlformats.org/officeDocument/2006/relationships/image" Target="media/image2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7</Pages>
  <Words>1892</Words>
  <Characters>2562</Characters>
  <Lines>47</Lines>
  <Paragraphs>13</Paragraphs>
  <TotalTime>2</TotalTime>
  <ScaleCrop>false</ScaleCrop>
  <LinksUpToDate>false</LinksUpToDate>
  <CharactersWithSpaces>2712</CharactersWithSpaces>
  <Application>WPS Office_11.8.2.11929_F1E327BC-269C-435d-A152-05C5408002CA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2025-07-16T22:05:00Z</dcterms:created>
  <dc:creator>邢书霞</dc:creator>
  <cp:lastModifiedBy>chenzd</cp:lastModifiedBy>
  <dcterms:modified xsi:type="dcterms:W3CDTF">2025-08-29T14:52:20Z</dcterms:modified>
  <cp:revision>97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eyJoZGlkIjoiZjRhOWUwY2M3NGY1YWRiN2RjYThkOWUzMDM5OWQ5YTgifQ==</vt:lpwstr>
  </property>
  <property fmtid="{D5CDD505-2E9C-101B-9397-08002B2CF9AE}" pid="3" name="KSOProductBuildVer">
    <vt:lpwstr>2052-11.8.2.11929</vt:lpwstr>
  </property>
  <property fmtid="{D5CDD505-2E9C-101B-9397-08002B2CF9AE}" pid="4" name="ICV">
    <vt:lpwstr>35DDFA443D0C43BD8CC8B2A2B529846C_13</vt:lpwstr>
  </property>
</Properties>
</file>