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59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keepNext w:val="0"/>
        <w:keepLines w:val="0"/>
        <w:pageBreakBefore w:val="0"/>
        <w:widowControl w:val="0"/>
        <w:kinsoku/>
        <w:wordWrap/>
        <w:overflowPunct w:val="0"/>
        <w:topLinePunct w:val="0"/>
        <w:autoSpaceDE/>
        <w:autoSpaceDN/>
        <w:bidi w:val="0"/>
        <w:adjustRightInd w:val="0"/>
        <w:snapToGrid w:val="0"/>
        <w:spacing w:line="590" w:lineRule="exact"/>
        <w:ind w:left="0" w:firstLine="640" w:firstLineChars="200"/>
        <w:jc w:val="both"/>
        <w:textAlignment w:val="auto"/>
        <w:rPr>
          <w:rFonts w:hint="default" w:ascii="Times New Roman" w:hAnsi="Times New Roman" w:eastAsia="黑体"/>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ascii="Times New Roman" w:hAnsi="Times New Roman" w:eastAsia="方正小标宋简体"/>
          <w:color w:val="auto"/>
          <w:sz w:val="44"/>
          <w:szCs w:val="44"/>
        </w:rPr>
      </w:pPr>
      <w:r>
        <w:rPr>
          <w:rFonts w:hint="eastAsia" w:ascii="Times New Roman" w:hAnsi="Times New Roman" w:eastAsia="方正小标宋简体"/>
          <w:color w:val="auto"/>
          <w:sz w:val="44"/>
          <w:szCs w:val="44"/>
        </w:rPr>
        <w:t>关于进一步加强医疗器械产品分类界定</w:t>
      </w:r>
      <w:r>
        <w:rPr>
          <w:rFonts w:ascii="Times New Roman" w:hAnsi="Times New Roman" w:eastAsia="方正小标宋简体"/>
          <w:color w:val="auto"/>
          <w:sz w:val="44"/>
          <w:szCs w:val="44"/>
        </w:rPr>
        <w:br w:type="textWrapping"/>
      </w:r>
      <w:r>
        <w:rPr>
          <w:rFonts w:hint="eastAsia" w:ascii="Times New Roman" w:hAnsi="Times New Roman" w:eastAsia="方正小标宋简体"/>
          <w:color w:val="auto"/>
          <w:sz w:val="44"/>
          <w:szCs w:val="44"/>
        </w:rPr>
        <w:t>有关工作的通知</w:t>
      </w:r>
    </w:p>
    <w:p>
      <w:pPr>
        <w:keepNext w:val="0"/>
        <w:keepLines w:val="0"/>
        <w:pageBreakBefore w:val="0"/>
        <w:widowControl w:val="0"/>
        <w:kinsoku/>
        <w:wordWrap/>
        <w:overflowPunct w:val="0"/>
        <w:topLinePunct w:val="0"/>
        <w:autoSpaceDE/>
        <w:autoSpaceDN/>
        <w:bidi w:val="0"/>
        <w:snapToGrid w:val="0"/>
        <w:spacing w:line="590" w:lineRule="exact"/>
        <w:jc w:val="center"/>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征求意见稿</w:t>
      </w:r>
      <w:r>
        <w:rPr>
          <w:rFonts w:hint="eastAsia" w:ascii="楷体_GB2312" w:hAnsi="楷体_GB2312" w:eastAsia="楷体_GB2312" w:cs="楷体_GB2312"/>
          <w:color w:val="auto"/>
          <w:sz w:val="32"/>
          <w:szCs w:val="32"/>
          <w:lang w:eastAsia="zh-CN"/>
        </w:rPr>
        <w:t>）</w:t>
      </w:r>
    </w:p>
    <w:p>
      <w:pPr>
        <w:keepNext w:val="0"/>
        <w:keepLines w:val="0"/>
        <w:pageBreakBefore w:val="0"/>
        <w:widowControl w:val="0"/>
        <w:kinsoku/>
        <w:wordWrap/>
        <w:overflowPunct w:val="0"/>
        <w:topLinePunct w:val="0"/>
        <w:autoSpaceDE/>
        <w:autoSpaceDN/>
        <w:bidi w:val="0"/>
        <w:snapToGrid w:val="0"/>
        <w:spacing w:line="590" w:lineRule="exact"/>
        <w:ind w:left="0" w:firstLine="640" w:firstLineChars="200"/>
        <w:jc w:val="both"/>
        <w:textAlignment w:val="auto"/>
        <w:rPr>
          <w:rFonts w:hint="eastAsia" w:ascii="楷体" w:hAnsi="楷体" w:eastAsia="楷体" w:cs="楷体"/>
          <w:color w:val="auto"/>
          <w:sz w:val="32"/>
          <w:szCs w:val="32"/>
          <w:lang w:eastAsia="zh-CN"/>
        </w:rPr>
      </w:pPr>
    </w:p>
    <w:p>
      <w:pPr>
        <w:keepNext w:val="0"/>
        <w:keepLines w:val="0"/>
        <w:pageBreakBefore w:val="0"/>
        <w:widowControl w:val="0"/>
        <w:kinsoku/>
        <w:wordWrap/>
        <w:overflowPunct w:val="0"/>
        <w:topLinePunct w:val="0"/>
        <w:autoSpaceDE/>
        <w:autoSpaceDN/>
        <w:bidi w:val="0"/>
        <w:snapToGrid w:val="0"/>
        <w:spacing w:line="590" w:lineRule="exact"/>
        <w:ind w:left="0" w:firstLine="640" w:firstLineChars="200"/>
        <w:jc w:val="both"/>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为加强医疗器械分类管理，进一步规范医疗器械产品分类界定工作要求，优化医疗器械产品分类界定工作程序，根据《医疗器械监督管理条例》（以下简称《条例》）、《医疗器械注册与备案管理办法》《体外诊断试剂注册与备案管理办法》（以下统称《办法》）等相关要求，现将有关事项通知如下：</w:t>
      </w:r>
    </w:p>
    <w:p>
      <w:pPr>
        <w:keepNext w:val="0"/>
        <w:keepLines w:val="0"/>
        <w:pageBreakBefore w:val="0"/>
        <w:widowControl w:val="0"/>
        <w:kinsoku/>
        <w:wordWrap/>
        <w:overflowPunct w:val="0"/>
        <w:topLinePunct w:val="0"/>
        <w:autoSpaceDE/>
        <w:autoSpaceDN/>
        <w:bidi w:val="0"/>
        <w:snapToGrid w:val="0"/>
        <w:spacing w:line="590" w:lineRule="exact"/>
        <w:ind w:left="0"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黑体"/>
          <w:color w:val="auto"/>
          <w:sz w:val="32"/>
          <w:szCs w:val="32"/>
        </w:rPr>
        <w:t>一、关于分类界定工作</w:t>
      </w:r>
    </w:p>
    <w:p>
      <w:pPr>
        <w:keepNext w:val="0"/>
        <w:keepLines w:val="0"/>
        <w:pageBreakBefore w:val="0"/>
        <w:widowControl w:val="0"/>
        <w:kinsoku/>
        <w:wordWrap/>
        <w:overflowPunct w:val="0"/>
        <w:topLinePunct w:val="0"/>
        <w:autoSpaceDE/>
        <w:autoSpaceDN/>
        <w:bidi w:val="0"/>
        <w:snapToGrid w:val="0"/>
        <w:spacing w:line="590" w:lineRule="exact"/>
        <w:ind w:left="0"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一</w:t>
      </w:r>
      <w:r>
        <w:rPr>
          <w:rFonts w:hint="eastAsia" w:ascii="Times New Roman" w:hAnsi="Times New Roman" w:eastAsia="仿宋_GB2312"/>
          <w:color w:val="auto"/>
          <w:sz w:val="32"/>
          <w:szCs w:val="32"/>
        </w:rPr>
        <w:t>）医疗器械分类界定是药品监管部门</w:t>
      </w:r>
      <w:r>
        <w:rPr>
          <w:rFonts w:hint="eastAsia" w:ascii="Times New Roman" w:hAnsi="Times New Roman" w:eastAsia="仿宋_GB2312"/>
          <w:color w:val="auto"/>
          <w:sz w:val="32"/>
          <w:szCs w:val="32"/>
          <w:lang w:eastAsia="zh-CN"/>
        </w:rPr>
        <w:t>根据</w:t>
      </w:r>
      <w:r>
        <w:rPr>
          <w:rFonts w:ascii="Times New Roman" w:hAnsi="Times New Roman" w:eastAsia="仿宋_GB2312"/>
          <w:color w:val="auto"/>
          <w:sz w:val="32"/>
          <w:szCs w:val="32"/>
        </w:rPr>
        <w:t>申请人提供的资料，依据《条例》《医疗器械分类规则》《体外诊断试剂分类规则》（以下统称《分类规则》）</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相关分类界定指导原则及</w:t>
      </w:r>
      <w:r>
        <w:rPr>
          <w:rFonts w:ascii="Times New Roman" w:hAnsi="Times New Roman" w:eastAsia="仿宋_GB2312"/>
          <w:color w:val="auto"/>
          <w:sz w:val="32"/>
          <w:szCs w:val="32"/>
        </w:rPr>
        <w:t>《医疗器械分类目录》《第一类医疗器械产品目录》《体外诊断试剂分类子目录》（以下统称《分类目录》）等，</w:t>
      </w:r>
      <w:r>
        <w:rPr>
          <w:rFonts w:hint="eastAsia" w:ascii="Times New Roman" w:hAnsi="Times New Roman" w:eastAsia="仿宋_GB2312"/>
          <w:color w:val="auto"/>
          <w:sz w:val="32"/>
          <w:szCs w:val="32"/>
        </w:rPr>
        <w:t>基于</w:t>
      </w:r>
      <w:r>
        <w:rPr>
          <w:rFonts w:ascii="Times New Roman" w:hAnsi="Times New Roman" w:eastAsia="仿宋_GB2312"/>
          <w:color w:val="auto"/>
          <w:sz w:val="32"/>
          <w:szCs w:val="32"/>
        </w:rPr>
        <w:t>现阶段科学认知和共识，并参考国际</w:t>
      </w:r>
      <w:r>
        <w:rPr>
          <w:rFonts w:hint="eastAsia" w:ascii="Times New Roman" w:hAnsi="Times New Roman" w:eastAsia="仿宋_GB2312"/>
          <w:color w:val="auto"/>
          <w:sz w:val="32"/>
          <w:szCs w:val="32"/>
        </w:rPr>
        <w:t>国内</w:t>
      </w:r>
      <w:r>
        <w:rPr>
          <w:rFonts w:ascii="Times New Roman" w:hAnsi="Times New Roman" w:eastAsia="仿宋_GB2312"/>
          <w:color w:val="auto"/>
          <w:sz w:val="32"/>
          <w:szCs w:val="32"/>
        </w:rPr>
        <w:t>医疗器械分类实践，综合考虑医疗器械的预期目的、结构特征、使用方法、工作原理等因素，对医疗器械风险程度进行评价，</w:t>
      </w:r>
      <w:r>
        <w:rPr>
          <w:rFonts w:hint="eastAsia" w:ascii="Times New Roman" w:hAnsi="Times New Roman" w:eastAsia="仿宋_GB2312"/>
          <w:color w:val="auto"/>
          <w:sz w:val="32"/>
          <w:szCs w:val="32"/>
          <w:lang w:eastAsia="zh-CN"/>
        </w:rPr>
        <w:t>判定</w:t>
      </w:r>
      <w:r>
        <w:rPr>
          <w:rFonts w:ascii="Times New Roman" w:hAnsi="Times New Roman" w:eastAsia="仿宋_GB2312"/>
          <w:color w:val="auto"/>
          <w:sz w:val="32"/>
          <w:szCs w:val="32"/>
        </w:rPr>
        <w:t>医疗器械管理类别</w:t>
      </w:r>
      <w:r>
        <w:rPr>
          <w:rFonts w:hint="eastAsia" w:ascii="Times New Roman" w:hAnsi="Times New Roman" w:eastAsia="仿宋_GB2312"/>
          <w:color w:val="auto"/>
          <w:sz w:val="32"/>
          <w:szCs w:val="32"/>
        </w:rPr>
        <w:t>。</w:t>
      </w:r>
    </w:p>
    <w:p>
      <w:pPr>
        <w:keepNext w:val="0"/>
        <w:keepLines w:val="0"/>
        <w:pageBreakBefore w:val="0"/>
        <w:widowControl w:val="0"/>
        <w:kinsoku/>
        <w:wordWrap/>
        <w:overflowPunct w:val="0"/>
        <w:topLinePunct w:val="0"/>
        <w:autoSpaceDE/>
        <w:autoSpaceDN/>
        <w:bidi w:val="0"/>
        <w:snapToGrid w:val="0"/>
        <w:spacing w:line="590" w:lineRule="exact"/>
        <w:ind w:left="0"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（二）申请人应当依据</w:t>
      </w:r>
      <w:r>
        <w:rPr>
          <w:rFonts w:ascii="Times New Roman" w:hAnsi="Times New Roman" w:eastAsia="仿宋_GB2312"/>
          <w:color w:val="auto"/>
          <w:sz w:val="32"/>
          <w:szCs w:val="32"/>
        </w:rPr>
        <w:t>《条例》《办法》《分类规则》</w:t>
      </w:r>
      <w:r>
        <w:rPr>
          <w:rFonts w:ascii="Times New Roman" w:hAnsi="Times New Roman" w:eastAsia="仿宋_GB2312"/>
          <w:color w:val="auto"/>
          <w:sz w:val="32"/>
          <w:szCs w:val="32"/>
          <w:lang w:val="en"/>
        </w:rPr>
        <w:t>、</w:t>
      </w:r>
      <w:r>
        <w:rPr>
          <w:rFonts w:hint="eastAsia" w:ascii="Times New Roman" w:hAnsi="Times New Roman" w:eastAsia="仿宋_GB2312"/>
          <w:color w:val="auto"/>
          <w:sz w:val="32"/>
          <w:szCs w:val="32"/>
        </w:rPr>
        <w:t>相关分类界定指导原则及</w:t>
      </w:r>
      <w:r>
        <w:rPr>
          <w:rFonts w:ascii="Times New Roman" w:hAnsi="Times New Roman" w:eastAsia="仿宋_GB2312"/>
          <w:color w:val="auto"/>
          <w:sz w:val="32"/>
          <w:szCs w:val="32"/>
        </w:rPr>
        <w:t>《分类目录》</w:t>
      </w:r>
      <w:r>
        <w:rPr>
          <w:rFonts w:hint="eastAsia" w:ascii="Times New Roman" w:hAnsi="Times New Roman" w:eastAsia="仿宋_GB2312"/>
          <w:color w:val="auto"/>
          <w:sz w:val="32"/>
          <w:szCs w:val="32"/>
        </w:rPr>
        <w:t>等判定产品管理属性和类别。对于新研制的尚未列入《分类目录》的医疗器械</w:t>
      </w:r>
      <w:r>
        <w:rPr>
          <w:rFonts w:hint="eastAsia" w:ascii="Times New Roman" w:hAnsi="Times New Roman" w:eastAsia="仿宋_GB2312"/>
          <w:color w:val="auto"/>
          <w:sz w:val="32"/>
          <w:szCs w:val="32"/>
          <w:lang w:eastAsia="zh-CN"/>
        </w:rPr>
        <w:t>或者管理类别存疑的医疗器械</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需要药品监管部门明确分类界定意见从而申请注册或者办理备案的，</w:t>
      </w:r>
      <w:r>
        <w:rPr>
          <w:rFonts w:hint="eastAsia" w:ascii="Times New Roman" w:hAnsi="Times New Roman" w:eastAsia="仿宋_GB2312"/>
          <w:color w:val="auto"/>
          <w:sz w:val="32"/>
          <w:szCs w:val="32"/>
        </w:rPr>
        <w:t>申请人应当通过分类界定信息系统提出分类界定申请，具体流程</w:t>
      </w:r>
      <w:r>
        <w:rPr>
          <w:rFonts w:hint="eastAsia" w:ascii="Times New Roman" w:hAnsi="Times New Roman" w:eastAsia="仿宋_GB2312"/>
          <w:color w:val="auto"/>
          <w:sz w:val="32"/>
          <w:szCs w:val="32"/>
          <w:lang w:eastAsia="zh-CN"/>
        </w:rPr>
        <w:t>及资料要求</w:t>
      </w:r>
      <w:r>
        <w:rPr>
          <w:rFonts w:hint="eastAsia" w:ascii="Times New Roman" w:hAnsi="Times New Roman" w:eastAsia="仿宋_GB2312"/>
          <w:color w:val="auto"/>
          <w:sz w:val="32"/>
          <w:szCs w:val="32"/>
        </w:rPr>
        <w:t>见附件1</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申请人</w:t>
      </w:r>
      <w:r>
        <w:rPr>
          <w:rFonts w:hint="eastAsia" w:ascii="Times New Roman" w:hAnsi="Times New Roman" w:eastAsia="仿宋_GB2312"/>
          <w:color w:val="auto"/>
          <w:sz w:val="32"/>
          <w:szCs w:val="32"/>
        </w:rPr>
        <w:t>应当确保</w:t>
      </w:r>
      <w:r>
        <w:rPr>
          <w:rFonts w:hint="eastAsia" w:ascii="Times New Roman" w:hAnsi="Times New Roman" w:eastAsia="仿宋_GB2312"/>
          <w:color w:val="auto"/>
          <w:sz w:val="32"/>
          <w:szCs w:val="32"/>
          <w:lang w:eastAsia="zh-CN"/>
        </w:rPr>
        <w:t>产品设计开发已定型，以及</w:t>
      </w:r>
      <w:r>
        <w:rPr>
          <w:rFonts w:ascii="Times New Roman" w:hAnsi="Times New Roman" w:eastAsia="仿宋_GB2312"/>
          <w:color w:val="auto"/>
          <w:sz w:val="32"/>
          <w:szCs w:val="32"/>
        </w:rPr>
        <w:t>分类</w:t>
      </w:r>
      <w:r>
        <w:rPr>
          <w:rFonts w:hint="eastAsia" w:ascii="Times New Roman" w:hAnsi="Times New Roman" w:eastAsia="仿宋_GB2312"/>
          <w:color w:val="auto"/>
          <w:sz w:val="32"/>
          <w:szCs w:val="32"/>
        </w:rPr>
        <w:t>界定</w:t>
      </w:r>
      <w:r>
        <w:rPr>
          <w:rFonts w:ascii="Times New Roman" w:hAnsi="Times New Roman" w:eastAsia="仿宋_GB2312"/>
          <w:color w:val="auto"/>
          <w:sz w:val="32"/>
          <w:szCs w:val="32"/>
        </w:rPr>
        <w:t>申请资料的</w:t>
      </w:r>
      <w:r>
        <w:rPr>
          <w:rFonts w:hint="eastAsia" w:ascii="Times New Roman" w:hAnsi="Times New Roman" w:eastAsia="仿宋_GB2312"/>
          <w:color w:val="auto"/>
          <w:sz w:val="32"/>
          <w:szCs w:val="32"/>
        </w:rPr>
        <w:t>合法、真实、准确、完整和可追溯。</w:t>
      </w:r>
    </w:p>
    <w:p>
      <w:pPr>
        <w:keepNext w:val="0"/>
        <w:keepLines w:val="0"/>
        <w:pageBreakBefore w:val="0"/>
        <w:widowControl w:val="0"/>
        <w:kinsoku/>
        <w:wordWrap/>
        <w:overflowPunct w:val="0"/>
        <w:topLinePunct w:val="0"/>
        <w:autoSpaceDE/>
        <w:autoSpaceDN/>
        <w:bidi w:val="0"/>
        <w:snapToGrid/>
        <w:spacing w:line="590" w:lineRule="exact"/>
        <w:ind w:left="0" w:firstLine="640" w:firstLineChars="200"/>
        <w:jc w:val="both"/>
        <w:textAlignment w:val="auto"/>
        <w:outlineLvl w:val="1"/>
        <w:rPr>
          <w:rFonts w:hint="default" w:ascii="Times New Roman" w:hAnsi="Times New Roman" w:eastAsia="仿宋_GB2312"/>
          <w:color w:val="auto"/>
          <w:sz w:val="32"/>
          <w:szCs w:val="32"/>
          <w:lang w:val="en"/>
        </w:rPr>
      </w:pPr>
      <w:r>
        <w:rPr>
          <w:rFonts w:hint="eastAsia" w:ascii="Times New Roman" w:hAnsi="Times New Roman" w:eastAsia="仿宋_GB2312"/>
          <w:color w:val="auto"/>
          <w:sz w:val="32"/>
          <w:szCs w:val="32"/>
        </w:rPr>
        <w:t>新研制的尚未列入《分类目录》的医疗器械</w:t>
      </w:r>
      <w:r>
        <w:rPr>
          <w:rFonts w:hint="default" w:ascii="Times New Roman" w:hAnsi="Times New Roman" w:eastAsia="仿宋_GB2312"/>
          <w:color w:val="auto"/>
          <w:sz w:val="32"/>
          <w:szCs w:val="32"/>
          <w:lang w:val="en"/>
        </w:rPr>
        <w:t>，</w:t>
      </w:r>
      <w:r>
        <w:rPr>
          <w:rFonts w:hint="eastAsia" w:ascii="Times New Roman" w:hAnsi="Times New Roman" w:eastAsia="仿宋_GB2312"/>
          <w:color w:val="auto"/>
          <w:sz w:val="32"/>
          <w:szCs w:val="32"/>
        </w:rPr>
        <w:t>是指</w:t>
      </w:r>
      <w:r>
        <w:rPr>
          <w:rFonts w:hint="default" w:ascii="Times New Roman" w:hAnsi="Times New Roman" w:eastAsia="仿宋_GB2312"/>
          <w:color w:val="auto"/>
          <w:sz w:val="32"/>
          <w:szCs w:val="32"/>
          <w:lang w:val="en"/>
        </w:rPr>
        <w:t>与《分类目录》中产品</w:t>
      </w:r>
      <w:r>
        <w:rPr>
          <w:rFonts w:hint="eastAsia" w:ascii="Times New Roman" w:hAnsi="Times New Roman" w:eastAsia="仿宋_GB2312"/>
          <w:color w:val="auto"/>
          <w:sz w:val="32"/>
          <w:szCs w:val="32"/>
          <w:lang w:val="en" w:eastAsia="zh-CN"/>
        </w:rPr>
        <w:t>（根据产品描述、预期用途和品名举例进行综合判定）</w:t>
      </w:r>
      <w:r>
        <w:rPr>
          <w:rFonts w:hint="default" w:ascii="Times New Roman" w:hAnsi="Times New Roman" w:eastAsia="仿宋_GB2312"/>
          <w:color w:val="auto"/>
          <w:sz w:val="32"/>
          <w:szCs w:val="32"/>
          <w:lang w:val="en"/>
        </w:rPr>
        <w:t>和已上市产品相比，</w:t>
      </w:r>
      <w:r>
        <w:rPr>
          <w:rFonts w:hint="eastAsia" w:ascii="Times New Roman" w:hAnsi="Times New Roman" w:eastAsia="仿宋_GB2312"/>
          <w:color w:val="auto"/>
          <w:sz w:val="32"/>
          <w:szCs w:val="32"/>
        </w:rPr>
        <w:t>产品的</w:t>
      </w:r>
      <w:r>
        <w:rPr>
          <w:rFonts w:hint="eastAsia" w:ascii="仿宋_GB2312" w:hAnsi="仿宋_GB2312" w:eastAsia="仿宋_GB2312" w:cs="仿宋_GB2312"/>
          <w:kern w:val="0"/>
          <w:sz w:val="32"/>
          <w:szCs w:val="32"/>
        </w:rPr>
        <w:t>主要原材料、</w:t>
      </w:r>
      <w:r>
        <w:rPr>
          <w:rFonts w:eastAsia="仿宋_GB2312"/>
          <w:kern w:val="0"/>
          <w:sz w:val="32"/>
          <w:szCs w:val="32"/>
        </w:rPr>
        <w:t>生产工艺、</w:t>
      </w:r>
      <w:r>
        <w:rPr>
          <w:rFonts w:hint="eastAsia" w:ascii="Times New Roman" w:hAnsi="Times New Roman" w:eastAsia="仿宋_GB2312"/>
          <w:color w:val="auto"/>
          <w:sz w:val="32"/>
          <w:szCs w:val="32"/>
        </w:rPr>
        <w:t>技术原理、结构组成、使用部位、预期目的</w:t>
      </w:r>
      <w:r>
        <w:rPr>
          <w:rFonts w:hint="default" w:ascii="Times New Roman" w:hAnsi="Times New Roman" w:eastAsia="仿宋_GB2312"/>
          <w:color w:val="auto"/>
          <w:sz w:val="32"/>
          <w:szCs w:val="32"/>
          <w:lang w:val="en"/>
        </w:rPr>
        <w:t>等为</w:t>
      </w:r>
      <w:r>
        <w:rPr>
          <w:rFonts w:hint="eastAsia" w:ascii="Times New Roman" w:hAnsi="Times New Roman" w:eastAsia="仿宋_GB2312"/>
          <w:color w:val="auto"/>
          <w:sz w:val="32"/>
          <w:szCs w:val="32"/>
        </w:rPr>
        <w:t>全新</w:t>
      </w:r>
      <w:r>
        <w:rPr>
          <w:rFonts w:hint="default" w:ascii="Times New Roman" w:hAnsi="Times New Roman" w:eastAsia="仿宋_GB2312"/>
          <w:color w:val="auto"/>
          <w:sz w:val="32"/>
          <w:szCs w:val="32"/>
          <w:lang w:val="en"/>
        </w:rPr>
        <w:t>且尚未在我国上市的医疗器械。</w:t>
      </w:r>
    </w:p>
    <w:p>
      <w:pPr>
        <w:keepNext w:val="0"/>
        <w:keepLines w:val="0"/>
        <w:pageBreakBefore w:val="0"/>
        <w:widowControl w:val="0"/>
        <w:kinsoku/>
        <w:wordWrap/>
        <w:overflowPunct w:val="0"/>
        <w:topLinePunct w:val="0"/>
        <w:autoSpaceDE/>
        <w:autoSpaceDN/>
        <w:bidi w:val="0"/>
        <w:snapToGrid w:val="0"/>
        <w:spacing w:line="590" w:lineRule="exact"/>
        <w:ind w:left="0" w:firstLine="640" w:firstLineChars="200"/>
        <w:jc w:val="both"/>
        <w:textAlignment w:val="auto"/>
        <w:rPr>
          <w:rFonts w:hint="default" w:ascii="Times New Roman" w:hAnsi="Times New Roman" w:eastAsia="仿宋_GB2312"/>
          <w:color w:val="auto"/>
          <w:sz w:val="32"/>
          <w:szCs w:val="32"/>
          <w:lang w:val="en"/>
        </w:rPr>
      </w:pPr>
      <w:r>
        <w:rPr>
          <w:rFonts w:hint="eastAsia" w:ascii="Times New Roman" w:hAnsi="Times New Roman" w:eastAsia="仿宋_GB2312"/>
          <w:color w:val="auto"/>
          <w:sz w:val="32"/>
          <w:szCs w:val="32"/>
          <w:lang w:eastAsia="zh-CN"/>
        </w:rPr>
        <w:t>管理类别存疑的医疗器械</w:t>
      </w:r>
      <w:r>
        <w:rPr>
          <w:rFonts w:hint="eastAsia" w:ascii="Times New Roman" w:hAnsi="Times New Roman" w:eastAsia="仿宋_GB2312"/>
          <w:color w:val="auto"/>
          <w:sz w:val="32"/>
          <w:szCs w:val="32"/>
        </w:rPr>
        <w:t>，</w:t>
      </w:r>
      <w:r>
        <w:rPr>
          <w:rFonts w:hint="default" w:ascii="Times New Roman" w:hAnsi="Times New Roman" w:eastAsia="仿宋_GB2312"/>
          <w:color w:val="auto"/>
          <w:sz w:val="32"/>
          <w:szCs w:val="32"/>
          <w:lang w:val="en"/>
        </w:rPr>
        <w:t>是指同类产品已在我国上市或者已列入《分类目录》，但</w:t>
      </w:r>
      <w:r>
        <w:rPr>
          <w:rFonts w:hint="eastAsia" w:ascii="Times New Roman" w:hAnsi="Times New Roman" w:eastAsia="仿宋_GB2312"/>
          <w:color w:val="auto"/>
          <w:sz w:val="32"/>
          <w:szCs w:val="32"/>
        </w:rPr>
        <w:t>与</w:t>
      </w:r>
      <w:r>
        <w:rPr>
          <w:rFonts w:hint="default" w:ascii="Times New Roman" w:hAnsi="Times New Roman" w:eastAsia="仿宋_GB2312"/>
          <w:color w:val="auto"/>
          <w:sz w:val="32"/>
          <w:szCs w:val="32"/>
          <w:lang w:val="en"/>
        </w:rPr>
        <w:t>《分类目录》中同类产品</w:t>
      </w:r>
      <w:r>
        <w:rPr>
          <w:rFonts w:hint="eastAsia" w:ascii="Times New Roman" w:hAnsi="Times New Roman" w:eastAsia="仿宋_GB2312"/>
          <w:color w:val="auto"/>
          <w:sz w:val="32"/>
          <w:szCs w:val="32"/>
          <w:lang w:val="en" w:eastAsia="zh-CN"/>
        </w:rPr>
        <w:t>或</w:t>
      </w:r>
      <w:r>
        <w:rPr>
          <w:rFonts w:hint="eastAsia" w:ascii="Times New Roman" w:hAnsi="Times New Roman" w:eastAsia="仿宋_GB2312"/>
          <w:color w:val="auto"/>
          <w:sz w:val="32"/>
          <w:szCs w:val="32"/>
        </w:rPr>
        <w:t>已上市</w:t>
      </w:r>
      <w:r>
        <w:rPr>
          <w:rFonts w:hint="default" w:ascii="Times New Roman" w:hAnsi="Times New Roman" w:eastAsia="仿宋_GB2312"/>
          <w:color w:val="auto"/>
          <w:sz w:val="32"/>
          <w:szCs w:val="32"/>
          <w:lang w:val="en"/>
        </w:rPr>
        <w:t>同类</w:t>
      </w:r>
      <w:r>
        <w:rPr>
          <w:rFonts w:hint="eastAsia" w:ascii="Times New Roman" w:hAnsi="Times New Roman" w:eastAsia="仿宋_GB2312"/>
          <w:color w:val="auto"/>
          <w:sz w:val="32"/>
          <w:szCs w:val="32"/>
        </w:rPr>
        <w:t>产品相比，产品的</w:t>
      </w:r>
      <w:r>
        <w:rPr>
          <w:rFonts w:hint="default" w:ascii="Times New Roman" w:hAnsi="Times New Roman" w:eastAsia="仿宋_GB2312"/>
          <w:color w:val="auto"/>
          <w:sz w:val="32"/>
          <w:szCs w:val="32"/>
          <w:lang w:val="en"/>
        </w:rPr>
        <w:t>主要原材料、生产工艺、</w:t>
      </w:r>
      <w:r>
        <w:rPr>
          <w:rFonts w:hint="eastAsia" w:ascii="Times New Roman" w:hAnsi="Times New Roman" w:eastAsia="仿宋_GB2312"/>
          <w:color w:val="auto"/>
          <w:sz w:val="32"/>
          <w:szCs w:val="32"/>
        </w:rPr>
        <w:t>技术原理、结构组成、使用部位、预期目的等发生了</w:t>
      </w:r>
      <w:r>
        <w:rPr>
          <w:rFonts w:hint="eastAsia" w:ascii="Times New Roman" w:hAnsi="Times New Roman" w:eastAsia="仿宋_GB2312"/>
          <w:color w:val="auto"/>
          <w:sz w:val="32"/>
          <w:szCs w:val="32"/>
          <w:lang w:eastAsia="zh-CN"/>
        </w:rPr>
        <w:t>变化，引入了新的风险或者增加了产品风险，</w:t>
      </w:r>
      <w:r>
        <w:rPr>
          <w:rFonts w:hint="default" w:ascii="Times New Roman" w:hAnsi="Times New Roman" w:eastAsia="仿宋_GB2312"/>
          <w:color w:val="auto"/>
          <w:sz w:val="32"/>
          <w:szCs w:val="32"/>
          <w:lang w:val="en" w:eastAsia="zh-CN"/>
        </w:rPr>
        <w:t>可能导致产品分类发生变化</w:t>
      </w:r>
      <w:r>
        <w:rPr>
          <w:rFonts w:hint="eastAsia" w:ascii="Times New Roman" w:hAnsi="Times New Roman" w:eastAsia="仿宋_GB2312"/>
          <w:color w:val="auto"/>
          <w:sz w:val="32"/>
          <w:szCs w:val="32"/>
        </w:rPr>
        <w:t>的医疗器械。</w:t>
      </w:r>
    </w:p>
    <w:p>
      <w:pPr>
        <w:keepNext w:val="0"/>
        <w:keepLines w:val="0"/>
        <w:pageBreakBefore w:val="0"/>
        <w:widowControl w:val="0"/>
        <w:numPr>
          <w:ilvl w:val="-1"/>
          <w:numId w:val="0"/>
        </w:numPr>
        <w:kinsoku/>
        <w:wordWrap/>
        <w:overflowPunct w:val="0"/>
        <w:topLinePunct w:val="0"/>
        <w:autoSpaceDE/>
        <w:autoSpaceDN/>
        <w:bidi w:val="0"/>
        <w:snapToGrid w:val="0"/>
        <w:spacing w:line="590" w:lineRule="exact"/>
        <w:ind w:left="0" w:firstLine="640" w:firstLineChars="200"/>
        <w:jc w:val="both"/>
        <w:textAlignment w:val="auto"/>
        <w:rPr>
          <w:rFonts w:hint="eastAsia" w:ascii="Times New Roman" w:hAnsi="Times New Roman" w:eastAsia="仿宋_GB2312"/>
          <w:color w:val="auto"/>
          <w:sz w:val="32"/>
          <w:szCs w:val="32"/>
          <w:lang w:eastAsia="zh-CN"/>
        </w:rPr>
      </w:pPr>
      <w:r>
        <w:rPr>
          <w:rFonts w:hint="default" w:ascii="Times New Roman" w:hAnsi="Times New Roman" w:eastAsia="仿宋_GB2312"/>
          <w:color w:val="auto"/>
          <w:sz w:val="32"/>
          <w:szCs w:val="32"/>
          <w:lang w:val="en"/>
        </w:rPr>
        <w:t>（三）对于</w:t>
      </w:r>
      <w:r>
        <w:rPr>
          <w:rFonts w:hint="eastAsia" w:ascii="Times New Roman" w:hAnsi="Times New Roman" w:eastAsia="仿宋_GB2312"/>
          <w:color w:val="auto"/>
          <w:sz w:val="32"/>
          <w:szCs w:val="32"/>
        </w:rPr>
        <w:t>新研制的尚未列入《分类目录》的医疗器械</w:t>
      </w:r>
      <w:r>
        <w:rPr>
          <w:rFonts w:hint="eastAsia" w:ascii="Times New Roman" w:hAnsi="Times New Roman" w:eastAsia="仿宋_GB2312"/>
          <w:color w:val="auto"/>
          <w:sz w:val="32"/>
          <w:szCs w:val="32"/>
          <w:lang w:eastAsia="zh-CN"/>
        </w:rPr>
        <w:t>分类界定申请</w:t>
      </w:r>
      <w:r>
        <w:rPr>
          <w:rFonts w:hint="default" w:ascii="Times New Roman" w:hAnsi="Times New Roman" w:eastAsia="仿宋_GB2312"/>
          <w:color w:val="auto"/>
          <w:sz w:val="32"/>
          <w:szCs w:val="32"/>
          <w:lang w:val="en"/>
        </w:rPr>
        <w:t>，</w:t>
      </w:r>
      <w:r>
        <w:rPr>
          <w:rFonts w:hint="eastAsia" w:ascii="Times New Roman" w:hAnsi="Times New Roman" w:eastAsia="仿宋_GB2312"/>
          <w:color w:val="auto"/>
          <w:sz w:val="32"/>
          <w:szCs w:val="32"/>
          <w:lang w:val="en" w:eastAsia="zh-CN"/>
        </w:rPr>
        <w:t>申请人在分类界定信息系统中提交至</w:t>
      </w:r>
      <w:r>
        <w:rPr>
          <w:rFonts w:hint="eastAsia" w:ascii="Times New Roman" w:hAnsi="Times New Roman" w:eastAsia="仿宋_GB2312"/>
          <w:color w:val="auto"/>
          <w:sz w:val="32"/>
          <w:szCs w:val="32"/>
        </w:rPr>
        <w:t>国家药监局医疗器械标准管理中心（以下简称器械标管中心）</w:t>
      </w:r>
      <w:r>
        <w:rPr>
          <w:rFonts w:hint="eastAsia" w:ascii="Times New Roman" w:hAnsi="Times New Roman" w:eastAsia="仿宋_GB2312"/>
          <w:color w:val="auto"/>
          <w:sz w:val="32"/>
          <w:szCs w:val="32"/>
          <w:lang w:eastAsia="zh-CN"/>
        </w:rPr>
        <w:t>。</w:t>
      </w:r>
    </w:p>
    <w:p>
      <w:pPr>
        <w:keepNext w:val="0"/>
        <w:keepLines w:val="0"/>
        <w:pageBreakBefore w:val="0"/>
        <w:widowControl w:val="0"/>
        <w:numPr>
          <w:ilvl w:val="-1"/>
          <w:numId w:val="0"/>
        </w:numPr>
        <w:kinsoku/>
        <w:wordWrap/>
        <w:overflowPunct w:val="0"/>
        <w:topLinePunct w:val="0"/>
        <w:autoSpaceDE/>
        <w:autoSpaceDN/>
        <w:bidi w:val="0"/>
        <w:snapToGrid w:val="0"/>
        <w:spacing w:line="590" w:lineRule="exact"/>
        <w:ind w:left="0" w:firstLine="640" w:firstLineChars="200"/>
        <w:jc w:val="both"/>
        <w:textAlignment w:val="auto"/>
        <w:rPr>
          <w:rFonts w:hint="default" w:ascii="Times New Roman" w:hAnsi="Times New Roman" w:eastAsia="仿宋_GB2312"/>
          <w:color w:val="auto"/>
          <w:sz w:val="32"/>
          <w:szCs w:val="32"/>
          <w:lang w:val="en" w:eastAsia="zh-CN"/>
        </w:rPr>
      </w:pPr>
      <w:r>
        <w:rPr>
          <w:rFonts w:hint="eastAsia" w:ascii="Times New Roman" w:hAnsi="Times New Roman" w:eastAsia="仿宋_GB2312"/>
          <w:color w:val="auto"/>
          <w:sz w:val="32"/>
          <w:szCs w:val="32"/>
          <w:lang w:eastAsia="zh-CN"/>
        </w:rPr>
        <w:t>器械标管中心</w:t>
      </w:r>
      <w:r>
        <w:rPr>
          <w:rFonts w:hint="default" w:ascii="Times New Roman" w:hAnsi="Times New Roman" w:eastAsia="仿宋_GB2312"/>
          <w:color w:val="auto"/>
          <w:sz w:val="32"/>
          <w:szCs w:val="32"/>
          <w:lang w:val="en"/>
        </w:rPr>
        <w:t>负责组织</w:t>
      </w:r>
      <w:r>
        <w:rPr>
          <w:rFonts w:hint="eastAsia" w:ascii="Times New Roman" w:hAnsi="Times New Roman" w:eastAsia="仿宋_GB2312"/>
          <w:color w:val="auto"/>
          <w:sz w:val="32"/>
          <w:szCs w:val="32"/>
        </w:rPr>
        <w:t>研究</w:t>
      </w:r>
      <w:r>
        <w:rPr>
          <w:rFonts w:hint="default" w:ascii="Times New Roman" w:hAnsi="Times New Roman" w:eastAsia="仿宋_GB2312"/>
          <w:color w:val="auto"/>
          <w:sz w:val="32"/>
          <w:szCs w:val="32"/>
          <w:lang w:val="en"/>
        </w:rPr>
        <w:t>明确分类界定意见</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通过分类界定信息系统将分类界定结果告知申请人</w:t>
      </w:r>
      <w:r>
        <w:rPr>
          <w:rFonts w:hint="eastAsia" w:ascii="Times New Roman" w:hAnsi="Times New Roman" w:eastAsia="仿宋_GB2312"/>
          <w:color w:val="auto"/>
          <w:sz w:val="32"/>
          <w:szCs w:val="32"/>
          <w:lang w:eastAsia="zh-CN"/>
        </w:rPr>
        <w:t>（告知书格式见附件</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并及时按程序调整《医疗器械分类目录》</w:t>
      </w:r>
      <w:r>
        <w:rPr>
          <w:rFonts w:hint="default" w:ascii="Times New Roman" w:hAnsi="Times New Roman" w:eastAsia="仿宋_GB2312"/>
          <w:color w:val="auto"/>
          <w:sz w:val="32"/>
          <w:szCs w:val="32"/>
          <w:lang w:val="en" w:eastAsia="zh-CN"/>
        </w:rPr>
        <w:t>。</w:t>
      </w:r>
    </w:p>
    <w:p>
      <w:pPr>
        <w:keepNext w:val="0"/>
        <w:keepLines w:val="0"/>
        <w:pageBreakBefore w:val="0"/>
        <w:widowControl w:val="0"/>
        <w:kinsoku/>
        <w:wordWrap/>
        <w:overflowPunct w:val="0"/>
        <w:topLinePunct w:val="0"/>
        <w:autoSpaceDE/>
        <w:autoSpaceDN/>
        <w:bidi w:val="0"/>
        <w:snapToGrid w:val="0"/>
        <w:spacing w:line="590" w:lineRule="exact"/>
        <w:ind w:left="0"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 w:eastAsia="zh-CN"/>
        </w:rPr>
        <w:t>（四）对于</w:t>
      </w:r>
      <w:r>
        <w:rPr>
          <w:rFonts w:hint="eastAsia" w:ascii="Times New Roman" w:hAnsi="Times New Roman" w:eastAsia="仿宋_GB2312"/>
          <w:color w:val="auto"/>
          <w:sz w:val="32"/>
          <w:szCs w:val="32"/>
          <w:lang w:eastAsia="zh-CN"/>
        </w:rPr>
        <w:t>管理类别存疑的境内医疗器械分类界定申请</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申请人</w:t>
      </w:r>
      <w:r>
        <w:rPr>
          <w:rFonts w:hint="eastAsia" w:ascii="Times New Roman" w:hAnsi="Times New Roman" w:eastAsia="仿宋_GB2312"/>
          <w:color w:val="auto"/>
          <w:sz w:val="32"/>
          <w:szCs w:val="32"/>
          <w:lang w:val="en" w:eastAsia="zh-CN"/>
        </w:rPr>
        <w:t>在分类界定信息系统中提交至所在地省</w:t>
      </w:r>
      <w:r>
        <w:rPr>
          <w:rFonts w:hint="eastAsia" w:ascii="Times New Roman" w:hAnsi="Times New Roman" w:eastAsia="仿宋_GB2312"/>
          <w:color w:val="auto"/>
          <w:sz w:val="32"/>
          <w:szCs w:val="32"/>
        </w:rPr>
        <w:t>级药品监督管理部门</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省级药品监督管理部门</w:t>
      </w:r>
      <w:r>
        <w:rPr>
          <w:rFonts w:hint="eastAsia" w:ascii="Times New Roman" w:hAnsi="Times New Roman" w:eastAsia="仿宋_GB2312"/>
          <w:color w:val="auto"/>
          <w:sz w:val="32"/>
          <w:szCs w:val="32"/>
          <w:lang w:eastAsia="zh-CN"/>
        </w:rPr>
        <w:t>负责</w:t>
      </w:r>
      <w:r>
        <w:rPr>
          <w:rFonts w:hint="eastAsia" w:ascii="Times New Roman" w:hAnsi="Times New Roman" w:eastAsia="仿宋_GB2312"/>
          <w:color w:val="auto"/>
          <w:sz w:val="32"/>
          <w:szCs w:val="32"/>
        </w:rPr>
        <w:t>对行政区域内申请人提出的产品分类界定申请进行审查，</w:t>
      </w:r>
      <w:r>
        <w:rPr>
          <w:rFonts w:hint="eastAsia" w:ascii="Times New Roman" w:hAnsi="Times New Roman" w:eastAsia="仿宋_GB2312"/>
          <w:color w:val="auto"/>
          <w:sz w:val="32"/>
          <w:szCs w:val="32"/>
          <w:lang w:eastAsia="zh-CN"/>
        </w:rPr>
        <w:t>根据</w:t>
      </w:r>
      <w:r>
        <w:rPr>
          <w:rFonts w:ascii="Times New Roman" w:hAnsi="Times New Roman" w:eastAsia="仿宋_GB2312"/>
          <w:color w:val="auto"/>
          <w:sz w:val="32"/>
          <w:szCs w:val="32"/>
        </w:rPr>
        <w:t>《分类规则》</w:t>
      </w:r>
      <w:r>
        <w:rPr>
          <w:rFonts w:ascii="Times New Roman" w:hAnsi="Times New Roman" w:eastAsia="仿宋_GB2312"/>
          <w:color w:val="auto"/>
          <w:sz w:val="32"/>
          <w:szCs w:val="32"/>
          <w:lang w:val="en"/>
        </w:rPr>
        <w:t>、</w:t>
      </w:r>
      <w:r>
        <w:rPr>
          <w:rFonts w:hint="eastAsia" w:ascii="Times New Roman" w:hAnsi="Times New Roman" w:eastAsia="仿宋_GB2312"/>
          <w:color w:val="auto"/>
          <w:sz w:val="32"/>
          <w:szCs w:val="32"/>
        </w:rPr>
        <w:t>相关分类界定指导原则及</w:t>
      </w:r>
      <w:r>
        <w:rPr>
          <w:rFonts w:ascii="Times New Roman" w:hAnsi="Times New Roman" w:eastAsia="仿宋_GB2312"/>
          <w:color w:val="auto"/>
          <w:sz w:val="32"/>
          <w:szCs w:val="32"/>
        </w:rPr>
        <w:t>《分类目录》</w:t>
      </w:r>
      <w:r>
        <w:rPr>
          <w:rFonts w:hint="eastAsia" w:ascii="Times New Roman" w:hAnsi="Times New Roman" w:eastAsia="仿宋_GB2312"/>
          <w:color w:val="auto"/>
          <w:sz w:val="32"/>
          <w:szCs w:val="32"/>
        </w:rPr>
        <w:t>等</w:t>
      </w:r>
      <w:r>
        <w:rPr>
          <w:rFonts w:hint="eastAsia" w:ascii="Times New Roman" w:hAnsi="Times New Roman" w:eastAsia="仿宋_GB2312"/>
          <w:color w:val="auto"/>
          <w:sz w:val="32"/>
          <w:szCs w:val="32"/>
          <w:lang w:eastAsia="zh-CN"/>
        </w:rPr>
        <w:t>能够明确</w:t>
      </w:r>
      <w:r>
        <w:rPr>
          <w:rFonts w:hint="eastAsia" w:ascii="Times New Roman" w:hAnsi="Times New Roman" w:eastAsia="仿宋_GB2312"/>
          <w:color w:val="auto"/>
          <w:sz w:val="32"/>
          <w:szCs w:val="32"/>
        </w:rPr>
        <w:t>判定产品管理类别</w:t>
      </w:r>
      <w:r>
        <w:rPr>
          <w:rFonts w:hint="eastAsia" w:ascii="Times New Roman" w:hAnsi="Times New Roman" w:eastAsia="仿宋_GB2312"/>
          <w:color w:val="auto"/>
          <w:sz w:val="32"/>
          <w:szCs w:val="32"/>
          <w:lang w:eastAsia="zh-CN"/>
        </w:rPr>
        <w:t>的，</w:t>
      </w:r>
      <w:r>
        <w:rPr>
          <w:rFonts w:hint="eastAsia" w:ascii="Times New Roman" w:hAnsi="Times New Roman" w:eastAsia="仿宋_GB2312"/>
          <w:color w:val="auto"/>
          <w:sz w:val="32"/>
          <w:szCs w:val="32"/>
        </w:rPr>
        <w:t>通过分类界定信息系统将分类界定结果告知申请人</w:t>
      </w:r>
      <w:r>
        <w:rPr>
          <w:rFonts w:hint="eastAsia" w:ascii="Times New Roman" w:hAnsi="Times New Roman" w:eastAsia="仿宋_GB2312"/>
          <w:color w:val="auto"/>
          <w:sz w:val="32"/>
          <w:szCs w:val="32"/>
          <w:lang w:eastAsia="zh-CN"/>
        </w:rPr>
        <w:t>（告知书格式见附件</w:t>
      </w: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lang w:eastAsia="zh-CN"/>
        </w:rPr>
        <w:t>）；难以明确</w:t>
      </w:r>
      <w:r>
        <w:rPr>
          <w:rFonts w:hint="eastAsia" w:ascii="Times New Roman" w:hAnsi="Times New Roman" w:eastAsia="仿宋_GB2312"/>
          <w:color w:val="auto"/>
          <w:sz w:val="32"/>
          <w:szCs w:val="32"/>
        </w:rPr>
        <w:t>判定产品管理类别</w:t>
      </w:r>
      <w:r>
        <w:rPr>
          <w:rFonts w:hint="eastAsia" w:ascii="Times New Roman" w:hAnsi="Times New Roman" w:eastAsia="仿宋_GB2312"/>
          <w:color w:val="auto"/>
          <w:sz w:val="32"/>
          <w:szCs w:val="32"/>
          <w:lang w:eastAsia="zh-CN"/>
        </w:rPr>
        <w:t>的，</w:t>
      </w:r>
      <w:r>
        <w:rPr>
          <w:rFonts w:hint="eastAsia" w:ascii="Times New Roman" w:hAnsi="Times New Roman" w:eastAsia="仿宋_GB2312"/>
          <w:color w:val="auto"/>
          <w:sz w:val="32"/>
          <w:szCs w:val="32"/>
        </w:rPr>
        <w:t>提出预分类界定意见</w:t>
      </w:r>
      <w:r>
        <w:rPr>
          <w:rFonts w:hint="eastAsia" w:ascii="Times New Roman" w:hAnsi="Times New Roman" w:eastAsia="仿宋_GB2312"/>
          <w:color w:val="auto"/>
          <w:sz w:val="32"/>
          <w:szCs w:val="32"/>
          <w:lang w:eastAsia="zh-CN"/>
        </w:rPr>
        <w:t>（预分类界定意见</w:t>
      </w:r>
      <w:r>
        <w:rPr>
          <w:rFonts w:ascii="Times New Roman" w:hAnsi="Times New Roman" w:eastAsia="仿宋_GB2312"/>
          <w:color w:val="auto"/>
          <w:sz w:val="32"/>
          <w:szCs w:val="32"/>
        </w:rPr>
        <w:t>格式</w:t>
      </w:r>
      <w:r>
        <w:rPr>
          <w:rFonts w:hint="eastAsia" w:ascii="Times New Roman" w:hAnsi="Times New Roman" w:eastAsia="仿宋_GB2312"/>
          <w:color w:val="auto"/>
          <w:sz w:val="32"/>
          <w:szCs w:val="32"/>
          <w:lang w:eastAsia="zh-CN"/>
        </w:rPr>
        <w:t>见附件</w:t>
      </w: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lang w:eastAsia="zh-CN"/>
        </w:rPr>
        <w:t>）并</w:t>
      </w:r>
      <w:r>
        <w:rPr>
          <w:rFonts w:hint="eastAsia" w:ascii="Times New Roman" w:hAnsi="Times New Roman" w:eastAsia="仿宋_GB2312"/>
          <w:color w:val="auto"/>
          <w:sz w:val="32"/>
          <w:szCs w:val="32"/>
        </w:rPr>
        <w:t>通过分类界定信息系统</w:t>
      </w:r>
      <w:r>
        <w:rPr>
          <w:rFonts w:hint="eastAsia" w:ascii="Times New Roman" w:hAnsi="Times New Roman" w:eastAsia="仿宋_GB2312"/>
          <w:color w:val="auto"/>
          <w:sz w:val="32"/>
          <w:szCs w:val="32"/>
          <w:lang w:val="en-US" w:eastAsia="zh-CN"/>
        </w:rPr>
        <w:t>报</w:t>
      </w:r>
      <w:r>
        <w:rPr>
          <w:rFonts w:hint="eastAsia" w:ascii="Times New Roman" w:hAnsi="Times New Roman" w:eastAsia="仿宋_GB2312"/>
          <w:color w:val="auto"/>
          <w:sz w:val="32"/>
          <w:szCs w:val="32"/>
        </w:rPr>
        <w:t>器械标管中心。</w:t>
      </w:r>
    </w:p>
    <w:p>
      <w:pPr>
        <w:keepNext w:val="0"/>
        <w:keepLines w:val="0"/>
        <w:pageBreakBefore w:val="0"/>
        <w:widowControl w:val="0"/>
        <w:kinsoku/>
        <w:wordWrap/>
        <w:overflowPunct w:val="0"/>
        <w:topLinePunct w:val="0"/>
        <w:autoSpaceDE/>
        <w:autoSpaceDN/>
        <w:bidi w:val="0"/>
        <w:snapToGrid w:val="0"/>
        <w:spacing w:line="590" w:lineRule="exact"/>
        <w:ind w:left="0"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器械标管中心</w:t>
      </w:r>
      <w:r>
        <w:rPr>
          <w:rFonts w:ascii="Times New Roman" w:hAnsi="Times New Roman" w:eastAsia="仿宋_GB2312"/>
          <w:color w:val="auto"/>
          <w:sz w:val="32"/>
          <w:szCs w:val="32"/>
        </w:rPr>
        <w:t>与</w:t>
      </w:r>
      <w:r>
        <w:rPr>
          <w:rFonts w:hint="eastAsia" w:ascii="Times New Roman" w:hAnsi="Times New Roman" w:eastAsia="仿宋_GB2312"/>
          <w:color w:val="auto"/>
          <w:sz w:val="32"/>
          <w:szCs w:val="32"/>
        </w:rPr>
        <w:t>国家药监局</w:t>
      </w:r>
      <w:r>
        <w:rPr>
          <w:rFonts w:ascii="Times New Roman" w:hAnsi="Times New Roman" w:eastAsia="仿宋_GB2312"/>
          <w:color w:val="auto"/>
          <w:sz w:val="32"/>
          <w:szCs w:val="32"/>
        </w:rPr>
        <w:t>医疗器械技术审评中心</w:t>
      </w:r>
      <w:r>
        <w:rPr>
          <w:rFonts w:hint="eastAsia" w:ascii="Times New Roman" w:hAnsi="Times New Roman" w:eastAsia="仿宋_GB2312"/>
          <w:color w:val="auto"/>
          <w:sz w:val="32"/>
          <w:szCs w:val="32"/>
        </w:rPr>
        <w:t>（以下简称器审中心）</w:t>
      </w:r>
      <w:r>
        <w:rPr>
          <w:rFonts w:ascii="Times New Roman" w:hAnsi="Times New Roman" w:eastAsia="仿宋_GB2312"/>
          <w:color w:val="auto"/>
          <w:sz w:val="32"/>
          <w:szCs w:val="32"/>
        </w:rPr>
        <w:t>、省级药品监督管理部门建立分类沟通协调机制，统筹指导省级药品监督管理部门分类界定工作</w:t>
      </w:r>
      <w:r>
        <w:rPr>
          <w:rFonts w:hint="eastAsia" w:ascii="Times New Roman" w:hAnsi="Times New Roman" w:eastAsia="仿宋_GB2312"/>
          <w:color w:val="auto"/>
          <w:sz w:val="32"/>
          <w:szCs w:val="32"/>
        </w:rPr>
        <w:t>。</w:t>
      </w:r>
    </w:p>
    <w:p>
      <w:pPr>
        <w:keepNext w:val="0"/>
        <w:keepLines w:val="0"/>
        <w:pageBreakBefore w:val="0"/>
        <w:widowControl w:val="0"/>
        <w:numPr>
          <w:ilvl w:val="-1"/>
          <w:numId w:val="0"/>
        </w:numPr>
        <w:kinsoku/>
        <w:wordWrap/>
        <w:overflowPunct w:val="0"/>
        <w:topLinePunct w:val="0"/>
        <w:autoSpaceDE/>
        <w:autoSpaceDN/>
        <w:bidi w:val="0"/>
        <w:snapToGrid w:val="0"/>
        <w:spacing w:line="590" w:lineRule="exact"/>
        <w:ind w:left="0"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 w:eastAsia="zh-CN"/>
        </w:rPr>
        <w:t>对于</w:t>
      </w:r>
      <w:r>
        <w:rPr>
          <w:rFonts w:hint="eastAsia" w:ascii="Times New Roman" w:hAnsi="Times New Roman" w:eastAsia="仿宋_GB2312"/>
          <w:color w:val="auto"/>
          <w:sz w:val="32"/>
          <w:szCs w:val="32"/>
          <w:lang w:eastAsia="zh-CN"/>
        </w:rPr>
        <w:t>管理类别存疑的进口</w:t>
      </w:r>
      <w:r>
        <w:rPr>
          <w:rFonts w:hint="eastAsia" w:ascii="Times New Roman" w:hAnsi="Times New Roman" w:eastAsia="仿宋_GB2312"/>
          <w:color w:val="auto"/>
          <w:sz w:val="32"/>
          <w:szCs w:val="32"/>
        </w:rPr>
        <w:t>及港、澳、台</w:t>
      </w:r>
      <w:r>
        <w:rPr>
          <w:rFonts w:hint="eastAsia" w:ascii="Times New Roman" w:hAnsi="Times New Roman" w:eastAsia="仿宋_GB2312"/>
          <w:color w:val="auto"/>
          <w:sz w:val="32"/>
          <w:szCs w:val="32"/>
          <w:lang w:eastAsia="zh-CN"/>
        </w:rPr>
        <w:t>医疗器械分类界定申请</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申请人</w:t>
      </w:r>
      <w:r>
        <w:rPr>
          <w:rFonts w:hint="eastAsia" w:ascii="Times New Roman" w:hAnsi="Times New Roman" w:eastAsia="仿宋_GB2312"/>
          <w:color w:val="auto"/>
          <w:sz w:val="32"/>
          <w:szCs w:val="32"/>
          <w:lang w:val="en" w:eastAsia="zh-CN"/>
        </w:rPr>
        <w:t>在分类界定信息系统中提交至</w:t>
      </w:r>
      <w:r>
        <w:rPr>
          <w:rFonts w:hint="eastAsia" w:ascii="Times New Roman" w:hAnsi="Times New Roman" w:eastAsia="仿宋_GB2312"/>
          <w:color w:val="auto"/>
          <w:sz w:val="32"/>
          <w:szCs w:val="32"/>
        </w:rPr>
        <w:t>器械标管中心</w:t>
      </w:r>
      <w:r>
        <w:rPr>
          <w:rFonts w:hint="eastAsia" w:ascii="Times New Roman" w:hAnsi="Times New Roman" w:eastAsia="仿宋_GB2312"/>
          <w:color w:val="auto"/>
          <w:sz w:val="32"/>
          <w:szCs w:val="32"/>
          <w:lang w:eastAsia="zh-CN"/>
        </w:rPr>
        <w:t>。</w:t>
      </w:r>
    </w:p>
    <w:p>
      <w:pPr>
        <w:keepNext w:val="0"/>
        <w:keepLines w:val="0"/>
        <w:pageBreakBefore w:val="0"/>
        <w:widowControl w:val="0"/>
        <w:numPr>
          <w:ilvl w:val="-1"/>
          <w:numId w:val="0"/>
        </w:numPr>
        <w:kinsoku/>
        <w:wordWrap/>
        <w:overflowPunct w:val="0"/>
        <w:topLinePunct w:val="0"/>
        <w:autoSpaceDE/>
        <w:autoSpaceDN/>
        <w:bidi w:val="0"/>
        <w:snapToGrid w:val="0"/>
        <w:spacing w:line="590" w:lineRule="exact"/>
        <w:ind w:left="0" w:firstLine="640" w:firstLineChars="200"/>
        <w:jc w:val="both"/>
        <w:textAlignment w:val="auto"/>
        <w:rPr>
          <w:rFonts w:hint="default" w:ascii="Times New Roman" w:hAnsi="Times New Roman" w:eastAsia="仿宋_GB2312"/>
          <w:color w:val="auto"/>
          <w:sz w:val="32"/>
          <w:szCs w:val="32"/>
          <w:lang w:val="en" w:eastAsia="zh-CN"/>
        </w:rPr>
      </w:pPr>
      <w:r>
        <w:rPr>
          <w:rFonts w:ascii="Times New Roman" w:hAnsi="Times New Roman" w:eastAsia="仿宋_GB2312"/>
          <w:color w:val="auto"/>
          <w:sz w:val="32"/>
          <w:szCs w:val="32"/>
        </w:rPr>
        <w:t>器械标管中心</w:t>
      </w:r>
      <w:r>
        <w:rPr>
          <w:rFonts w:hint="eastAsia" w:ascii="Times New Roman" w:hAnsi="Times New Roman" w:eastAsia="仿宋_GB2312"/>
          <w:color w:val="auto"/>
          <w:sz w:val="32"/>
          <w:szCs w:val="32"/>
        </w:rPr>
        <w:t>负责对</w:t>
      </w:r>
      <w:r>
        <w:rPr>
          <w:rFonts w:hint="eastAsia" w:ascii="Times New Roman" w:hAnsi="Times New Roman" w:eastAsia="仿宋_GB2312"/>
          <w:color w:val="auto"/>
          <w:sz w:val="32"/>
          <w:szCs w:val="32"/>
          <w:lang w:eastAsia="zh-CN"/>
        </w:rPr>
        <w:t>管理类别存疑的</w:t>
      </w:r>
      <w:r>
        <w:rPr>
          <w:rFonts w:hint="eastAsia" w:ascii="Times New Roman" w:hAnsi="Times New Roman" w:eastAsia="仿宋_GB2312"/>
          <w:color w:val="auto"/>
          <w:sz w:val="32"/>
          <w:szCs w:val="32"/>
        </w:rPr>
        <w:t>进口及港、澳、台产品的分类界定申请和省级药品监督管理部门出具预分类界定意见的</w:t>
      </w:r>
      <w:r>
        <w:rPr>
          <w:rFonts w:hint="eastAsia" w:ascii="Times New Roman" w:hAnsi="Times New Roman" w:eastAsia="仿宋_GB2312"/>
          <w:color w:val="auto"/>
          <w:sz w:val="32"/>
          <w:szCs w:val="32"/>
          <w:lang w:eastAsia="zh-CN"/>
        </w:rPr>
        <w:t>国产医疗器械</w:t>
      </w:r>
      <w:r>
        <w:rPr>
          <w:rFonts w:hint="eastAsia" w:ascii="Times New Roman" w:hAnsi="Times New Roman" w:eastAsia="仿宋_GB2312"/>
          <w:color w:val="auto"/>
          <w:sz w:val="32"/>
          <w:szCs w:val="32"/>
        </w:rPr>
        <w:t>分类界定申请组织研究</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lang w:val="en"/>
        </w:rPr>
        <w:t>明确分类界定意见</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通过分类界定信息系统将分类界定结果告知申请人</w:t>
      </w:r>
      <w:r>
        <w:rPr>
          <w:rFonts w:hint="default" w:ascii="Times New Roman" w:hAnsi="Times New Roman" w:eastAsia="仿宋_GB2312"/>
          <w:color w:val="auto"/>
          <w:sz w:val="32"/>
          <w:szCs w:val="32"/>
          <w:lang w:val="en" w:eastAsia="zh-CN"/>
        </w:rPr>
        <w:t>。</w:t>
      </w:r>
    </w:p>
    <w:p>
      <w:pPr>
        <w:keepNext w:val="0"/>
        <w:keepLines w:val="0"/>
        <w:pageBreakBefore w:val="0"/>
        <w:widowControl w:val="0"/>
        <w:numPr>
          <w:ilvl w:val="-1"/>
          <w:numId w:val="0"/>
        </w:numPr>
        <w:kinsoku/>
        <w:wordWrap/>
        <w:overflowPunct w:val="0"/>
        <w:topLinePunct w:val="0"/>
        <w:autoSpaceDE/>
        <w:autoSpaceDN/>
        <w:bidi w:val="0"/>
        <w:snapToGrid w:val="0"/>
        <w:spacing w:line="590" w:lineRule="exact"/>
        <w:ind w:left="0"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（五）</w:t>
      </w:r>
      <w:r>
        <w:rPr>
          <w:rFonts w:hint="eastAsia" w:ascii="Times New Roman" w:hAnsi="Times New Roman" w:eastAsia="仿宋_GB2312"/>
          <w:color w:val="auto"/>
          <w:sz w:val="32"/>
          <w:szCs w:val="32"/>
          <w:lang w:eastAsia="zh-CN"/>
        </w:rPr>
        <w:t>对于分类界定中</w:t>
      </w:r>
      <w:r>
        <w:rPr>
          <w:rFonts w:hint="eastAsia" w:ascii="Times New Roman" w:hAnsi="Times New Roman" w:eastAsia="仿宋_GB2312"/>
          <w:color w:val="auto"/>
          <w:sz w:val="32"/>
          <w:szCs w:val="32"/>
        </w:rPr>
        <w:t>涉及产品管理政策调整、管理属性交叉等问题，</w:t>
      </w:r>
      <w:r>
        <w:rPr>
          <w:rFonts w:hint="eastAsia" w:ascii="Times New Roman" w:hAnsi="Times New Roman" w:eastAsia="仿宋_GB2312"/>
          <w:color w:val="auto"/>
          <w:sz w:val="32"/>
          <w:szCs w:val="32"/>
          <w:lang w:eastAsia="zh-CN"/>
        </w:rPr>
        <w:t>器械标管中心提出分类界定意见和过渡期建议，</w:t>
      </w:r>
      <w:r>
        <w:rPr>
          <w:rFonts w:hint="eastAsia" w:ascii="Times New Roman" w:hAnsi="Times New Roman" w:eastAsia="仿宋_GB2312"/>
          <w:color w:val="auto"/>
          <w:sz w:val="32"/>
          <w:szCs w:val="32"/>
        </w:rPr>
        <w:t>报送国家药监局</w:t>
      </w:r>
      <w:r>
        <w:rPr>
          <w:rFonts w:hint="eastAsia" w:ascii="Times New Roman" w:hAnsi="Times New Roman" w:eastAsia="仿宋_GB2312"/>
          <w:color w:val="auto"/>
          <w:sz w:val="32"/>
          <w:szCs w:val="32"/>
          <w:lang w:eastAsia="zh-CN"/>
        </w:rPr>
        <w:t>。国</w:t>
      </w:r>
      <w:r>
        <w:rPr>
          <w:rFonts w:hint="eastAsia" w:ascii="Times New Roman" w:hAnsi="Times New Roman" w:eastAsia="仿宋_GB2312"/>
          <w:color w:val="auto"/>
          <w:sz w:val="32"/>
          <w:szCs w:val="32"/>
          <w:lang w:val="en-US" w:eastAsia="zh-CN"/>
        </w:rPr>
        <w:t>家药监局对器械标管中心上报的</w:t>
      </w:r>
      <w:r>
        <w:rPr>
          <w:rFonts w:hint="eastAsia" w:ascii="Times New Roman" w:hAnsi="Times New Roman" w:eastAsia="仿宋_GB2312"/>
          <w:color w:val="auto"/>
          <w:sz w:val="32"/>
          <w:szCs w:val="32"/>
          <w:lang w:eastAsia="zh-CN"/>
        </w:rPr>
        <w:t>分类界定意见和过渡期建议</w:t>
      </w:r>
      <w:r>
        <w:rPr>
          <w:rFonts w:hint="eastAsia" w:ascii="Times New Roman" w:hAnsi="Times New Roman" w:eastAsia="仿宋_GB2312"/>
          <w:color w:val="auto"/>
          <w:sz w:val="32"/>
          <w:szCs w:val="32"/>
        </w:rPr>
        <w:t>审定</w:t>
      </w:r>
      <w:r>
        <w:rPr>
          <w:rFonts w:hint="eastAsia" w:ascii="Times New Roman" w:hAnsi="Times New Roman" w:eastAsia="仿宋_GB2312"/>
          <w:color w:val="auto"/>
          <w:sz w:val="32"/>
          <w:szCs w:val="32"/>
          <w:lang w:val="en-US" w:eastAsia="zh-CN"/>
        </w:rPr>
        <w:t>同意</w:t>
      </w:r>
      <w:r>
        <w:rPr>
          <w:rFonts w:hint="eastAsia" w:ascii="Times New Roman" w:hAnsi="Times New Roman" w:eastAsia="仿宋_GB2312"/>
          <w:color w:val="auto"/>
          <w:sz w:val="32"/>
          <w:szCs w:val="32"/>
        </w:rPr>
        <w:t>后，</w:t>
      </w:r>
      <w:r>
        <w:rPr>
          <w:rFonts w:hint="eastAsia" w:ascii="Times New Roman" w:hAnsi="Times New Roman" w:eastAsia="仿宋_GB2312"/>
          <w:color w:val="auto"/>
          <w:sz w:val="32"/>
          <w:szCs w:val="32"/>
          <w:lang w:val="en-US" w:eastAsia="zh-CN"/>
        </w:rPr>
        <w:t>反馈器械标管中心。器械标管中心</w:t>
      </w:r>
      <w:r>
        <w:rPr>
          <w:rFonts w:hint="eastAsia" w:ascii="Times New Roman" w:hAnsi="Times New Roman" w:eastAsia="仿宋_GB2312"/>
          <w:color w:val="auto"/>
          <w:sz w:val="32"/>
          <w:szCs w:val="32"/>
        </w:rPr>
        <w:t>通过分类界定信息系统将分类界定结果告知申请人。</w:t>
      </w:r>
    </w:p>
    <w:p>
      <w:pPr>
        <w:keepNext w:val="0"/>
        <w:keepLines w:val="0"/>
        <w:pageBreakBefore w:val="0"/>
        <w:widowControl w:val="0"/>
        <w:kinsoku/>
        <w:wordWrap/>
        <w:overflowPunct w:val="0"/>
        <w:topLinePunct w:val="0"/>
        <w:autoSpaceDE/>
        <w:autoSpaceDN/>
        <w:bidi w:val="0"/>
        <w:spacing w:line="590" w:lineRule="exact"/>
        <w:ind w:left="0" w:firstLine="640" w:firstLineChars="200"/>
        <w:jc w:val="both"/>
        <w:textAlignment w:val="auto"/>
        <w:rPr>
          <w:rFonts w:ascii="Times New Roman" w:hAnsi="Times New Roman" w:eastAsia="黑体"/>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六</w:t>
      </w:r>
      <w:r>
        <w:rPr>
          <w:rFonts w:hint="eastAsia" w:ascii="Times New Roman" w:hAnsi="Times New Roman" w:eastAsia="仿宋_GB2312"/>
          <w:color w:val="auto"/>
          <w:sz w:val="32"/>
          <w:szCs w:val="32"/>
        </w:rPr>
        <w:t>）医疗器械分类技术委员会按照《</w:t>
      </w:r>
      <w:r>
        <w:rPr>
          <w:rFonts w:ascii="Times New Roman" w:hAnsi="Times New Roman" w:eastAsia="仿宋_GB2312"/>
          <w:color w:val="auto"/>
          <w:sz w:val="32"/>
          <w:szCs w:val="32"/>
        </w:rPr>
        <w:t>国家药品监督管理局医疗器械分类技术委员会工作规则</w:t>
      </w:r>
      <w:r>
        <w:rPr>
          <w:rFonts w:hint="eastAsia" w:ascii="Times New Roman" w:hAnsi="Times New Roman" w:eastAsia="仿宋_GB2312"/>
          <w:color w:val="auto"/>
          <w:sz w:val="32"/>
          <w:szCs w:val="32"/>
        </w:rPr>
        <w:t>》开展分类及相关工作，为医疗器械分类管理工作提供技术支撑。</w:t>
      </w:r>
    </w:p>
    <w:p>
      <w:pPr>
        <w:keepNext w:val="0"/>
        <w:keepLines w:val="0"/>
        <w:pageBreakBefore w:val="0"/>
        <w:widowControl w:val="0"/>
        <w:kinsoku/>
        <w:wordWrap/>
        <w:overflowPunct w:val="0"/>
        <w:topLinePunct w:val="0"/>
        <w:autoSpaceDE/>
        <w:autoSpaceDN/>
        <w:bidi w:val="0"/>
        <w:snapToGrid w:val="0"/>
        <w:spacing w:line="590" w:lineRule="exact"/>
        <w:ind w:left="0"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七</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申请人、各省级药品监督管理部门、各级医疗器械技术审评部门等</w:t>
      </w:r>
      <w:r>
        <w:rPr>
          <w:rFonts w:hint="eastAsia" w:ascii="Times New Roman" w:hAnsi="Times New Roman" w:eastAsia="仿宋_GB2312"/>
          <w:color w:val="auto"/>
          <w:sz w:val="32"/>
          <w:szCs w:val="32"/>
        </w:rPr>
        <w:t>可登录分类界定信息系统</w:t>
      </w:r>
      <w:r>
        <w:rPr>
          <w:rFonts w:ascii="Times New Roman" w:hAnsi="Times New Roman" w:eastAsia="仿宋_GB2312"/>
          <w:color w:val="auto"/>
          <w:sz w:val="32"/>
          <w:szCs w:val="32"/>
        </w:rPr>
        <w:t>查询</w:t>
      </w:r>
      <w:r>
        <w:rPr>
          <w:rFonts w:hint="eastAsia" w:ascii="Times New Roman" w:hAnsi="Times New Roman" w:eastAsia="仿宋_GB2312"/>
          <w:color w:val="auto"/>
          <w:sz w:val="32"/>
          <w:szCs w:val="32"/>
          <w:lang w:eastAsia="zh-CN"/>
        </w:rPr>
        <w:t>分类界定结果</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分类界定信息系统告知的</w:t>
      </w:r>
      <w:r>
        <w:rPr>
          <w:rFonts w:ascii="Times New Roman" w:hAnsi="Times New Roman" w:eastAsia="仿宋_GB2312"/>
          <w:color w:val="auto"/>
          <w:sz w:val="32"/>
          <w:szCs w:val="32"/>
        </w:rPr>
        <w:t>产品分类界定结果</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仅供申请医疗器械注册或者</w:t>
      </w:r>
      <w:r>
        <w:rPr>
          <w:rFonts w:hint="eastAsia" w:ascii="Times New Roman" w:hAnsi="Times New Roman" w:eastAsia="仿宋_GB2312"/>
          <w:color w:val="auto"/>
          <w:sz w:val="32"/>
          <w:szCs w:val="32"/>
        </w:rPr>
        <w:t>办理</w:t>
      </w:r>
      <w:r>
        <w:rPr>
          <w:rFonts w:ascii="Times New Roman" w:hAnsi="Times New Roman" w:eastAsia="仿宋_GB2312"/>
          <w:color w:val="auto"/>
          <w:sz w:val="32"/>
          <w:szCs w:val="32"/>
        </w:rPr>
        <w:t>备案时使用</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若注册或者备案产品资料中的相关内容与分类</w:t>
      </w:r>
      <w:r>
        <w:rPr>
          <w:rFonts w:hint="eastAsia" w:ascii="Times New Roman" w:hAnsi="Times New Roman" w:eastAsia="仿宋_GB2312"/>
          <w:color w:val="auto"/>
          <w:sz w:val="32"/>
          <w:szCs w:val="32"/>
        </w:rPr>
        <w:t>界定</w:t>
      </w:r>
      <w:r>
        <w:rPr>
          <w:rFonts w:ascii="Times New Roman" w:hAnsi="Times New Roman" w:eastAsia="仿宋_GB2312"/>
          <w:color w:val="auto"/>
          <w:sz w:val="32"/>
          <w:szCs w:val="32"/>
        </w:rPr>
        <w:t>申请资料</w:t>
      </w:r>
      <w:r>
        <w:rPr>
          <w:rFonts w:hint="eastAsia" w:ascii="Times New Roman" w:hAnsi="Times New Roman" w:eastAsia="仿宋_GB2312"/>
          <w:color w:val="auto"/>
          <w:sz w:val="32"/>
          <w:szCs w:val="32"/>
          <w:lang w:eastAsia="zh-CN"/>
        </w:rPr>
        <w:t>或者分类界定申请告知书</w:t>
      </w:r>
      <w:r>
        <w:rPr>
          <w:rFonts w:ascii="Times New Roman" w:hAnsi="Times New Roman" w:eastAsia="仿宋_GB2312"/>
          <w:color w:val="auto"/>
          <w:sz w:val="32"/>
          <w:szCs w:val="32"/>
        </w:rPr>
        <w:t>不一致，则分类界定结果不适用。</w:t>
      </w:r>
    </w:p>
    <w:p>
      <w:pPr>
        <w:keepNext w:val="0"/>
        <w:keepLines w:val="0"/>
        <w:pageBreakBefore w:val="0"/>
        <w:widowControl w:val="0"/>
        <w:kinsoku/>
        <w:wordWrap/>
        <w:overflowPunct w:val="0"/>
        <w:topLinePunct w:val="0"/>
        <w:autoSpaceDE/>
        <w:autoSpaceDN/>
        <w:bidi w:val="0"/>
        <w:snapToGrid w:val="0"/>
        <w:spacing w:line="590" w:lineRule="exact"/>
        <w:ind w:left="0"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申请人若对其</w:t>
      </w:r>
      <w:r>
        <w:rPr>
          <w:rFonts w:hint="eastAsia" w:ascii="Times New Roman" w:hAnsi="Times New Roman" w:eastAsia="仿宋_GB2312"/>
          <w:color w:val="auto"/>
          <w:sz w:val="32"/>
          <w:szCs w:val="32"/>
          <w:lang w:eastAsia="zh-CN"/>
        </w:rPr>
        <w:t>产品</w:t>
      </w:r>
      <w:r>
        <w:rPr>
          <w:rFonts w:hint="eastAsia" w:ascii="Times New Roman" w:hAnsi="Times New Roman" w:eastAsia="仿宋_GB2312"/>
          <w:color w:val="auto"/>
          <w:sz w:val="32"/>
          <w:szCs w:val="32"/>
        </w:rPr>
        <w:t>分类界定结果有异议或者疑问，可与分类界定结果告知部门沟通。若仍有异议，申请人可进一步完善资料后重新提交分类界定申请。</w:t>
      </w:r>
    </w:p>
    <w:p>
      <w:pPr>
        <w:keepNext w:val="0"/>
        <w:keepLines w:val="0"/>
        <w:pageBreakBefore w:val="0"/>
        <w:widowControl w:val="0"/>
        <w:kinsoku/>
        <w:wordWrap/>
        <w:overflowPunct w:val="0"/>
        <w:topLinePunct w:val="0"/>
        <w:autoSpaceDE/>
        <w:autoSpaceDN/>
        <w:bidi w:val="0"/>
        <w:snapToGrid w:val="0"/>
        <w:spacing w:line="590" w:lineRule="exact"/>
        <w:ind w:left="0" w:firstLine="640" w:firstLineChars="200"/>
        <w:jc w:val="both"/>
        <w:textAlignment w:val="auto"/>
        <w:rPr>
          <w:rFonts w:ascii="Times New Roman" w:hAnsi="Times New Roman" w:eastAsia="黑体"/>
          <w:color w:val="auto"/>
          <w:sz w:val="32"/>
          <w:szCs w:val="32"/>
        </w:rPr>
      </w:pPr>
      <w:r>
        <w:rPr>
          <w:rFonts w:hint="eastAsia" w:ascii="黑体" w:hAnsi="黑体" w:eastAsia="黑体" w:cs="黑体"/>
          <w:color w:val="auto"/>
          <w:sz w:val="32"/>
          <w:szCs w:val="32"/>
        </w:rPr>
        <w:t>二</w:t>
      </w:r>
      <w:r>
        <w:rPr>
          <w:rFonts w:hint="eastAsia" w:ascii="Times New Roman" w:hAnsi="Times New Roman" w:eastAsia="黑体"/>
          <w:color w:val="auto"/>
          <w:sz w:val="32"/>
          <w:szCs w:val="32"/>
        </w:rPr>
        <w:t>、</w:t>
      </w:r>
      <w:r>
        <w:rPr>
          <w:rFonts w:hint="eastAsia" w:ascii="Times New Roman" w:hAnsi="Times New Roman" w:eastAsia="黑体"/>
          <w:color w:val="auto"/>
          <w:sz w:val="32"/>
          <w:szCs w:val="32"/>
          <w:lang w:eastAsia="zh-CN"/>
        </w:rPr>
        <w:t>其他</w:t>
      </w:r>
      <w:r>
        <w:rPr>
          <w:rFonts w:hint="eastAsia" w:ascii="Times New Roman" w:hAnsi="Times New Roman" w:eastAsia="黑体"/>
          <w:color w:val="auto"/>
          <w:sz w:val="32"/>
          <w:szCs w:val="32"/>
        </w:rPr>
        <w:t>涉及</w:t>
      </w:r>
      <w:r>
        <w:rPr>
          <w:rFonts w:hint="eastAsia" w:ascii="Times New Roman" w:hAnsi="Times New Roman" w:eastAsia="黑体"/>
          <w:color w:val="auto"/>
          <w:sz w:val="32"/>
          <w:szCs w:val="32"/>
          <w:lang w:eastAsia="zh-CN"/>
        </w:rPr>
        <w:t>产品分类的</w:t>
      </w:r>
      <w:r>
        <w:rPr>
          <w:rFonts w:hint="eastAsia" w:ascii="Times New Roman" w:hAnsi="Times New Roman" w:eastAsia="黑体"/>
          <w:color w:val="auto"/>
          <w:sz w:val="32"/>
          <w:szCs w:val="32"/>
        </w:rPr>
        <w:t>情况</w:t>
      </w:r>
    </w:p>
    <w:p>
      <w:pPr>
        <w:keepNext w:val="0"/>
        <w:keepLines w:val="0"/>
        <w:pageBreakBefore w:val="0"/>
        <w:widowControl w:val="0"/>
        <w:kinsoku/>
        <w:wordWrap/>
        <w:overflowPunct w:val="0"/>
        <w:topLinePunct w:val="0"/>
        <w:autoSpaceDE/>
        <w:autoSpaceDN/>
        <w:bidi w:val="0"/>
        <w:snapToGrid w:val="0"/>
        <w:spacing w:line="590" w:lineRule="exact"/>
        <w:ind w:left="0"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八</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产品备案或者产品</w:t>
      </w:r>
      <w:r>
        <w:rPr>
          <w:rFonts w:hint="eastAsia" w:ascii="Times New Roman" w:hAnsi="Times New Roman" w:eastAsia="仿宋_GB2312"/>
          <w:color w:val="auto"/>
          <w:sz w:val="32"/>
          <w:szCs w:val="32"/>
          <w:lang w:val="en-US" w:eastAsia="zh-CN"/>
        </w:rPr>
        <w:t>注册申请受理及</w:t>
      </w:r>
      <w:r>
        <w:rPr>
          <w:rFonts w:hint="eastAsia" w:ascii="Times New Roman" w:hAnsi="Times New Roman" w:eastAsia="仿宋_GB2312"/>
          <w:color w:val="auto"/>
          <w:sz w:val="32"/>
          <w:szCs w:val="32"/>
        </w:rPr>
        <w:t>技术审评</w:t>
      </w:r>
      <w:r>
        <w:rPr>
          <w:rFonts w:hint="eastAsia" w:ascii="Times New Roman" w:hAnsi="Times New Roman" w:eastAsia="仿宋_GB2312"/>
          <w:color w:val="auto"/>
          <w:sz w:val="32"/>
          <w:szCs w:val="32"/>
          <w:lang w:eastAsia="zh-CN"/>
        </w:rPr>
        <w:t>工作</w:t>
      </w:r>
      <w:r>
        <w:rPr>
          <w:rFonts w:hint="eastAsia" w:ascii="Times New Roman" w:hAnsi="Times New Roman" w:eastAsia="仿宋_GB2312"/>
          <w:color w:val="auto"/>
          <w:sz w:val="32"/>
          <w:szCs w:val="32"/>
        </w:rPr>
        <w:t>中发现产品未列入《分类目录》等文件中，且存在以下情形的：一是未经分类界定信息系统告知分类界定结果的；二是分类界定信息系统告知分类界定结果，但注册申报资料与分类界定申请资料不一致的；三是申请人按照《条例》第二</w:t>
      </w:r>
      <w:r>
        <w:rPr>
          <w:rFonts w:ascii="Times New Roman" w:hAnsi="Times New Roman" w:eastAsia="仿宋_GB2312"/>
          <w:color w:val="auto"/>
          <w:sz w:val="32"/>
          <w:szCs w:val="32"/>
        </w:rPr>
        <w:t>十</w:t>
      </w:r>
      <w:r>
        <w:rPr>
          <w:rFonts w:hint="eastAsia" w:ascii="Times New Roman" w:hAnsi="Times New Roman" w:eastAsia="仿宋_GB2312"/>
          <w:color w:val="auto"/>
          <w:sz w:val="32"/>
          <w:szCs w:val="32"/>
        </w:rPr>
        <w:t>三条有关第三类医疗器械产品注册的规定直接申请产品注册的。按照以下程序办理：</w:t>
      </w:r>
    </w:p>
    <w:p>
      <w:pPr>
        <w:keepNext w:val="0"/>
        <w:keepLines w:val="0"/>
        <w:pageBreakBefore w:val="0"/>
        <w:widowControl w:val="0"/>
        <w:kinsoku/>
        <w:wordWrap/>
        <w:overflowPunct w:val="0"/>
        <w:topLinePunct w:val="0"/>
        <w:autoSpaceDE/>
        <w:autoSpaceDN/>
        <w:bidi w:val="0"/>
        <w:snapToGrid w:val="0"/>
        <w:spacing w:line="590" w:lineRule="exact"/>
        <w:ind w:left="0"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医疗器械备案部门或注册申请受理部门</w:t>
      </w:r>
      <w:r>
        <w:rPr>
          <w:rFonts w:hint="eastAsia" w:ascii="Times New Roman" w:hAnsi="Times New Roman" w:eastAsia="仿宋_GB2312"/>
          <w:color w:val="auto"/>
          <w:sz w:val="32"/>
          <w:szCs w:val="32"/>
        </w:rPr>
        <w:t>按照《分类规则》、相关分类界定指导原则</w:t>
      </w:r>
      <w:r>
        <w:rPr>
          <w:rFonts w:hint="eastAsia" w:ascii="Times New Roman" w:hAnsi="Times New Roman" w:eastAsia="仿宋_GB2312"/>
          <w:color w:val="auto"/>
          <w:sz w:val="32"/>
          <w:szCs w:val="32"/>
          <w:lang w:eastAsia="zh-CN"/>
        </w:rPr>
        <w:t>及《分类目录》</w:t>
      </w:r>
      <w:r>
        <w:rPr>
          <w:rFonts w:hint="eastAsia" w:ascii="Times New Roman" w:hAnsi="Times New Roman" w:eastAsia="仿宋_GB2312"/>
          <w:color w:val="auto"/>
          <w:sz w:val="32"/>
          <w:szCs w:val="32"/>
        </w:rPr>
        <w:t>等判定产品</w:t>
      </w:r>
      <w:r>
        <w:rPr>
          <w:rFonts w:hint="eastAsia" w:ascii="Times New Roman" w:hAnsi="Times New Roman" w:eastAsia="仿宋_GB2312"/>
          <w:color w:val="auto"/>
          <w:sz w:val="32"/>
          <w:szCs w:val="32"/>
          <w:lang w:eastAsia="zh-CN"/>
        </w:rPr>
        <w:t>管理</w:t>
      </w:r>
      <w:r>
        <w:rPr>
          <w:rFonts w:hint="eastAsia" w:ascii="Times New Roman" w:hAnsi="Times New Roman" w:eastAsia="仿宋_GB2312"/>
          <w:color w:val="auto"/>
          <w:sz w:val="32"/>
          <w:szCs w:val="32"/>
        </w:rPr>
        <w:t>类别</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对于无法确定类别</w:t>
      </w:r>
      <w:r>
        <w:rPr>
          <w:rFonts w:hint="eastAsia" w:ascii="Times New Roman" w:hAnsi="Times New Roman" w:eastAsia="仿宋_GB2312"/>
          <w:color w:val="auto"/>
          <w:sz w:val="32"/>
          <w:szCs w:val="32"/>
          <w:lang w:eastAsia="zh-CN"/>
        </w:rPr>
        <w:t>且尚未备案</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lang w:eastAsia="zh-CN"/>
        </w:rPr>
        <w:t>尚未受理注册申请</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eastAsia="zh-CN"/>
        </w:rPr>
        <w:t>产品</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由备案人</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lang w:eastAsia="zh-CN"/>
        </w:rPr>
        <w:t>注册申请人参照</w:t>
      </w:r>
      <w:r>
        <w:rPr>
          <w:rFonts w:hint="eastAsia" w:ascii="Times New Roman" w:hAnsi="Times New Roman" w:eastAsia="仿宋_GB2312"/>
          <w:color w:val="auto"/>
          <w:sz w:val="32"/>
          <w:szCs w:val="32"/>
        </w:rPr>
        <w:t>附件1</w:t>
      </w:r>
      <w:r>
        <w:rPr>
          <w:rFonts w:hint="eastAsia" w:ascii="Times New Roman" w:hAnsi="Times New Roman" w:eastAsia="仿宋_GB2312"/>
          <w:color w:val="auto"/>
          <w:sz w:val="32"/>
          <w:szCs w:val="32"/>
          <w:lang w:val="en-US" w:eastAsia="zh-CN"/>
        </w:rPr>
        <w:t>-4有关要求</w:t>
      </w:r>
      <w:r>
        <w:rPr>
          <w:rFonts w:hint="eastAsia" w:ascii="Times New Roman" w:hAnsi="Times New Roman" w:eastAsia="仿宋_GB2312"/>
          <w:color w:val="auto"/>
          <w:sz w:val="32"/>
          <w:szCs w:val="32"/>
        </w:rPr>
        <w:t>通过分类界定信息系统提出分类界定申请</w:t>
      </w:r>
      <w:r>
        <w:rPr>
          <w:rFonts w:hint="eastAsia" w:ascii="Times New Roman" w:hAnsi="Times New Roman" w:eastAsia="仿宋_GB2312"/>
          <w:color w:val="auto"/>
          <w:sz w:val="32"/>
          <w:szCs w:val="32"/>
          <w:lang w:eastAsia="zh-CN"/>
        </w:rPr>
        <w:t>。</w:t>
      </w:r>
    </w:p>
    <w:p>
      <w:pPr>
        <w:keepNext w:val="0"/>
        <w:keepLines w:val="0"/>
        <w:pageBreakBefore w:val="0"/>
        <w:widowControl w:val="0"/>
        <w:kinsoku/>
        <w:wordWrap/>
        <w:overflowPunct w:val="0"/>
        <w:topLinePunct w:val="0"/>
        <w:autoSpaceDE/>
        <w:autoSpaceDN/>
        <w:bidi w:val="0"/>
        <w:snapToGrid w:val="0"/>
        <w:spacing w:line="590" w:lineRule="exact"/>
        <w:ind w:left="0"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对于</w:t>
      </w:r>
      <w:r>
        <w:rPr>
          <w:rFonts w:hint="eastAsia" w:ascii="Times New Roman" w:hAnsi="Times New Roman" w:eastAsia="仿宋_GB2312"/>
          <w:color w:val="auto"/>
          <w:sz w:val="32"/>
          <w:szCs w:val="32"/>
          <w:lang w:eastAsia="zh-CN"/>
        </w:rPr>
        <w:t>受理后技术审评阶段对管理</w:t>
      </w:r>
      <w:r>
        <w:rPr>
          <w:rFonts w:hint="eastAsia" w:ascii="Times New Roman" w:hAnsi="Times New Roman" w:eastAsia="仿宋_GB2312"/>
          <w:color w:val="auto"/>
          <w:sz w:val="32"/>
          <w:szCs w:val="32"/>
        </w:rPr>
        <w:t>类别</w:t>
      </w:r>
      <w:r>
        <w:rPr>
          <w:rFonts w:hint="eastAsia" w:ascii="Times New Roman" w:hAnsi="Times New Roman" w:eastAsia="仿宋_GB2312"/>
          <w:color w:val="auto"/>
          <w:sz w:val="32"/>
          <w:szCs w:val="32"/>
          <w:lang w:eastAsia="zh-CN"/>
        </w:rPr>
        <w:t>存在疑问</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eastAsia="zh-CN"/>
        </w:rPr>
        <w:t>产品</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国家药监局器审中心可以</w:t>
      </w:r>
      <w:r>
        <w:rPr>
          <w:rFonts w:hint="eastAsia" w:ascii="Times New Roman" w:hAnsi="Times New Roman" w:eastAsia="仿宋_GB2312"/>
          <w:color w:val="auto"/>
          <w:sz w:val="32"/>
          <w:szCs w:val="32"/>
        </w:rPr>
        <w:t>将产品注册申报资料转</w:t>
      </w:r>
      <w:r>
        <w:rPr>
          <w:rFonts w:hint="eastAsia" w:ascii="Times New Roman" w:hAnsi="Times New Roman" w:eastAsia="仿宋_GB2312"/>
          <w:color w:val="auto"/>
          <w:sz w:val="32"/>
          <w:szCs w:val="32"/>
          <w:lang w:eastAsia="zh-CN"/>
        </w:rPr>
        <w:t>器械标管中心、</w:t>
      </w:r>
      <w:r>
        <w:rPr>
          <w:rFonts w:hint="eastAsia" w:ascii="Times New Roman" w:hAnsi="Times New Roman" w:eastAsia="仿宋_GB2312"/>
          <w:color w:val="auto"/>
          <w:sz w:val="32"/>
          <w:szCs w:val="32"/>
        </w:rPr>
        <w:t>器械</w:t>
      </w:r>
      <w:r>
        <w:rPr>
          <w:rFonts w:ascii="Times New Roman" w:hAnsi="Times New Roman" w:eastAsia="仿宋_GB2312"/>
          <w:color w:val="auto"/>
          <w:sz w:val="32"/>
          <w:szCs w:val="32"/>
        </w:rPr>
        <w:t>标管中心</w:t>
      </w:r>
      <w:r>
        <w:rPr>
          <w:rFonts w:hint="eastAsia" w:ascii="Times New Roman" w:hAnsi="Times New Roman" w:eastAsia="仿宋_GB2312"/>
          <w:color w:val="auto"/>
          <w:sz w:val="32"/>
          <w:szCs w:val="32"/>
          <w:lang w:eastAsia="zh-CN"/>
        </w:rPr>
        <w:t>组织研究</w:t>
      </w:r>
      <w:r>
        <w:rPr>
          <w:rFonts w:hint="eastAsia" w:ascii="Times New Roman" w:hAnsi="Times New Roman" w:eastAsia="仿宋_GB2312"/>
          <w:color w:val="auto"/>
          <w:sz w:val="32"/>
          <w:szCs w:val="32"/>
        </w:rPr>
        <w:t>确定产品</w:t>
      </w:r>
      <w:r>
        <w:rPr>
          <w:rFonts w:hint="eastAsia" w:ascii="Times New Roman" w:hAnsi="Times New Roman" w:eastAsia="仿宋_GB2312"/>
          <w:color w:val="auto"/>
          <w:sz w:val="32"/>
          <w:szCs w:val="32"/>
          <w:lang w:eastAsia="zh-CN"/>
        </w:rPr>
        <w:t>分类后反馈国家药监局器审中心</w:t>
      </w:r>
      <w:r>
        <w:rPr>
          <w:rFonts w:hint="eastAsia" w:ascii="Times New Roman" w:hAnsi="Times New Roman" w:eastAsia="仿宋_GB2312"/>
          <w:color w:val="auto"/>
          <w:sz w:val="32"/>
          <w:szCs w:val="32"/>
        </w:rPr>
        <w:t>；省级医疗器械技术审评部门</w:t>
      </w:r>
      <w:r>
        <w:rPr>
          <w:rFonts w:hint="eastAsia" w:ascii="Times New Roman" w:hAnsi="Times New Roman" w:eastAsia="仿宋_GB2312"/>
          <w:color w:val="auto"/>
          <w:sz w:val="32"/>
          <w:szCs w:val="32"/>
          <w:lang w:eastAsia="zh-CN"/>
        </w:rPr>
        <w:t>可以</w:t>
      </w:r>
      <w:r>
        <w:rPr>
          <w:rFonts w:hint="eastAsia" w:ascii="Times New Roman" w:hAnsi="Times New Roman" w:eastAsia="仿宋_GB2312"/>
          <w:color w:val="auto"/>
          <w:sz w:val="32"/>
          <w:szCs w:val="32"/>
        </w:rPr>
        <w:t>提请省级药品监督管理部门将产品注册申报资料转</w:t>
      </w:r>
      <w:r>
        <w:rPr>
          <w:rFonts w:hint="eastAsia" w:ascii="Times New Roman" w:hAnsi="Times New Roman" w:eastAsia="仿宋_GB2312"/>
          <w:color w:val="auto"/>
          <w:sz w:val="32"/>
          <w:szCs w:val="32"/>
          <w:lang w:eastAsia="zh-CN"/>
        </w:rPr>
        <w:t>器械标管中心、</w:t>
      </w:r>
      <w:r>
        <w:rPr>
          <w:rFonts w:hint="eastAsia" w:ascii="Times New Roman" w:hAnsi="Times New Roman" w:eastAsia="仿宋_GB2312"/>
          <w:color w:val="auto"/>
          <w:sz w:val="32"/>
          <w:szCs w:val="32"/>
        </w:rPr>
        <w:t>器械</w:t>
      </w:r>
      <w:r>
        <w:rPr>
          <w:rFonts w:ascii="Times New Roman" w:hAnsi="Times New Roman" w:eastAsia="仿宋_GB2312"/>
          <w:color w:val="auto"/>
          <w:sz w:val="32"/>
          <w:szCs w:val="32"/>
        </w:rPr>
        <w:t>标管中心</w:t>
      </w:r>
      <w:r>
        <w:rPr>
          <w:rFonts w:hint="eastAsia" w:ascii="Times New Roman" w:hAnsi="Times New Roman" w:eastAsia="仿宋_GB2312"/>
          <w:color w:val="auto"/>
          <w:sz w:val="32"/>
          <w:szCs w:val="32"/>
          <w:lang w:eastAsia="zh-CN"/>
        </w:rPr>
        <w:t>组织研究</w:t>
      </w:r>
      <w:r>
        <w:rPr>
          <w:rFonts w:hint="eastAsia" w:ascii="Times New Roman" w:hAnsi="Times New Roman" w:eastAsia="仿宋_GB2312"/>
          <w:color w:val="auto"/>
          <w:sz w:val="32"/>
          <w:szCs w:val="32"/>
        </w:rPr>
        <w:t>确定产品</w:t>
      </w:r>
      <w:r>
        <w:rPr>
          <w:rFonts w:hint="eastAsia" w:ascii="Times New Roman" w:hAnsi="Times New Roman" w:eastAsia="仿宋_GB2312"/>
          <w:color w:val="auto"/>
          <w:sz w:val="32"/>
          <w:szCs w:val="32"/>
          <w:lang w:eastAsia="zh-CN"/>
        </w:rPr>
        <w:t>分类后反馈</w:t>
      </w:r>
      <w:r>
        <w:rPr>
          <w:rFonts w:hint="eastAsia" w:ascii="Times New Roman" w:hAnsi="Times New Roman" w:eastAsia="仿宋_GB2312"/>
          <w:color w:val="auto"/>
          <w:sz w:val="32"/>
          <w:szCs w:val="32"/>
        </w:rPr>
        <w:t>省级药品监督管理部门</w:t>
      </w:r>
      <w:r>
        <w:rPr>
          <w:rFonts w:hint="eastAsia" w:ascii="Times New Roman" w:hAnsi="Times New Roman" w:eastAsia="仿宋_GB2312"/>
          <w:color w:val="auto"/>
          <w:sz w:val="32"/>
          <w:szCs w:val="32"/>
          <w:lang w:eastAsia="zh-CN"/>
        </w:rPr>
        <w:t>。技术审评中因无法确定类别转器械标管中心研究所需时间不计入技术审评时限。</w:t>
      </w:r>
    </w:p>
    <w:p>
      <w:pPr>
        <w:keepNext w:val="0"/>
        <w:keepLines w:val="0"/>
        <w:pageBreakBefore w:val="0"/>
        <w:widowControl w:val="0"/>
        <w:kinsoku/>
        <w:wordWrap/>
        <w:overflowPunct w:val="0"/>
        <w:topLinePunct w:val="0"/>
        <w:autoSpaceDE/>
        <w:autoSpaceDN/>
        <w:bidi w:val="0"/>
        <w:snapToGrid w:val="0"/>
        <w:spacing w:line="590" w:lineRule="exact"/>
        <w:ind w:left="0"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对于国家药监局器审中心受理后在技术审评阶段的产品，</w:t>
      </w:r>
      <w:r>
        <w:rPr>
          <w:rFonts w:hint="eastAsia" w:ascii="Times New Roman" w:hAnsi="Times New Roman" w:eastAsia="仿宋_GB2312"/>
          <w:color w:val="auto"/>
          <w:sz w:val="32"/>
          <w:szCs w:val="32"/>
        </w:rPr>
        <w:t>如因结构组成、适用范围修改等使得申报产品管理类别降低的，</w:t>
      </w:r>
      <w:r>
        <w:rPr>
          <w:rFonts w:hint="eastAsia" w:ascii="Times New Roman" w:hAnsi="Times New Roman" w:eastAsia="仿宋_GB2312"/>
          <w:color w:val="auto"/>
          <w:sz w:val="32"/>
          <w:szCs w:val="32"/>
          <w:lang w:eastAsia="zh-CN"/>
        </w:rPr>
        <w:t>申请人可以根据</w:t>
      </w:r>
      <w:r>
        <w:rPr>
          <w:rFonts w:hint="eastAsia" w:ascii="Times New Roman" w:hAnsi="Times New Roman" w:eastAsia="仿宋_GB2312"/>
          <w:color w:val="auto"/>
          <w:sz w:val="32"/>
          <w:szCs w:val="32"/>
        </w:rPr>
        <w:t>国家药监局器审中心</w:t>
      </w:r>
      <w:r>
        <w:rPr>
          <w:rFonts w:hint="eastAsia" w:ascii="Times New Roman" w:hAnsi="Times New Roman" w:eastAsia="仿宋_GB2312"/>
          <w:color w:val="auto"/>
          <w:sz w:val="32"/>
          <w:szCs w:val="32"/>
          <w:lang w:eastAsia="zh-CN"/>
        </w:rPr>
        <w:t>意见向相</w:t>
      </w:r>
      <w:r>
        <w:rPr>
          <w:rFonts w:hint="eastAsia" w:ascii="Times New Roman" w:hAnsi="Times New Roman" w:eastAsia="仿宋_GB2312"/>
          <w:color w:val="auto"/>
          <w:sz w:val="32"/>
          <w:szCs w:val="32"/>
        </w:rPr>
        <w:t>应部门</w:t>
      </w:r>
      <w:r>
        <w:rPr>
          <w:rFonts w:hint="eastAsia" w:ascii="Times New Roman" w:hAnsi="Times New Roman" w:eastAsia="仿宋_GB2312"/>
          <w:color w:val="auto"/>
          <w:sz w:val="32"/>
          <w:szCs w:val="32"/>
          <w:lang w:eastAsia="zh-CN"/>
        </w:rPr>
        <w:t>申报</w:t>
      </w:r>
      <w:r>
        <w:rPr>
          <w:rFonts w:hint="eastAsia" w:ascii="Times New Roman" w:hAnsi="Times New Roman" w:eastAsia="仿宋_GB2312"/>
          <w:color w:val="auto"/>
          <w:sz w:val="32"/>
          <w:szCs w:val="32"/>
        </w:rPr>
        <w:t>注册或者办理备案</w:t>
      </w:r>
      <w:r>
        <w:rPr>
          <w:rFonts w:hint="eastAsia" w:ascii="Times New Roman" w:hAnsi="Times New Roman" w:eastAsia="仿宋_GB2312"/>
          <w:color w:val="auto"/>
          <w:sz w:val="32"/>
          <w:szCs w:val="32"/>
          <w:lang w:eastAsia="zh-CN"/>
        </w:rPr>
        <w:t>。</w:t>
      </w:r>
    </w:p>
    <w:p>
      <w:pPr>
        <w:keepNext w:val="0"/>
        <w:keepLines w:val="0"/>
        <w:pageBreakBefore w:val="0"/>
        <w:widowControl w:val="0"/>
        <w:kinsoku/>
        <w:wordWrap/>
        <w:overflowPunct w:val="0"/>
        <w:topLinePunct w:val="0"/>
        <w:autoSpaceDE/>
        <w:autoSpaceDN/>
        <w:bidi w:val="0"/>
        <w:snapToGrid w:val="0"/>
        <w:spacing w:line="590" w:lineRule="exact"/>
        <w:ind w:left="0"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九</w:t>
      </w:r>
      <w:r>
        <w:rPr>
          <w:rFonts w:hint="eastAsia" w:ascii="Times New Roman" w:hAnsi="Times New Roman" w:eastAsia="仿宋_GB2312"/>
          <w:color w:val="auto"/>
          <w:sz w:val="32"/>
          <w:szCs w:val="32"/>
        </w:rPr>
        <w:t>）对于日常监管、稽查、投诉举报、信访、</w:t>
      </w:r>
      <w:r>
        <w:rPr>
          <w:rFonts w:hint="eastAsia" w:ascii="Times New Roman" w:hAnsi="Times New Roman" w:eastAsia="仿宋_GB2312"/>
          <w:color w:val="auto"/>
          <w:sz w:val="32"/>
          <w:szCs w:val="32"/>
          <w:lang w:eastAsia="zh-CN"/>
        </w:rPr>
        <w:t>行刑衔接、</w:t>
      </w:r>
      <w:r>
        <w:rPr>
          <w:rFonts w:hint="eastAsia" w:ascii="Times New Roman" w:hAnsi="Times New Roman" w:eastAsia="仿宋_GB2312"/>
          <w:color w:val="auto"/>
          <w:sz w:val="32"/>
          <w:szCs w:val="32"/>
        </w:rPr>
        <w:t>法院案件等特殊情形中涉及需要确认产品管理属性或管理类别的，按照附件</w:t>
      </w: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rPr>
        <w:t>《特殊情形分类界定程序》处理</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产品管理属性依据《条例》第一百零三条判定。</w:t>
      </w:r>
    </w:p>
    <w:p>
      <w:pPr>
        <w:keepNext w:val="0"/>
        <w:keepLines w:val="0"/>
        <w:pageBreakBefore w:val="0"/>
        <w:widowControl w:val="0"/>
        <w:kinsoku/>
        <w:wordWrap/>
        <w:overflowPunct w:val="0"/>
        <w:topLinePunct w:val="0"/>
        <w:autoSpaceDE/>
        <w:autoSpaceDN/>
        <w:bidi w:val="0"/>
        <w:snapToGrid w:val="0"/>
        <w:spacing w:line="590" w:lineRule="exact"/>
        <w:ind w:left="0" w:firstLine="640" w:firstLineChars="200"/>
        <w:jc w:val="both"/>
        <w:textAlignment w:val="auto"/>
        <w:rPr>
          <w:rFonts w:eastAsia="仿宋_GB2312"/>
          <w:sz w:val="32"/>
          <w:szCs w:val="32"/>
        </w:rPr>
      </w:pPr>
      <w:r>
        <w:rPr>
          <w:rFonts w:hint="eastAsia" w:ascii="Times New Roman" w:hAnsi="Times New Roman" w:eastAsia="仿宋_GB2312"/>
          <w:color w:val="auto"/>
          <w:sz w:val="32"/>
          <w:szCs w:val="32"/>
        </w:rPr>
        <w:t>（十）</w:t>
      </w:r>
      <w:r>
        <w:rPr>
          <w:rFonts w:eastAsia="仿宋_GB2312"/>
          <w:sz w:val="32"/>
          <w:szCs w:val="32"/>
        </w:rPr>
        <w:t>对于突发公共卫生事件</w:t>
      </w:r>
      <w:r>
        <w:rPr>
          <w:rFonts w:hint="eastAsia" w:eastAsia="仿宋_GB2312"/>
          <w:sz w:val="32"/>
          <w:szCs w:val="32"/>
          <w:lang w:val="en-US" w:eastAsia="zh-CN"/>
        </w:rPr>
        <w:t>应急所需且未列入《分类目录》、申请人及监管部门、技术审评部门对于管理类别未形成一致意见的产品，</w:t>
      </w:r>
      <w:r>
        <w:rPr>
          <w:rFonts w:hint="eastAsia" w:ascii="Times New Roman" w:hAnsi="Times New Roman" w:eastAsia="仿宋_GB2312"/>
          <w:color w:val="auto"/>
          <w:sz w:val="32"/>
          <w:szCs w:val="32"/>
        </w:rPr>
        <w:t>国家药监局器审中心</w:t>
      </w:r>
      <w:r>
        <w:rPr>
          <w:rFonts w:ascii="Times New Roman" w:hAnsi="Times New Roman" w:eastAsia="仿宋_GB2312"/>
          <w:color w:val="auto"/>
          <w:sz w:val="32"/>
          <w:szCs w:val="32"/>
        </w:rPr>
        <w:t>、省级药品监督管理部门</w:t>
      </w:r>
      <w:r>
        <w:rPr>
          <w:rFonts w:hint="eastAsia" w:ascii="Times New Roman" w:hAnsi="Times New Roman" w:eastAsia="仿宋_GB2312"/>
          <w:color w:val="auto"/>
          <w:sz w:val="32"/>
          <w:szCs w:val="32"/>
          <w:lang w:val="en-US" w:eastAsia="zh-CN"/>
        </w:rPr>
        <w:t>通过</w:t>
      </w:r>
      <w:r>
        <w:rPr>
          <w:rFonts w:ascii="Times New Roman" w:hAnsi="Times New Roman" w:eastAsia="仿宋_GB2312"/>
          <w:color w:val="auto"/>
          <w:sz w:val="32"/>
          <w:szCs w:val="32"/>
        </w:rPr>
        <w:t>分类沟通协调机制</w:t>
      </w:r>
      <w:r>
        <w:rPr>
          <w:rFonts w:hint="eastAsia" w:ascii="Times New Roman" w:hAnsi="Times New Roman" w:eastAsia="仿宋_GB2312"/>
          <w:color w:val="auto"/>
          <w:sz w:val="32"/>
          <w:szCs w:val="32"/>
          <w:lang w:val="en-US" w:eastAsia="zh-CN"/>
        </w:rPr>
        <w:t>反馈</w:t>
      </w:r>
      <w:r>
        <w:rPr>
          <w:rFonts w:hint="eastAsia" w:ascii="Times New Roman" w:hAnsi="Times New Roman" w:eastAsia="仿宋_GB2312"/>
          <w:color w:val="auto"/>
          <w:sz w:val="32"/>
          <w:szCs w:val="32"/>
        </w:rPr>
        <w:t>器械标管中心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器械标管中心快速研究、</w:t>
      </w:r>
      <w:r>
        <w:rPr>
          <w:rFonts w:eastAsia="仿宋_GB2312"/>
          <w:sz w:val="32"/>
          <w:szCs w:val="32"/>
        </w:rPr>
        <w:t>界定产品属性和管理类别</w:t>
      </w:r>
      <w:r>
        <w:rPr>
          <w:rFonts w:hint="eastAsia" w:eastAsia="仿宋_GB2312"/>
          <w:sz w:val="32"/>
          <w:szCs w:val="32"/>
          <w:lang w:eastAsia="zh-CN"/>
        </w:rPr>
        <w:t>，</w:t>
      </w:r>
      <w:r>
        <w:rPr>
          <w:rFonts w:hint="eastAsia" w:eastAsia="仿宋_GB2312"/>
          <w:sz w:val="32"/>
          <w:szCs w:val="32"/>
          <w:lang w:val="en-US" w:eastAsia="zh-CN"/>
        </w:rPr>
        <w:t>并及时</w:t>
      </w:r>
      <w:r>
        <w:rPr>
          <w:rFonts w:hint="eastAsia" w:ascii="Times New Roman" w:hAnsi="Times New Roman" w:eastAsia="仿宋_GB2312"/>
          <w:color w:val="auto"/>
          <w:sz w:val="32"/>
          <w:szCs w:val="32"/>
          <w:lang w:val="en-US" w:eastAsia="zh-CN"/>
        </w:rPr>
        <w:t>通过</w:t>
      </w:r>
      <w:r>
        <w:rPr>
          <w:rFonts w:ascii="Times New Roman" w:hAnsi="Times New Roman" w:eastAsia="仿宋_GB2312"/>
          <w:color w:val="auto"/>
          <w:sz w:val="32"/>
          <w:szCs w:val="32"/>
        </w:rPr>
        <w:t>分类沟通协调机制</w:t>
      </w:r>
      <w:r>
        <w:rPr>
          <w:rFonts w:hint="eastAsia" w:ascii="Times New Roman" w:hAnsi="Times New Roman" w:eastAsia="仿宋_GB2312"/>
          <w:color w:val="auto"/>
          <w:sz w:val="32"/>
          <w:szCs w:val="32"/>
          <w:lang w:val="en-US" w:eastAsia="zh-CN"/>
        </w:rPr>
        <w:t>反馈</w:t>
      </w:r>
      <w:r>
        <w:rPr>
          <w:rFonts w:hint="eastAsia" w:ascii="Times New Roman" w:hAnsi="Times New Roman" w:eastAsia="仿宋_GB2312"/>
          <w:color w:val="auto"/>
          <w:sz w:val="32"/>
          <w:szCs w:val="32"/>
        </w:rPr>
        <w:t>国家药监局器审中心</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相关</w:t>
      </w:r>
      <w:r>
        <w:rPr>
          <w:rFonts w:ascii="Times New Roman" w:hAnsi="Times New Roman" w:eastAsia="仿宋_GB2312"/>
          <w:color w:val="auto"/>
          <w:sz w:val="32"/>
          <w:szCs w:val="32"/>
        </w:rPr>
        <w:t>省级药品监督管理部门</w:t>
      </w:r>
      <w:r>
        <w:rPr>
          <w:rFonts w:hint="eastAsia" w:ascii="Times New Roman" w:hAnsi="Times New Roman" w:eastAsia="仿宋_GB2312"/>
          <w:color w:val="auto"/>
          <w:sz w:val="32"/>
          <w:szCs w:val="32"/>
          <w:lang w:eastAsia="zh-CN"/>
        </w:rPr>
        <w:t>。</w:t>
      </w:r>
    </w:p>
    <w:p>
      <w:pPr>
        <w:keepNext w:val="0"/>
        <w:keepLines w:val="0"/>
        <w:pageBreakBefore w:val="0"/>
        <w:widowControl w:val="0"/>
        <w:kinsoku/>
        <w:wordWrap/>
        <w:overflowPunct w:val="0"/>
        <w:topLinePunct w:val="0"/>
        <w:autoSpaceDE/>
        <w:autoSpaceDN/>
        <w:bidi w:val="0"/>
        <w:snapToGrid w:val="0"/>
        <w:spacing w:line="590" w:lineRule="exact"/>
        <w:ind w:left="0"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十</w:t>
      </w:r>
      <w:r>
        <w:rPr>
          <w:rFonts w:hint="eastAsia" w:ascii="Times New Roman" w:hAnsi="Times New Roman" w:eastAsia="仿宋_GB2312"/>
          <w:color w:val="auto"/>
          <w:sz w:val="32"/>
          <w:szCs w:val="32"/>
        </w:rPr>
        <w:t>一）</w:t>
      </w:r>
      <w:r>
        <w:rPr>
          <w:rFonts w:ascii="Times New Roman" w:hAnsi="Times New Roman" w:eastAsia="仿宋_GB2312"/>
          <w:color w:val="auto"/>
          <w:sz w:val="32"/>
          <w:szCs w:val="32"/>
        </w:rPr>
        <w:t>药械组合产品的属性界定按照药械组合产品有关规定办理。</w:t>
      </w:r>
    </w:p>
    <w:p>
      <w:pPr>
        <w:keepNext w:val="0"/>
        <w:keepLines w:val="0"/>
        <w:pageBreakBefore w:val="0"/>
        <w:widowControl w:val="0"/>
        <w:kinsoku/>
        <w:wordWrap/>
        <w:overflowPunct w:val="0"/>
        <w:topLinePunct w:val="0"/>
        <w:autoSpaceDE/>
        <w:autoSpaceDN/>
        <w:bidi w:val="0"/>
        <w:snapToGrid w:val="0"/>
        <w:spacing w:line="590" w:lineRule="exact"/>
        <w:ind w:left="0"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十</w:t>
      </w:r>
      <w:r>
        <w:rPr>
          <w:rFonts w:hint="eastAsia" w:ascii="Times New Roman" w:hAnsi="Times New Roman" w:eastAsia="仿宋_GB2312"/>
          <w:color w:val="auto"/>
          <w:sz w:val="32"/>
          <w:szCs w:val="32"/>
          <w:lang w:val="en-US" w:eastAsia="zh-CN"/>
        </w:rPr>
        <w:t>二</w:t>
      </w:r>
      <w:r>
        <w:rPr>
          <w:rFonts w:hint="eastAsia" w:ascii="Times New Roman" w:hAnsi="Times New Roman" w:eastAsia="仿宋_GB2312"/>
          <w:color w:val="auto"/>
          <w:sz w:val="32"/>
          <w:szCs w:val="32"/>
        </w:rPr>
        <w:t>）申请</w:t>
      </w:r>
      <w:r>
        <w:rPr>
          <w:rFonts w:ascii="Times New Roman" w:hAnsi="Times New Roman" w:eastAsia="仿宋_GB2312"/>
          <w:color w:val="auto"/>
          <w:sz w:val="32"/>
          <w:szCs w:val="32"/>
        </w:rPr>
        <w:t>创新医疗器械</w:t>
      </w:r>
      <w:r>
        <w:rPr>
          <w:rFonts w:hint="eastAsia" w:ascii="Times New Roman" w:hAnsi="Times New Roman" w:eastAsia="仿宋_GB2312"/>
          <w:color w:val="auto"/>
          <w:sz w:val="32"/>
          <w:szCs w:val="32"/>
        </w:rPr>
        <w:t>的产品分类按照</w:t>
      </w:r>
      <w:r>
        <w:rPr>
          <w:rFonts w:ascii="Times New Roman" w:hAnsi="Times New Roman" w:eastAsia="仿宋_GB2312"/>
          <w:color w:val="auto"/>
          <w:sz w:val="32"/>
          <w:szCs w:val="32"/>
        </w:rPr>
        <w:t>创新医疗器械特别审查程序的有关规定办理。</w:t>
      </w:r>
    </w:p>
    <w:p>
      <w:pPr>
        <w:keepNext w:val="0"/>
        <w:keepLines w:val="0"/>
        <w:pageBreakBefore w:val="0"/>
        <w:widowControl w:val="0"/>
        <w:kinsoku/>
        <w:wordWrap/>
        <w:overflowPunct w:val="0"/>
        <w:topLinePunct w:val="0"/>
        <w:autoSpaceDE/>
        <w:autoSpaceDN/>
        <w:bidi w:val="0"/>
        <w:snapToGrid w:val="0"/>
        <w:spacing w:line="590" w:lineRule="exact"/>
        <w:ind w:left="0" w:firstLine="640" w:firstLineChars="200"/>
        <w:jc w:val="both"/>
        <w:textAlignment w:val="auto"/>
        <w:rPr>
          <w:rFonts w:ascii="Times New Roman" w:hAnsi="Times New Roman" w:eastAsia="黑体"/>
          <w:color w:val="auto"/>
          <w:sz w:val="32"/>
          <w:szCs w:val="32"/>
        </w:rPr>
      </w:pPr>
      <w:r>
        <w:rPr>
          <w:rFonts w:hint="eastAsia" w:ascii="Times New Roman" w:hAnsi="Times New Roman" w:eastAsia="黑体"/>
          <w:color w:val="auto"/>
          <w:sz w:val="32"/>
          <w:szCs w:val="32"/>
        </w:rPr>
        <w:t>三、其他事项</w:t>
      </w:r>
    </w:p>
    <w:p>
      <w:pPr>
        <w:keepNext w:val="0"/>
        <w:keepLines w:val="0"/>
        <w:pageBreakBefore w:val="0"/>
        <w:widowControl w:val="0"/>
        <w:kinsoku/>
        <w:wordWrap/>
        <w:overflowPunct w:val="0"/>
        <w:topLinePunct w:val="0"/>
        <w:autoSpaceDE/>
        <w:autoSpaceDN/>
        <w:bidi w:val="0"/>
        <w:snapToGrid w:val="0"/>
        <w:spacing w:line="590" w:lineRule="exact"/>
        <w:ind w:left="0"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（十</w:t>
      </w:r>
      <w:r>
        <w:rPr>
          <w:rFonts w:hint="eastAsia" w:ascii="Times New Roman" w:hAnsi="Times New Roman" w:eastAsia="仿宋_GB2312"/>
          <w:color w:val="auto"/>
          <w:sz w:val="32"/>
          <w:szCs w:val="32"/>
          <w:lang w:eastAsia="zh-CN"/>
        </w:rPr>
        <w:t>三</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器械标管中心负责医疗器械分类界定信息系统</w:t>
      </w:r>
      <w:r>
        <w:rPr>
          <w:rFonts w:hint="eastAsia" w:ascii="Times New Roman" w:hAnsi="Times New Roman" w:eastAsia="仿宋_GB2312"/>
          <w:color w:val="auto"/>
          <w:sz w:val="32"/>
          <w:szCs w:val="32"/>
        </w:rPr>
        <w:t>、医疗器械分类数据库</w:t>
      </w:r>
      <w:r>
        <w:rPr>
          <w:rFonts w:ascii="Times New Roman" w:hAnsi="Times New Roman" w:eastAsia="仿宋_GB2312"/>
          <w:color w:val="auto"/>
          <w:sz w:val="32"/>
          <w:szCs w:val="32"/>
        </w:rPr>
        <w:t>建设和维护等。</w:t>
      </w:r>
    </w:p>
    <w:p>
      <w:pPr>
        <w:keepNext w:val="0"/>
        <w:keepLines w:val="0"/>
        <w:pageBreakBefore w:val="0"/>
        <w:widowControl w:val="0"/>
        <w:numPr>
          <w:ilvl w:val="0"/>
          <w:numId w:val="1"/>
        </w:numPr>
        <w:kinsoku/>
        <w:wordWrap/>
        <w:overflowPunct w:val="0"/>
        <w:topLinePunct w:val="0"/>
        <w:autoSpaceDE/>
        <w:autoSpaceDN/>
        <w:bidi w:val="0"/>
        <w:snapToGrid w:val="0"/>
        <w:spacing w:line="590" w:lineRule="exact"/>
        <w:ind w:left="0"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器械</w:t>
      </w:r>
      <w:r>
        <w:rPr>
          <w:rFonts w:hint="eastAsia" w:ascii="Times New Roman" w:hAnsi="Times New Roman" w:eastAsia="仿宋_GB2312"/>
          <w:color w:val="auto"/>
          <w:sz w:val="32"/>
          <w:szCs w:val="32"/>
        </w:rPr>
        <w:t>标管中心加强对</w:t>
      </w:r>
      <w:r>
        <w:rPr>
          <w:rFonts w:hint="eastAsia" w:ascii="Times New Roman" w:hAnsi="Times New Roman" w:eastAsia="仿宋_GB2312"/>
          <w:color w:val="auto"/>
          <w:sz w:val="32"/>
          <w:szCs w:val="32"/>
          <w:lang w:eastAsia="zh-CN"/>
        </w:rPr>
        <w:t>省级药品监督管理部门</w:t>
      </w:r>
      <w:r>
        <w:rPr>
          <w:rFonts w:hint="eastAsia" w:ascii="Times New Roman" w:hAnsi="Times New Roman" w:eastAsia="仿宋_GB2312"/>
          <w:color w:val="auto"/>
          <w:sz w:val="32"/>
          <w:szCs w:val="32"/>
        </w:rPr>
        <w:t>分类界定工作的指导，</w:t>
      </w:r>
      <w:r>
        <w:rPr>
          <w:rFonts w:hint="eastAsia" w:ascii="Times New Roman" w:hAnsi="Times New Roman" w:eastAsia="仿宋_GB2312"/>
          <w:color w:val="auto"/>
          <w:sz w:val="32"/>
          <w:szCs w:val="32"/>
          <w:lang w:eastAsia="zh-CN"/>
        </w:rPr>
        <w:t>必要时可以组织</w:t>
      </w:r>
      <w:r>
        <w:rPr>
          <w:rFonts w:hint="eastAsia" w:ascii="Times New Roman" w:hAnsi="Times New Roman" w:eastAsia="仿宋_GB2312"/>
          <w:color w:val="auto"/>
          <w:sz w:val="32"/>
          <w:szCs w:val="32"/>
        </w:rPr>
        <w:t>对</w:t>
      </w:r>
      <w:r>
        <w:rPr>
          <w:rFonts w:hint="eastAsia" w:ascii="Times New Roman" w:hAnsi="Times New Roman" w:eastAsia="仿宋_GB2312"/>
          <w:color w:val="auto"/>
          <w:sz w:val="32"/>
          <w:szCs w:val="32"/>
          <w:lang w:eastAsia="zh-CN"/>
        </w:rPr>
        <w:t>省级药品监督管理部门</w:t>
      </w:r>
      <w:r>
        <w:rPr>
          <w:rFonts w:hint="eastAsia" w:ascii="Times New Roman" w:hAnsi="Times New Roman" w:eastAsia="仿宋_GB2312"/>
          <w:color w:val="auto"/>
          <w:sz w:val="32"/>
          <w:szCs w:val="32"/>
        </w:rPr>
        <w:t>回复的分类界定</w:t>
      </w:r>
      <w:r>
        <w:rPr>
          <w:rFonts w:hint="eastAsia" w:ascii="Times New Roman" w:hAnsi="Times New Roman" w:eastAsia="仿宋_GB2312"/>
          <w:color w:val="auto"/>
          <w:sz w:val="32"/>
          <w:szCs w:val="32"/>
          <w:lang w:eastAsia="zh-CN"/>
        </w:rPr>
        <w:t>结果</w:t>
      </w:r>
      <w:r>
        <w:rPr>
          <w:rFonts w:hint="eastAsia" w:ascii="Times New Roman" w:hAnsi="Times New Roman" w:eastAsia="仿宋_GB2312"/>
          <w:color w:val="auto"/>
          <w:sz w:val="32"/>
          <w:szCs w:val="32"/>
        </w:rPr>
        <w:t>进行</w:t>
      </w:r>
      <w:r>
        <w:rPr>
          <w:rFonts w:hint="eastAsia" w:ascii="Times New Roman" w:hAnsi="Times New Roman" w:eastAsia="仿宋_GB2312"/>
          <w:color w:val="auto"/>
          <w:sz w:val="32"/>
          <w:szCs w:val="32"/>
          <w:lang w:eastAsia="zh-CN"/>
        </w:rPr>
        <w:t>抽查</w:t>
      </w:r>
      <w:r>
        <w:rPr>
          <w:rFonts w:hint="eastAsia" w:ascii="Times New Roman" w:hAnsi="Times New Roman" w:eastAsia="仿宋_GB2312"/>
          <w:color w:val="auto"/>
          <w:sz w:val="32"/>
          <w:szCs w:val="32"/>
        </w:rPr>
        <w:t>，对回复不准确的督促相关</w:t>
      </w:r>
      <w:r>
        <w:rPr>
          <w:rFonts w:hint="eastAsia" w:ascii="Times New Roman" w:hAnsi="Times New Roman" w:eastAsia="仿宋_GB2312"/>
          <w:color w:val="auto"/>
          <w:sz w:val="32"/>
          <w:szCs w:val="32"/>
          <w:lang w:eastAsia="zh-CN"/>
        </w:rPr>
        <w:t>省级药品监督管理部门</w:t>
      </w:r>
      <w:r>
        <w:rPr>
          <w:rFonts w:hint="eastAsia" w:ascii="Times New Roman" w:hAnsi="Times New Roman" w:eastAsia="仿宋_GB2312"/>
          <w:color w:val="auto"/>
          <w:sz w:val="32"/>
          <w:szCs w:val="32"/>
        </w:rPr>
        <w:t>纠正。</w:t>
      </w:r>
    </w:p>
    <w:p>
      <w:pPr>
        <w:keepNext w:val="0"/>
        <w:keepLines w:val="0"/>
        <w:pageBreakBefore w:val="0"/>
        <w:widowControl w:val="0"/>
        <w:numPr>
          <w:ilvl w:val="0"/>
          <w:numId w:val="0"/>
        </w:numPr>
        <w:kinsoku/>
        <w:wordWrap/>
        <w:overflowPunct w:val="0"/>
        <w:topLinePunct w:val="0"/>
        <w:autoSpaceDE/>
        <w:autoSpaceDN/>
        <w:bidi w:val="0"/>
        <w:snapToGrid w:val="0"/>
        <w:spacing w:line="590" w:lineRule="exact"/>
        <w:ind w:left="0" w:firstLine="640" w:firstLineChars="200"/>
        <w:jc w:val="both"/>
        <w:textAlignment w:val="auto"/>
        <w:rPr>
          <w:rFonts w:ascii="Times New Roman" w:hAnsi="Times New Roman" w:eastAsia="仿宋_GB2312"/>
          <w:color w:val="auto"/>
          <w:sz w:val="32"/>
          <w:szCs w:val="32"/>
        </w:rPr>
      </w:pPr>
      <w:r>
        <w:rPr>
          <w:rFonts w:ascii="Times New Roman" w:hAnsi="Times New Roman" w:eastAsia="仿宋_GB2312"/>
          <w:color w:val="auto"/>
          <w:kern w:val="0"/>
          <w:sz w:val="32"/>
          <w:szCs w:val="32"/>
        </w:rPr>
        <w:t>对于不同省级药品监督管理部门对同一类产品分类界定意见不一致的情形，器械标管中心</w:t>
      </w:r>
      <w:r>
        <w:rPr>
          <w:rFonts w:hint="eastAsia" w:ascii="Times New Roman" w:hAnsi="Times New Roman" w:eastAsia="仿宋_GB2312"/>
          <w:color w:val="auto"/>
          <w:kern w:val="0"/>
          <w:sz w:val="32"/>
          <w:szCs w:val="32"/>
        </w:rPr>
        <w:t>应当</w:t>
      </w:r>
      <w:r>
        <w:rPr>
          <w:rFonts w:ascii="Times New Roman" w:hAnsi="Times New Roman" w:eastAsia="仿宋_GB2312"/>
          <w:color w:val="auto"/>
          <w:kern w:val="0"/>
          <w:sz w:val="32"/>
          <w:szCs w:val="32"/>
        </w:rPr>
        <w:t>及时组织研究确定</w:t>
      </w:r>
      <w:r>
        <w:rPr>
          <w:rFonts w:hint="eastAsia" w:ascii="Times New Roman" w:hAnsi="Times New Roman" w:eastAsia="仿宋_GB2312"/>
          <w:color w:val="auto"/>
          <w:kern w:val="0"/>
          <w:sz w:val="32"/>
          <w:szCs w:val="32"/>
        </w:rPr>
        <w:t>管理</w:t>
      </w:r>
      <w:r>
        <w:rPr>
          <w:rFonts w:ascii="Times New Roman" w:hAnsi="Times New Roman" w:eastAsia="仿宋_GB2312"/>
          <w:color w:val="auto"/>
          <w:kern w:val="0"/>
          <w:sz w:val="32"/>
          <w:szCs w:val="32"/>
        </w:rPr>
        <w:t>类别</w:t>
      </w:r>
      <w:r>
        <w:rPr>
          <w:rFonts w:hint="eastAsia" w:ascii="Times New Roman" w:hAnsi="Times New Roman" w:eastAsia="仿宋_GB2312"/>
          <w:color w:val="auto"/>
          <w:kern w:val="0"/>
          <w:sz w:val="32"/>
          <w:szCs w:val="32"/>
        </w:rPr>
        <w:t>并公开</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相关</w:t>
      </w:r>
      <w:r>
        <w:rPr>
          <w:rFonts w:ascii="Times New Roman" w:hAnsi="Times New Roman" w:eastAsia="仿宋_GB2312"/>
          <w:color w:val="auto"/>
          <w:kern w:val="0"/>
          <w:sz w:val="32"/>
          <w:szCs w:val="32"/>
        </w:rPr>
        <w:t>省级药品监督管理部门</w:t>
      </w:r>
      <w:r>
        <w:rPr>
          <w:rFonts w:hint="eastAsia" w:ascii="Times New Roman" w:hAnsi="Times New Roman" w:eastAsia="仿宋_GB2312"/>
          <w:color w:val="auto"/>
          <w:kern w:val="0"/>
          <w:sz w:val="32"/>
          <w:szCs w:val="32"/>
        </w:rPr>
        <w:t>应当</w:t>
      </w:r>
      <w:r>
        <w:rPr>
          <w:rFonts w:ascii="Times New Roman" w:hAnsi="Times New Roman" w:eastAsia="仿宋_GB2312"/>
          <w:color w:val="auto"/>
          <w:kern w:val="0"/>
          <w:sz w:val="32"/>
          <w:szCs w:val="32"/>
        </w:rPr>
        <w:t>及时</w:t>
      </w:r>
      <w:r>
        <w:rPr>
          <w:rFonts w:hint="eastAsia" w:ascii="Times New Roman" w:hAnsi="Times New Roman" w:eastAsia="仿宋_GB2312"/>
          <w:color w:val="auto"/>
          <w:kern w:val="0"/>
          <w:sz w:val="32"/>
          <w:szCs w:val="32"/>
        </w:rPr>
        <w:t>修正分类界定告知书</w:t>
      </w:r>
      <w:r>
        <w:rPr>
          <w:rFonts w:hint="eastAsia" w:ascii="Times New Roman" w:hAnsi="Times New Roman" w:eastAsia="仿宋_GB2312"/>
          <w:color w:val="auto"/>
          <w:kern w:val="0"/>
          <w:sz w:val="32"/>
          <w:szCs w:val="32"/>
          <w:lang w:eastAsia="zh-CN"/>
        </w:rPr>
        <w:t>，并按照国家药监局相关要求及时清理规范已注册</w:t>
      </w:r>
      <w:r>
        <w:rPr>
          <w:rFonts w:hint="eastAsia" w:ascii="Times New Roman" w:hAnsi="Times New Roman" w:eastAsia="仿宋_GB2312"/>
          <w:color w:val="auto"/>
          <w:kern w:val="0"/>
          <w:sz w:val="32"/>
          <w:szCs w:val="32"/>
          <w:lang w:val="en-US" w:eastAsia="zh-CN"/>
        </w:rPr>
        <w:t>/备案</w:t>
      </w:r>
      <w:r>
        <w:rPr>
          <w:rFonts w:hint="eastAsia" w:ascii="Times New Roman" w:hAnsi="Times New Roman" w:eastAsia="仿宋_GB2312"/>
          <w:color w:val="auto"/>
          <w:kern w:val="0"/>
          <w:sz w:val="32"/>
          <w:szCs w:val="32"/>
          <w:lang w:eastAsia="zh-CN"/>
        </w:rPr>
        <w:t>产品</w:t>
      </w:r>
      <w:r>
        <w:rPr>
          <w:rFonts w:ascii="Times New Roman" w:hAnsi="Times New Roman" w:eastAsia="仿宋_GB2312"/>
          <w:color w:val="auto"/>
          <w:kern w:val="0"/>
          <w:sz w:val="32"/>
          <w:szCs w:val="32"/>
        </w:rPr>
        <w:t>。</w:t>
      </w:r>
    </w:p>
    <w:p>
      <w:pPr>
        <w:keepNext w:val="0"/>
        <w:keepLines w:val="0"/>
        <w:pageBreakBefore w:val="0"/>
        <w:widowControl w:val="0"/>
        <w:kinsoku/>
        <w:wordWrap/>
        <w:overflowPunct w:val="0"/>
        <w:topLinePunct w:val="0"/>
        <w:autoSpaceDE/>
        <w:autoSpaceDN/>
        <w:bidi w:val="0"/>
        <w:snapToGrid w:val="0"/>
        <w:spacing w:line="590" w:lineRule="exact"/>
        <w:ind w:left="0" w:firstLine="640" w:firstLineChars="200"/>
        <w:jc w:val="both"/>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十</w:t>
      </w:r>
      <w:r>
        <w:rPr>
          <w:rFonts w:hint="eastAsia" w:ascii="Times New Roman" w:hAnsi="Times New Roman" w:eastAsia="仿宋_GB2312"/>
          <w:color w:val="auto"/>
          <w:sz w:val="32"/>
          <w:szCs w:val="32"/>
          <w:lang w:eastAsia="zh-CN"/>
        </w:rPr>
        <w:t>五</w:t>
      </w:r>
      <w:r>
        <w:rPr>
          <w:rFonts w:ascii="Times New Roman" w:hAnsi="Times New Roman" w:eastAsia="仿宋_GB2312"/>
          <w:color w:val="auto"/>
          <w:sz w:val="32"/>
          <w:szCs w:val="32"/>
        </w:rPr>
        <w:t>）器械标管中心</w:t>
      </w:r>
      <w:r>
        <w:rPr>
          <w:rFonts w:hint="eastAsia" w:ascii="Times New Roman" w:hAnsi="Times New Roman" w:eastAsia="仿宋_GB2312"/>
          <w:color w:val="auto"/>
          <w:sz w:val="32"/>
          <w:szCs w:val="32"/>
        </w:rPr>
        <w:t>及时</w:t>
      </w:r>
      <w:r>
        <w:rPr>
          <w:rFonts w:hint="eastAsia" w:ascii="Times New Roman" w:hAnsi="Times New Roman" w:eastAsia="仿宋_GB2312"/>
          <w:color w:val="auto"/>
          <w:sz w:val="32"/>
          <w:szCs w:val="32"/>
          <w:lang w:eastAsia="zh-CN"/>
        </w:rPr>
        <w:t>梳理汇总分类界定结果及其他情形分类相关信息，提炼整理形成</w:t>
      </w:r>
      <w:r>
        <w:rPr>
          <w:rFonts w:ascii="Times New Roman" w:hAnsi="Times New Roman" w:eastAsia="仿宋_GB2312"/>
          <w:color w:val="auto"/>
          <w:sz w:val="32"/>
          <w:szCs w:val="32"/>
        </w:rPr>
        <w:t>分类界定</w:t>
      </w:r>
      <w:r>
        <w:rPr>
          <w:rFonts w:hint="eastAsia" w:ascii="Times New Roman" w:hAnsi="Times New Roman" w:eastAsia="仿宋_GB2312"/>
          <w:color w:val="auto"/>
          <w:sz w:val="32"/>
          <w:szCs w:val="32"/>
          <w:lang w:eastAsia="zh-CN"/>
        </w:rPr>
        <w:t>信息并定期</w:t>
      </w:r>
      <w:r>
        <w:rPr>
          <w:rFonts w:ascii="Times New Roman" w:hAnsi="Times New Roman" w:eastAsia="仿宋_GB2312"/>
          <w:color w:val="auto"/>
          <w:sz w:val="32"/>
          <w:szCs w:val="32"/>
        </w:rPr>
        <w:t>公布</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相关产品分类界定</w:t>
      </w:r>
      <w:r>
        <w:rPr>
          <w:rFonts w:hint="eastAsia" w:ascii="Times New Roman" w:hAnsi="Times New Roman" w:eastAsia="仿宋_GB2312"/>
          <w:color w:val="auto"/>
          <w:sz w:val="32"/>
          <w:szCs w:val="32"/>
          <w:lang w:eastAsia="zh-CN"/>
        </w:rPr>
        <w:t>信息</w:t>
      </w:r>
      <w:r>
        <w:rPr>
          <w:rFonts w:ascii="Times New Roman" w:hAnsi="Times New Roman" w:eastAsia="仿宋_GB2312"/>
          <w:color w:val="auto"/>
          <w:sz w:val="32"/>
          <w:szCs w:val="32"/>
        </w:rPr>
        <w:t>是基于申请人</w:t>
      </w:r>
      <w:r>
        <w:rPr>
          <w:rFonts w:hint="eastAsia" w:ascii="Times New Roman" w:hAnsi="Times New Roman" w:eastAsia="仿宋_GB2312"/>
          <w:color w:val="auto"/>
          <w:sz w:val="32"/>
          <w:szCs w:val="32"/>
          <w:lang w:eastAsia="zh-CN"/>
        </w:rPr>
        <w:t>等</w:t>
      </w:r>
      <w:r>
        <w:rPr>
          <w:rFonts w:ascii="Times New Roman" w:hAnsi="Times New Roman" w:eastAsia="仿宋_GB2312"/>
          <w:color w:val="auto"/>
          <w:sz w:val="32"/>
          <w:szCs w:val="32"/>
        </w:rPr>
        <w:t>提供的资料得出，不代表对产品</w:t>
      </w:r>
      <w:r>
        <w:rPr>
          <w:rFonts w:hint="eastAsia" w:ascii="Times New Roman" w:hAnsi="Times New Roman" w:eastAsia="仿宋_GB2312"/>
          <w:color w:val="auto"/>
          <w:sz w:val="32"/>
          <w:szCs w:val="32"/>
        </w:rPr>
        <w:t>预期用途或者产品</w:t>
      </w:r>
      <w:r>
        <w:rPr>
          <w:rFonts w:ascii="Times New Roman" w:hAnsi="Times New Roman" w:eastAsia="仿宋_GB2312"/>
          <w:color w:val="auto"/>
          <w:sz w:val="32"/>
          <w:szCs w:val="32"/>
        </w:rPr>
        <w:t>安全性有效性的认可，仅作为医疗器械产品注册</w:t>
      </w:r>
      <w:r>
        <w:rPr>
          <w:rFonts w:hint="eastAsia" w:ascii="Times New Roman" w:hAnsi="Times New Roman" w:eastAsia="仿宋_GB2312"/>
          <w:color w:val="auto"/>
          <w:sz w:val="32"/>
          <w:szCs w:val="32"/>
          <w:lang w:eastAsia="zh-CN"/>
        </w:rPr>
        <w:t>申报或者办理备案路径</w:t>
      </w:r>
      <w:r>
        <w:rPr>
          <w:rFonts w:ascii="Times New Roman" w:hAnsi="Times New Roman" w:eastAsia="仿宋_GB2312"/>
          <w:color w:val="auto"/>
          <w:sz w:val="32"/>
          <w:szCs w:val="32"/>
        </w:rPr>
        <w:t>的</w:t>
      </w:r>
      <w:r>
        <w:rPr>
          <w:rFonts w:hint="eastAsia" w:ascii="Times New Roman" w:hAnsi="Times New Roman" w:eastAsia="仿宋_GB2312"/>
          <w:color w:val="auto"/>
          <w:sz w:val="32"/>
          <w:szCs w:val="32"/>
          <w:lang w:eastAsia="zh-CN"/>
        </w:rPr>
        <w:t>指引，不用于行政执法等其他用途</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分类界定</w:t>
      </w:r>
      <w:r>
        <w:rPr>
          <w:rFonts w:hint="eastAsia" w:ascii="Times New Roman" w:hAnsi="Times New Roman" w:eastAsia="仿宋_GB2312"/>
          <w:color w:val="auto"/>
          <w:sz w:val="32"/>
          <w:szCs w:val="32"/>
          <w:lang w:eastAsia="zh-CN"/>
        </w:rPr>
        <w:t>信息</w:t>
      </w:r>
      <w:r>
        <w:rPr>
          <w:rFonts w:ascii="Times New Roman" w:hAnsi="Times New Roman" w:eastAsia="仿宋_GB2312"/>
          <w:color w:val="auto"/>
          <w:sz w:val="32"/>
          <w:szCs w:val="32"/>
        </w:rPr>
        <w:t>中产品描述和预期用途是用于判定产品的管理属性和类别，不代表相关产品注册或</w:t>
      </w:r>
      <w:r>
        <w:rPr>
          <w:rFonts w:hint="eastAsia" w:ascii="Times New Roman" w:hAnsi="Times New Roman" w:eastAsia="仿宋_GB2312"/>
          <w:color w:val="auto"/>
          <w:sz w:val="32"/>
          <w:szCs w:val="32"/>
        </w:rPr>
        <w:t>者</w:t>
      </w:r>
      <w:r>
        <w:rPr>
          <w:rFonts w:ascii="Times New Roman" w:hAnsi="Times New Roman" w:eastAsia="仿宋_GB2312"/>
          <w:color w:val="auto"/>
          <w:sz w:val="32"/>
          <w:szCs w:val="32"/>
        </w:rPr>
        <w:t>备案内容的完整表述</w:t>
      </w:r>
      <w:r>
        <w:rPr>
          <w:rFonts w:hint="eastAsia" w:ascii="Times New Roman" w:hAnsi="Times New Roman" w:eastAsia="仿宋_GB2312"/>
          <w:color w:val="auto"/>
          <w:sz w:val="32"/>
          <w:szCs w:val="32"/>
          <w:lang w:eastAsia="zh-CN"/>
        </w:rPr>
        <w:t>。</w:t>
      </w:r>
    </w:p>
    <w:p>
      <w:pPr>
        <w:keepNext w:val="0"/>
        <w:keepLines w:val="0"/>
        <w:pageBreakBefore w:val="0"/>
        <w:widowControl w:val="0"/>
        <w:kinsoku/>
        <w:wordWrap/>
        <w:overflowPunct w:val="0"/>
        <w:topLinePunct w:val="0"/>
        <w:autoSpaceDE/>
        <w:autoSpaceDN/>
        <w:bidi w:val="0"/>
        <w:snapToGrid w:val="0"/>
        <w:spacing w:line="590" w:lineRule="exact"/>
        <w:ind w:left="0"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十六</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器械标管中心</w:t>
      </w:r>
      <w:r>
        <w:rPr>
          <w:rFonts w:hint="eastAsia" w:ascii="Times New Roman" w:hAnsi="Times New Roman" w:eastAsia="仿宋_GB2312"/>
          <w:color w:val="auto"/>
          <w:sz w:val="32"/>
          <w:szCs w:val="32"/>
          <w:lang w:eastAsia="zh-CN"/>
        </w:rPr>
        <w:t>按照《医疗器械分类目录动态调整工作程序》</w:t>
      </w:r>
      <w:r>
        <w:rPr>
          <w:rFonts w:hint="eastAsia" w:ascii="Times New Roman" w:hAnsi="Times New Roman" w:eastAsia="仿宋_GB2312"/>
          <w:color w:val="auto"/>
          <w:sz w:val="32"/>
          <w:szCs w:val="32"/>
        </w:rPr>
        <w:t>及时</w:t>
      </w:r>
      <w:r>
        <w:rPr>
          <w:rFonts w:hint="eastAsia" w:ascii="Times New Roman" w:hAnsi="Times New Roman" w:eastAsia="仿宋_GB2312"/>
          <w:color w:val="auto"/>
          <w:sz w:val="32"/>
          <w:szCs w:val="32"/>
          <w:lang w:eastAsia="zh-CN"/>
        </w:rPr>
        <w:t>动态</w:t>
      </w:r>
      <w:r>
        <w:rPr>
          <w:rFonts w:hint="eastAsia" w:ascii="Times New Roman" w:hAnsi="Times New Roman" w:eastAsia="仿宋_GB2312"/>
          <w:color w:val="auto"/>
          <w:sz w:val="32"/>
          <w:szCs w:val="32"/>
        </w:rPr>
        <w:t>调整</w:t>
      </w:r>
      <w:r>
        <w:rPr>
          <w:rFonts w:ascii="Times New Roman" w:hAnsi="Times New Roman" w:eastAsia="仿宋_GB2312"/>
          <w:color w:val="auto"/>
          <w:sz w:val="32"/>
          <w:szCs w:val="32"/>
        </w:rPr>
        <w:t>《分类目录》</w:t>
      </w:r>
      <w:r>
        <w:rPr>
          <w:rFonts w:hint="eastAsia" w:ascii="Times New Roman" w:hAnsi="Times New Roman" w:eastAsia="仿宋_GB2312"/>
          <w:color w:val="auto"/>
          <w:sz w:val="32"/>
          <w:szCs w:val="32"/>
        </w:rPr>
        <w:t>，并更新医疗器械分类数据库</w:t>
      </w:r>
      <w:r>
        <w:rPr>
          <w:rFonts w:ascii="Times New Roman" w:hAnsi="Times New Roman" w:eastAsia="仿宋_GB2312"/>
          <w:color w:val="auto"/>
          <w:sz w:val="32"/>
          <w:szCs w:val="32"/>
        </w:rPr>
        <w:t>。</w:t>
      </w:r>
    </w:p>
    <w:p>
      <w:pPr>
        <w:keepNext w:val="0"/>
        <w:keepLines w:val="0"/>
        <w:pageBreakBefore w:val="0"/>
        <w:widowControl w:val="0"/>
        <w:kinsoku/>
        <w:wordWrap/>
        <w:overflowPunct w:val="0"/>
        <w:topLinePunct w:val="0"/>
        <w:autoSpaceDE/>
        <w:autoSpaceDN/>
        <w:bidi w:val="0"/>
        <w:snapToGrid w:val="0"/>
        <w:spacing w:line="590" w:lineRule="exact"/>
        <w:ind w:left="0"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本通知自</w:t>
      </w:r>
      <w:r>
        <w:rPr>
          <w:rFonts w:ascii="Times New Roman" w:hAnsi="Times New Roman" w:eastAsia="仿宋_GB2312"/>
          <w:color w:val="auto"/>
          <w:sz w:val="32"/>
          <w:szCs w:val="32"/>
        </w:rPr>
        <w:t>2023</w:t>
      </w:r>
      <w:r>
        <w:rPr>
          <w:rFonts w:hint="eastAsia" w:ascii="Times New Roman" w:hAnsi="Times New Roman" w:eastAsia="仿宋_GB2312"/>
          <w:color w:val="auto"/>
          <w:sz w:val="32"/>
          <w:szCs w:val="32"/>
        </w:rPr>
        <w:t>年</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月</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日起实施，原国家食品药品监督管理总局发布的《总局办公厅关于规范医疗器械产品分类有关工作的通知》（食药监办械管〔</w:t>
      </w:r>
      <w:r>
        <w:rPr>
          <w:rFonts w:ascii="Times New Roman" w:hAnsi="Times New Roman" w:eastAsia="仿宋_GB2312"/>
          <w:color w:val="auto"/>
          <w:sz w:val="32"/>
          <w:szCs w:val="32"/>
        </w:rPr>
        <w:t>2017</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127</w:t>
      </w:r>
      <w:r>
        <w:rPr>
          <w:rFonts w:hint="eastAsia" w:ascii="Times New Roman" w:hAnsi="Times New Roman" w:eastAsia="仿宋_GB2312"/>
          <w:color w:val="auto"/>
          <w:sz w:val="32"/>
          <w:szCs w:val="32"/>
        </w:rPr>
        <w:t>号）同时废止。</w:t>
      </w:r>
    </w:p>
    <w:p>
      <w:pPr>
        <w:keepNext w:val="0"/>
        <w:keepLines w:val="0"/>
        <w:pageBreakBefore w:val="0"/>
        <w:widowControl w:val="0"/>
        <w:kinsoku/>
        <w:wordWrap/>
        <w:overflowPunct w:val="0"/>
        <w:topLinePunct w:val="0"/>
        <w:autoSpaceDE/>
        <w:autoSpaceDN/>
        <w:bidi w:val="0"/>
        <w:snapToGrid w:val="0"/>
        <w:spacing w:line="590" w:lineRule="exact"/>
        <w:ind w:left="0" w:firstLine="640" w:firstLineChars="200"/>
        <w:jc w:val="both"/>
        <w:textAlignment w:val="auto"/>
        <w:rPr>
          <w:rFonts w:ascii="Times New Roman" w:hAnsi="Times New Roman" w:eastAsia="仿宋_GB2312"/>
          <w:color w:val="auto"/>
          <w:sz w:val="32"/>
          <w:szCs w:val="32"/>
        </w:rPr>
      </w:pPr>
    </w:p>
    <w:p>
      <w:pPr>
        <w:keepNext w:val="0"/>
        <w:keepLines w:val="0"/>
        <w:pageBreakBefore w:val="0"/>
        <w:widowControl w:val="0"/>
        <w:kinsoku/>
        <w:wordWrap/>
        <w:overflowPunct w:val="0"/>
        <w:topLinePunct w:val="0"/>
        <w:autoSpaceDE/>
        <w:autoSpaceDN/>
        <w:bidi w:val="0"/>
        <w:snapToGrid w:val="0"/>
        <w:spacing w:line="590" w:lineRule="exact"/>
        <w:ind w:left="0" w:firstLine="640" w:firstLineChars="200"/>
        <w:jc w:val="both"/>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附：1.</w:t>
      </w:r>
      <w:r>
        <w:rPr>
          <w:rFonts w:hint="eastAsia" w:ascii="Times New Roman" w:hAnsi="Times New Roman" w:eastAsia="仿宋_GB2312"/>
          <w:color w:val="auto"/>
          <w:sz w:val="32"/>
          <w:szCs w:val="32"/>
        </w:rPr>
        <w:t>新</w:t>
      </w:r>
      <w:r>
        <w:rPr>
          <w:rFonts w:hint="eastAsia" w:ascii="Times New Roman" w:hAnsi="Times New Roman" w:eastAsia="仿宋_GB2312"/>
          <w:color w:val="auto"/>
          <w:spacing w:val="6"/>
          <w:sz w:val="32"/>
          <w:szCs w:val="32"/>
        </w:rPr>
        <w:t>研制尚未列入《分类目录》医疗器械</w:t>
      </w:r>
      <w:r>
        <w:rPr>
          <w:rFonts w:ascii="Times New Roman" w:hAnsi="Times New Roman" w:eastAsia="仿宋_GB2312"/>
          <w:color w:val="auto"/>
          <w:spacing w:val="6"/>
          <w:sz w:val="32"/>
          <w:szCs w:val="32"/>
        </w:rPr>
        <w:t>分类界定工</w:t>
      </w:r>
    </w:p>
    <w:p>
      <w:pPr>
        <w:keepNext w:val="0"/>
        <w:keepLines w:val="0"/>
        <w:pageBreakBefore w:val="0"/>
        <w:widowControl w:val="0"/>
        <w:kinsoku/>
        <w:wordWrap/>
        <w:overflowPunct w:val="0"/>
        <w:topLinePunct w:val="0"/>
        <w:autoSpaceDE/>
        <w:autoSpaceDN/>
        <w:bidi w:val="0"/>
        <w:snapToGrid w:val="0"/>
        <w:spacing w:line="590" w:lineRule="exact"/>
        <w:ind w:left="0" w:leftChars="0" w:firstLine="1539" w:firstLineChars="481"/>
        <w:jc w:val="both"/>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作程序</w:t>
      </w:r>
    </w:p>
    <w:p>
      <w:pPr>
        <w:keepNext w:val="0"/>
        <w:keepLines w:val="0"/>
        <w:pageBreakBefore w:val="0"/>
        <w:widowControl w:val="0"/>
        <w:numPr>
          <w:ilvl w:val="-1"/>
          <w:numId w:val="0"/>
        </w:numPr>
        <w:kinsoku/>
        <w:wordWrap/>
        <w:overflowPunct w:val="0"/>
        <w:topLinePunct w:val="0"/>
        <w:autoSpaceDE/>
        <w:autoSpaceDN/>
        <w:bidi w:val="0"/>
        <w:snapToGrid w:val="0"/>
        <w:spacing w:line="590" w:lineRule="exact"/>
        <w:ind w:left="0" w:firstLine="1280" w:firstLineChars="4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管理类别存疑医疗器械分类界定工作程序</w:t>
      </w:r>
    </w:p>
    <w:p>
      <w:pPr>
        <w:keepNext w:val="0"/>
        <w:keepLines w:val="0"/>
        <w:pageBreakBefore w:val="0"/>
        <w:widowControl w:val="0"/>
        <w:numPr>
          <w:ilvl w:val="-1"/>
          <w:numId w:val="0"/>
        </w:numPr>
        <w:kinsoku/>
        <w:wordWrap/>
        <w:overflowPunct w:val="0"/>
        <w:topLinePunct w:val="0"/>
        <w:autoSpaceDE/>
        <w:autoSpaceDN/>
        <w:bidi w:val="0"/>
        <w:snapToGrid w:val="0"/>
        <w:spacing w:line="590" w:lineRule="exact"/>
        <w:ind w:left="0" w:firstLine="1280" w:firstLineChars="4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w:t>
      </w:r>
      <w:r>
        <w:rPr>
          <w:rFonts w:ascii="Times New Roman" w:hAnsi="Times New Roman" w:eastAsia="仿宋_GB2312"/>
          <w:color w:val="auto"/>
          <w:sz w:val="32"/>
          <w:szCs w:val="32"/>
        </w:rPr>
        <w:t>医疗器械分类界定申请资料要求</w:t>
      </w:r>
    </w:p>
    <w:p>
      <w:pPr>
        <w:keepNext w:val="0"/>
        <w:keepLines w:val="0"/>
        <w:pageBreakBefore w:val="0"/>
        <w:widowControl w:val="0"/>
        <w:kinsoku/>
        <w:wordWrap/>
        <w:overflowPunct w:val="0"/>
        <w:topLinePunct w:val="0"/>
        <w:autoSpaceDE/>
        <w:autoSpaceDN/>
        <w:bidi w:val="0"/>
        <w:snapToGrid w:val="0"/>
        <w:spacing w:line="590" w:lineRule="exact"/>
        <w:ind w:left="0" w:firstLine="1280" w:firstLineChars="4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4.</w:t>
      </w:r>
      <w:r>
        <w:rPr>
          <w:rFonts w:ascii="Times New Roman" w:hAnsi="Times New Roman" w:eastAsia="仿宋_GB2312"/>
          <w:color w:val="auto"/>
          <w:sz w:val="32"/>
          <w:szCs w:val="32"/>
        </w:rPr>
        <w:t>医疗器械分类界定申请表（格式）</w:t>
      </w:r>
    </w:p>
    <w:p>
      <w:pPr>
        <w:keepNext w:val="0"/>
        <w:keepLines w:val="0"/>
        <w:pageBreakBefore w:val="0"/>
        <w:widowControl w:val="0"/>
        <w:kinsoku/>
        <w:wordWrap/>
        <w:overflowPunct w:val="0"/>
        <w:topLinePunct w:val="0"/>
        <w:autoSpaceDE/>
        <w:autoSpaceDN/>
        <w:bidi w:val="0"/>
        <w:snapToGrid w:val="0"/>
        <w:spacing w:line="590" w:lineRule="exact"/>
        <w:ind w:left="0" w:firstLine="1280" w:firstLineChars="4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5.</w:t>
      </w:r>
      <w:r>
        <w:rPr>
          <w:rFonts w:ascii="Times New Roman" w:hAnsi="Times New Roman" w:eastAsia="仿宋_GB2312"/>
          <w:color w:val="auto"/>
          <w:sz w:val="32"/>
          <w:szCs w:val="32"/>
        </w:rPr>
        <w:t>国</w:t>
      </w:r>
      <w:r>
        <w:rPr>
          <w:rFonts w:ascii="Times New Roman" w:hAnsi="Times New Roman" w:eastAsia="仿宋_GB2312"/>
          <w:color w:val="auto"/>
          <w:spacing w:val="6"/>
          <w:sz w:val="32"/>
          <w:szCs w:val="32"/>
        </w:rPr>
        <w:t>家药品监督管理局医疗器械标准管理中心医疗器</w:t>
      </w:r>
    </w:p>
    <w:p>
      <w:pPr>
        <w:keepNext w:val="0"/>
        <w:keepLines w:val="0"/>
        <w:pageBreakBefore w:val="0"/>
        <w:widowControl w:val="0"/>
        <w:kinsoku/>
        <w:wordWrap/>
        <w:overflowPunct w:val="0"/>
        <w:topLinePunct w:val="0"/>
        <w:autoSpaceDE/>
        <w:autoSpaceDN/>
        <w:bidi w:val="0"/>
        <w:snapToGrid w:val="0"/>
        <w:spacing w:line="590" w:lineRule="exact"/>
        <w:ind w:left="0" w:leftChars="0" w:firstLine="1539" w:firstLineChars="481"/>
        <w:jc w:val="both"/>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械分类界定申请告知书（格式）</w:t>
      </w:r>
    </w:p>
    <w:p>
      <w:pPr>
        <w:keepNext w:val="0"/>
        <w:keepLines w:val="0"/>
        <w:pageBreakBefore w:val="0"/>
        <w:widowControl w:val="0"/>
        <w:kinsoku/>
        <w:wordWrap/>
        <w:overflowPunct w:val="0"/>
        <w:topLinePunct w:val="0"/>
        <w:autoSpaceDE/>
        <w:autoSpaceDN/>
        <w:bidi w:val="0"/>
        <w:snapToGrid w:val="0"/>
        <w:spacing w:line="590" w:lineRule="exact"/>
        <w:ind w:left="0" w:firstLine="1280" w:firstLineChars="4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6.</w:t>
      </w:r>
      <w:r>
        <w:rPr>
          <w:rFonts w:ascii="Times New Roman" w:hAnsi="Times New Roman" w:eastAsia="仿宋_GB2312"/>
          <w:color w:val="auto"/>
          <w:sz w:val="32"/>
          <w:szCs w:val="32"/>
        </w:rPr>
        <w:t>省</w:t>
      </w:r>
      <w:r>
        <w:rPr>
          <w:rFonts w:ascii="Times New Roman" w:hAnsi="Times New Roman" w:eastAsia="仿宋_GB2312"/>
          <w:color w:val="auto"/>
          <w:spacing w:val="6"/>
          <w:sz w:val="32"/>
          <w:szCs w:val="32"/>
        </w:rPr>
        <w:t>（区、市）药品监督管理局医疗器械分类界定申</w:t>
      </w:r>
    </w:p>
    <w:p>
      <w:pPr>
        <w:keepNext w:val="0"/>
        <w:keepLines w:val="0"/>
        <w:pageBreakBefore w:val="0"/>
        <w:widowControl w:val="0"/>
        <w:kinsoku/>
        <w:wordWrap/>
        <w:overflowPunct w:val="0"/>
        <w:topLinePunct w:val="0"/>
        <w:autoSpaceDE/>
        <w:autoSpaceDN/>
        <w:bidi w:val="0"/>
        <w:snapToGrid w:val="0"/>
        <w:spacing w:line="590" w:lineRule="exact"/>
        <w:ind w:left="0" w:leftChars="0" w:firstLine="1539" w:firstLineChars="481"/>
        <w:jc w:val="both"/>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 xml:space="preserve">请告知书（格式） </w:t>
      </w:r>
    </w:p>
    <w:p>
      <w:pPr>
        <w:keepNext w:val="0"/>
        <w:keepLines w:val="0"/>
        <w:pageBreakBefore w:val="0"/>
        <w:widowControl w:val="0"/>
        <w:kinsoku/>
        <w:wordWrap/>
        <w:overflowPunct w:val="0"/>
        <w:topLinePunct w:val="0"/>
        <w:autoSpaceDE/>
        <w:autoSpaceDN/>
        <w:bidi w:val="0"/>
        <w:snapToGrid w:val="0"/>
        <w:spacing w:line="590" w:lineRule="exact"/>
        <w:ind w:left="0" w:firstLine="1280" w:firstLineChars="4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7</w:t>
      </w:r>
      <w:r>
        <w:rPr>
          <w:rFonts w:ascii="Times New Roman" w:hAnsi="Times New Roman" w:eastAsia="仿宋_GB2312"/>
          <w:color w:val="auto"/>
          <w:sz w:val="32"/>
          <w:szCs w:val="32"/>
        </w:rPr>
        <w:t>.省</w:t>
      </w:r>
      <w:r>
        <w:rPr>
          <w:rFonts w:ascii="Times New Roman" w:hAnsi="Times New Roman" w:eastAsia="仿宋_GB2312"/>
          <w:color w:val="auto"/>
          <w:spacing w:val="6"/>
          <w:sz w:val="32"/>
          <w:szCs w:val="32"/>
        </w:rPr>
        <w:t>（区、市）药品监督管理局医疗器械分类界定技</w:t>
      </w:r>
    </w:p>
    <w:p>
      <w:pPr>
        <w:keepNext w:val="0"/>
        <w:keepLines w:val="0"/>
        <w:pageBreakBefore w:val="0"/>
        <w:widowControl w:val="0"/>
        <w:kinsoku/>
        <w:wordWrap/>
        <w:overflowPunct w:val="0"/>
        <w:topLinePunct w:val="0"/>
        <w:autoSpaceDE/>
        <w:autoSpaceDN/>
        <w:bidi w:val="0"/>
        <w:snapToGrid w:val="0"/>
        <w:spacing w:line="590" w:lineRule="exact"/>
        <w:ind w:left="0" w:leftChars="0" w:firstLine="1539" w:firstLineChars="481"/>
        <w:jc w:val="both"/>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术建议书（格式）</w:t>
      </w:r>
    </w:p>
    <w:p>
      <w:pPr>
        <w:keepNext w:val="0"/>
        <w:keepLines w:val="0"/>
        <w:pageBreakBefore w:val="0"/>
        <w:widowControl w:val="0"/>
        <w:kinsoku/>
        <w:wordWrap/>
        <w:overflowPunct w:val="0"/>
        <w:topLinePunct w:val="0"/>
        <w:autoSpaceDE/>
        <w:autoSpaceDN/>
        <w:bidi w:val="0"/>
        <w:snapToGrid w:val="0"/>
        <w:spacing w:line="590" w:lineRule="exact"/>
        <w:ind w:left="0" w:firstLine="1280" w:firstLineChars="4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8</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特殊情形分类</w:t>
      </w:r>
      <w:r>
        <w:rPr>
          <w:rFonts w:hint="eastAsia" w:ascii="Times New Roman" w:hAnsi="Times New Roman" w:eastAsia="仿宋_GB2312"/>
          <w:color w:val="auto"/>
          <w:sz w:val="32"/>
          <w:szCs w:val="32"/>
          <w:lang w:val="en-US" w:eastAsia="zh-CN"/>
        </w:rPr>
        <w:t>界定</w:t>
      </w:r>
      <w:r>
        <w:rPr>
          <w:rFonts w:hint="eastAsia" w:ascii="Times New Roman" w:hAnsi="Times New Roman" w:eastAsia="仿宋_GB2312"/>
          <w:color w:val="auto"/>
          <w:sz w:val="32"/>
          <w:szCs w:val="32"/>
        </w:rPr>
        <w:t>程序</w:t>
      </w:r>
    </w:p>
    <w:p>
      <w:pPr>
        <w:keepNext w:val="0"/>
        <w:keepLines w:val="0"/>
        <w:pageBreakBefore w:val="0"/>
        <w:widowControl w:val="0"/>
        <w:kinsoku/>
        <w:wordWrap/>
        <w:overflowPunct w:val="0"/>
        <w:topLinePunct w:val="0"/>
        <w:autoSpaceDN/>
        <w:bidi w:val="0"/>
        <w:jc w:val="left"/>
        <w:textAlignment w:val="auto"/>
        <w:rPr>
          <w:rFonts w:ascii="Times New Roman" w:hAnsi="Times New Roman" w:eastAsia="黑体"/>
          <w:color w:val="auto"/>
          <w:kern w:val="0"/>
          <w:sz w:val="32"/>
          <w:szCs w:val="32"/>
        </w:rPr>
      </w:pPr>
    </w:p>
    <w:p>
      <w:pPr>
        <w:keepNext w:val="0"/>
        <w:keepLines w:val="0"/>
        <w:pageBreakBefore w:val="0"/>
        <w:widowControl w:val="0"/>
        <w:kinsoku/>
        <w:wordWrap/>
        <w:overflowPunct w:val="0"/>
        <w:topLinePunct w:val="0"/>
        <w:autoSpaceDN/>
        <w:bidi w:val="0"/>
        <w:jc w:val="left"/>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br w:type="page"/>
      </w:r>
    </w:p>
    <w:p>
      <w:pPr>
        <w:keepNext w:val="0"/>
        <w:keepLines w:val="0"/>
        <w:pageBreakBefore w:val="0"/>
        <w:widowControl w:val="0"/>
        <w:kinsoku/>
        <w:wordWrap/>
        <w:overflowPunct w:val="0"/>
        <w:topLinePunct w:val="0"/>
        <w:autoSpaceDE/>
        <w:autoSpaceDN/>
        <w:bidi w:val="0"/>
        <w:adjustRightInd/>
        <w:snapToGrid w:val="0"/>
        <w:spacing w:line="590" w:lineRule="exact"/>
        <w:jc w:val="left"/>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附1</w:t>
      </w:r>
    </w:p>
    <w:p>
      <w:pPr>
        <w:keepNext w:val="0"/>
        <w:keepLines w:val="0"/>
        <w:pageBreakBefore w:val="0"/>
        <w:widowControl w:val="0"/>
        <w:kinsoku/>
        <w:wordWrap/>
        <w:overflowPunct w:val="0"/>
        <w:topLinePunct w:val="0"/>
        <w:autoSpaceDE/>
        <w:autoSpaceDN/>
        <w:bidi w:val="0"/>
        <w:adjustRightInd/>
        <w:snapToGrid w:val="0"/>
        <w:spacing w:line="590" w:lineRule="exact"/>
        <w:jc w:val="left"/>
        <w:textAlignment w:val="auto"/>
        <w:rPr>
          <w:rFonts w:ascii="Times New Roman" w:hAnsi="Times New Roman" w:eastAsia="黑体"/>
          <w:color w:val="auto"/>
          <w:kern w:val="0"/>
          <w:sz w:val="32"/>
          <w:szCs w:val="32"/>
        </w:rPr>
      </w:pPr>
    </w:p>
    <w:p>
      <w:pPr>
        <w:keepNext w:val="0"/>
        <w:keepLines w:val="0"/>
        <w:pageBreakBefore w:val="0"/>
        <w:widowControl w:val="0"/>
        <w:kinsoku/>
        <w:wordWrap/>
        <w:overflowPunct w:val="0"/>
        <w:topLinePunct w:val="0"/>
        <w:autoSpaceDE/>
        <w:autoSpaceDN/>
        <w:bidi w:val="0"/>
        <w:adjustRightInd/>
        <w:snapToGrid w:val="0"/>
        <w:spacing w:line="590" w:lineRule="exact"/>
        <w:jc w:val="center"/>
        <w:textAlignment w:val="auto"/>
        <w:rPr>
          <w:rFonts w:hint="eastAsia" w:ascii="Times New Roman" w:hAnsi="Times New Roman" w:eastAsia="方正小标宋简体"/>
          <w:color w:val="auto"/>
          <w:sz w:val="44"/>
          <w:szCs w:val="44"/>
        </w:rPr>
      </w:pPr>
      <w:bookmarkStart w:id="0" w:name="_Hlk135235439"/>
      <w:r>
        <w:rPr>
          <w:rFonts w:hint="eastAsia" w:ascii="Times New Roman" w:hAnsi="Times New Roman" w:eastAsia="方正小标宋简体"/>
          <w:color w:val="auto"/>
          <w:sz w:val="44"/>
          <w:szCs w:val="44"/>
        </w:rPr>
        <w:t>新研制尚未列入《分类目录》医疗器械</w:t>
      </w:r>
    </w:p>
    <w:p>
      <w:pPr>
        <w:keepNext w:val="0"/>
        <w:keepLines w:val="0"/>
        <w:pageBreakBefore w:val="0"/>
        <w:widowControl w:val="0"/>
        <w:kinsoku/>
        <w:wordWrap/>
        <w:overflowPunct w:val="0"/>
        <w:topLinePunct w:val="0"/>
        <w:autoSpaceDE/>
        <w:autoSpaceDN/>
        <w:bidi w:val="0"/>
        <w:adjustRightInd/>
        <w:snapToGrid w:val="0"/>
        <w:spacing w:line="590" w:lineRule="exact"/>
        <w:jc w:val="center"/>
        <w:textAlignment w:val="auto"/>
        <w:rPr>
          <w:rFonts w:ascii="Times New Roman" w:hAnsi="Times New Roman" w:eastAsia="方正小标宋简体"/>
          <w:color w:val="auto"/>
          <w:sz w:val="44"/>
          <w:szCs w:val="44"/>
        </w:rPr>
      </w:pPr>
      <w:r>
        <w:rPr>
          <w:rFonts w:hint="eastAsia" w:ascii="Times New Roman" w:hAnsi="Times New Roman" w:eastAsia="方正小标宋简体"/>
          <w:color w:val="auto"/>
          <w:sz w:val="44"/>
          <w:szCs w:val="44"/>
        </w:rPr>
        <w:t>分类界定工作程序</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ascii="Times New Roman" w:hAnsi="Times New Roman" w:eastAsia="仿宋_GB2312"/>
          <w:color w:val="auto"/>
          <w:kern w:val="0"/>
          <w:sz w:val="32"/>
          <w:szCs w:val="32"/>
        </w:rPr>
      </w:pP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kern w:val="0"/>
          <w:sz w:val="32"/>
          <w:szCs w:val="32"/>
        </w:rPr>
        <w:t>一、提交申请</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申请人登陆“中国食品药品检定研究院（国家药监局医疗器械标准管理中心）”网站（https://www.nifdc.org.cn），依次进入“办事大厅”--“医疗器械标准与分类管理”--“医疗器械分类界定信息系统”页面，在线</w:t>
      </w:r>
      <w:r>
        <w:rPr>
          <w:rFonts w:hint="default" w:ascii="Times New Roman" w:hAnsi="Times New Roman" w:eastAsia="仿宋_GB2312" w:cs="Times New Roman"/>
          <w:color w:val="auto"/>
          <w:sz w:val="32"/>
          <w:szCs w:val="32"/>
        </w:rPr>
        <w:t>提交</w:t>
      </w:r>
      <w:r>
        <w:rPr>
          <w:rFonts w:hint="default" w:ascii="Times New Roman" w:hAnsi="Times New Roman" w:eastAsia="仿宋_GB2312" w:cs="Times New Roman"/>
          <w:color w:val="auto"/>
          <w:kern w:val="0"/>
          <w:sz w:val="32"/>
          <w:szCs w:val="32"/>
        </w:rPr>
        <w:t>申请资料。</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首次登陆系统申请分类界定时，须按照系统提示注册，按照要求在线填写相关资料和上传文件。</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分类界定具体流程见图1。</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二、受理</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default" w:ascii="Times New Roman" w:hAnsi="Times New Roman" w:eastAsia="仿宋_GB2312" w:cs="Times New Roman"/>
          <w:color w:val="auto"/>
          <w:sz w:val="32"/>
          <w:szCs w:val="32"/>
          <w:lang w:val="en" w:eastAsia="zh-CN"/>
        </w:rPr>
      </w:pPr>
      <w:r>
        <w:rPr>
          <w:rFonts w:hint="default" w:ascii="Times New Roman" w:hAnsi="Times New Roman" w:eastAsia="仿宋_GB2312" w:cs="Times New Roman"/>
          <w:color w:val="auto"/>
          <w:kern w:val="0"/>
          <w:sz w:val="32"/>
          <w:szCs w:val="32"/>
        </w:rPr>
        <w:t>器械标管中心收到分类界定申请资料后，对于申请</w:t>
      </w:r>
      <w:r>
        <w:rPr>
          <w:rFonts w:hint="default" w:ascii="Times New Roman" w:hAnsi="Times New Roman" w:eastAsia="仿宋_GB2312" w:cs="Times New Roman"/>
          <w:color w:val="auto"/>
          <w:kern w:val="0"/>
          <w:sz w:val="32"/>
          <w:szCs w:val="32"/>
          <w:lang w:eastAsia="zh-CN"/>
        </w:rPr>
        <w:t>产品确实属于本文件规定</w:t>
      </w:r>
      <w:r>
        <w:rPr>
          <w:rFonts w:hint="default" w:ascii="Times New Roman" w:hAnsi="Times New Roman" w:eastAsia="仿宋_GB2312" w:cs="Times New Roman"/>
          <w:color w:val="auto"/>
          <w:sz w:val="32"/>
          <w:szCs w:val="32"/>
        </w:rPr>
        <w:t>新研制的尚未列入《分类目录》的医疗器械</w:t>
      </w:r>
      <w:r>
        <w:rPr>
          <w:rFonts w:hint="default" w:ascii="Times New Roman" w:hAnsi="Times New Roman" w:eastAsia="仿宋_GB2312" w:cs="Times New Roman"/>
          <w:color w:val="auto"/>
          <w:sz w:val="32"/>
          <w:szCs w:val="32"/>
          <w:lang w:val="en"/>
        </w:rPr>
        <w:t>，</w:t>
      </w:r>
      <w:r>
        <w:rPr>
          <w:rFonts w:hint="default" w:ascii="Times New Roman" w:hAnsi="Times New Roman" w:eastAsia="仿宋_GB2312" w:cs="Times New Roman"/>
          <w:color w:val="auto"/>
          <w:sz w:val="32"/>
          <w:szCs w:val="32"/>
          <w:lang w:val="en" w:eastAsia="zh-CN"/>
        </w:rPr>
        <w:t>且</w:t>
      </w:r>
      <w:r>
        <w:rPr>
          <w:rFonts w:hint="default" w:ascii="Times New Roman" w:hAnsi="Times New Roman" w:eastAsia="仿宋_GB2312" w:cs="Times New Roman"/>
          <w:color w:val="auto"/>
          <w:kern w:val="0"/>
          <w:sz w:val="32"/>
          <w:szCs w:val="32"/>
        </w:rPr>
        <w:t>申请资料齐全、符合形式要求的，予以受理。</w:t>
      </w:r>
      <w:r>
        <w:rPr>
          <w:rFonts w:hint="default" w:ascii="Times New Roman" w:hAnsi="Times New Roman" w:eastAsia="仿宋_GB2312" w:cs="Times New Roman"/>
          <w:color w:val="auto"/>
          <w:kern w:val="0"/>
          <w:sz w:val="32"/>
          <w:szCs w:val="32"/>
          <w:lang w:eastAsia="zh-CN"/>
        </w:rPr>
        <w:t>对于申请产品不属于本文件规定</w:t>
      </w:r>
      <w:r>
        <w:rPr>
          <w:rFonts w:hint="default" w:ascii="Times New Roman" w:hAnsi="Times New Roman" w:eastAsia="仿宋_GB2312" w:cs="Times New Roman"/>
          <w:color w:val="auto"/>
          <w:sz w:val="32"/>
          <w:szCs w:val="32"/>
        </w:rPr>
        <w:t>新研制的尚未列入《分类目录》的医疗器械</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lang w:val="en"/>
        </w:rPr>
        <w:t>，</w:t>
      </w:r>
      <w:r>
        <w:rPr>
          <w:rFonts w:hint="default" w:ascii="Times New Roman" w:hAnsi="Times New Roman" w:eastAsia="仿宋_GB2312" w:cs="Times New Roman"/>
          <w:color w:val="auto"/>
          <w:sz w:val="32"/>
          <w:szCs w:val="32"/>
          <w:lang w:val="en" w:eastAsia="zh-CN"/>
        </w:rPr>
        <w:t>予以退回。</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三、办理</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综合研判：器械标管中心根据申请人提交的申请资料进行综合研究判定。对于分类界定难度大、技术复杂、存在异议的产品，可以组织专家</w:t>
      </w:r>
      <w:r>
        <w:rPr>
          <w:rFonts w:hint="default" w:ascii="Times New Roman" w:hAnsi="Times New Roman" w:eastAsia="仿宋_GB2312" w:cs="Times New Roman"/>
          <w:color w:val="auto"/>
          <w:kern w:val="0"/>
          <w:sz w:val="32"/>
          <w:szCs w:val="32"/>
          <w:lang w:eastAsia="zh-CN"/>
        </w:rPr>
        <w:t>咨询</w:t>
      </w:r>
      <w:r>
        <w:rPr>
          <w:rFonts w:hint="default" w:ascii="Times New Roman" w:hAnsi="Times New Roman" w:eastAsia="仿宋_GB2312" w:cs="Times New Roman"/>
          <w:color w:val="auto"/>
          <w:kern w:val="0"/>
          <w:sz w:val="32"/>
          <w:szCs w:val="32"/>
        </w:rPr>
        <w:t>、组织相关单位研提意见，必要时，可以请申请人参会陈述产品情况。</w:t>
      </w:r>
      <w:r>
        <w:rPr>
          <w:rFonts w:hint="default" w:ascii="Times New Roman" w:hAnsi="Times New Roman" w:eastAsia="仿宋_GB2312" w:cs="Times New Roman"/>
          <w:color w:val="auto"/>
          <w:kern w:val="0"/>
          <w:sz w:val="32"/>
          <w:szCs w:val="32"/>
          <w:lang w:eastAsia="zh-CN"/>
        </w:rPr>
        <w:t>在此基础上</w:t>
      </w:r>
      <w:r>
        <w:rPr>
          <w:rFonts w:hint="default" w:ascii="Times New Roman" w:hAnsi="Times New Roman" w:eastAsia="仿宋_GB2312" w:cs="Times New Roman"/>
          <w:color w:val="auto"/>
          <w:kern w:val="0"/>
          <w:sz w:val="32"/>
          <w:szCs w:val="32"/>
        </w:rPr>
        <w:t>，结合既往分类及注册、监管情况等进行研究，明确分类界定意见。</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sz w:val="32"/>
          <w:szCs w:val="32"/>
        </w:rPr>
        <w:t>告知：根据</w:t>
      </w:r>
      <w:r>
        <w:rPr>
          <w:rFonts w:hint="default" w:ascii="Times New Roman" w:hAnsi="Times New Roman" w:eastAsia="仿宋_GB2312" w:cs="Times New Roman"/>
          <w:color w:val="auto"/>
          <w:kern w:val="0"/>
          <w:sz w:val="32"/>
          <w:szCs w:val="32"/>
        </w:rPr>
        <w:t>器械标管中心研究意见，</w:t>
      </w:r>
      <w:r>
        <w:rPr>
          <w:rFonts w:hint="default" w:ascii="Times New Roman" w:hAnsi="Times New Roman" w:eastAsia="仿宋_GB2312" w:cs="Times New Roman"/>
          <w:color w:val="auto"/>
          <w:sz w:val="32"/>
          <w:szCs w:val="32"/>
        </w:rPr>
        <w:t>分为以下情形：</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分类界定意见不涉及产品管理政策调整、管理属性交叉等问题的，直接在分类界定信息系统告知申请人。</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default" w:ascii="Times New Roman" w:hAnsi="Times New Roman" w:eastAsia="仿宋_GB2312" w:cs="Times New Roman"/>
          <w:color w:val="auto"/>
          <w:sz w:val="32"/>
          <w:szCs w:val="32"/>
          <w:lang w:val="en" w:eastAsia="zh-CN"/>
        </w:rPr>
      </w:pPr>
      <w:r>
        <w:rPr>
          <w:rFonts w:hint="default" w:ascii="Times New Roman" w:hAnsi="Times New Roman" w:eastAsia="仿宋_GB2312" w:cs="Times New Roman"/>
          <w:color w:val="auto"/>
          <w:kern w:val="0"/>
          <w:sz w:val="32"/>
          <w:szCs w:val="32"/>
        </w:rPr>
        <w:t>分类界定意见涉及产品管理政策调整、管理属性交叉等问题，器械标管中心梳理汇总</w:t>
      </w:r>
      <w:r>
        <w:rPr>
          <w:rFonts w:hint="default" w:ascii="Times New Roman" w:hAnsi="Times New Roman" w:eastAsia="仿宋_GB2312" w:cs="Times New Roman"/>
          <w:color w:val="auto"/>
          <w:kern w:val="0"/>
          <w:sz w:val="32"/>
          <w:szCs w:val="32"/>
          <w:lang w:eastAsia="zh-CN"/>
        </w:rPr>
        <w:t>相关</w:t>
      </w:r>
      <w:r>
        <w:rPr>
          <w:rFonts w:hint="default" w:ascii="Times New Roman" w:hAnsi="Times New Roman" w:eastAsia="仿宋_GB2312" w:cs="Times New Roman"/>
          <w:color w:val="auto"/>
          <w:kern w:val="0"/>
          <w:sz w:val="32"/>
          <w:szCs w:val="32"/>
        </w:rPr>
        <w:t>注册/备案产品信息，提出过渡期政策、过渡期时长建议，报送国家药监局审定</w:t>
      </w:r>
      <w:r>
        <w:rPr>
          <w:rFonts w:hint="default" w:ascii="Times New Roman" w:hAnsi="Times New Roman" w:eastAsia="仿宋_GB2312" w:cs="Times New Roman"/>
          <w:color w:val="auto"/>
          <w:kern w:val="0"/>
          <w:sz w:val="32"/>
          <w:szCs w:val="32"/>
          <w:lang w:eastAsia="zh-CN"/>
        </w:rPr>
        <w:t>同意</w:t>
      </w:r>
      <w:r>
        <w:rPr>
          <w:rFonts w:hint="default" w:ascii="Times New Roman" w:hAnsi="Times New Roman" w:eastAsia="仿宋_GB2312" w:cs="Times New Roman"/>
          <w:color w:val="auto"/>
          <w:kern w:val="0"/>
          <w:sz w:val="32"/>
          <w:szCs w:val="32"/>
        </w:rPr>
        <w:t>后，通过分类界定信息系统将分类界定结果告知申请人</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lang w:eastAsia="zh-CN"/>
        </w:rPr>
        <w:t>三</w:t>
      </w:r>
      <w:r>
        <w:rPr>
          <w:rFonts w:hint="default" w:ascii="Times New Roman" w:hAnsi="Times New Roman" w:eastAsia="黑体" w:cs="Times New Roman"/>
          <w:color w:val="auto"/>
          <w:kern w:val="0"/>
          <w:sz w:val="32"/>
          <w:szCs w:val="32"/>
        </w:rPr>
        <w:t>、时限要求</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器械标管中心受理时限为3个工作日。</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器械标管中心受理分类界定申请后20个工作日内告知分类界定结果，或者提出分类界定意见报送国家药监局审定。收到国家药监局审定意见后，</w:t>
      </w:r>
      <w:r>
        <w:rPr>
          <w:rFonts w:hint="default" w:ascii="Times New Roman" w:hAnsi="Times New Roman" w:eastAsia="仿宋_GB2312" w:cs="Times New Roman"/>
          <w:color w:val="auto"/>
          <w:kern w:val="0"/>
          <w:sz w:val="32"/>
          <w:szCs w:val="32"/>
          <w:lang w:eastAsia="zh-CN"/>
        </w:rPr>
        <w:t>尽快</w:t>
      </w:r>
      <w:r>
        <w:rPr>
          <w:rFonts w:hint="default" w:ascii="Times New Roman" w:hAnsi="Times New Roman" w:eastAsia="仿宋_GB2312" w:cs="Times New Roman"/>
          <w:color w:val="auto"/>
          <w:kern w:val="0"/>
          <w:sz w:val="32"/>
          <w:szCs w:val="32"/>
        </w:rPr>
        <w:t>告知分类界定结果。</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需要补正资料的，申请人应当在分类补正通知发出之日起30个工作日内，按照补正通知的要求一次提供补充资料。逾期未提交补充资料或者补充资料不符合要求的，</w:t>
      </w:r>
      <w:r>
        <w:rPr>
          <w:rFonts w:hint="default" w:ascii="Times New Roman" w:hAnsi="Times New Roman" w:eastAsia="仿宋_GB2312" w:cs="Times New Roman"/>
          <w:color w:val="auto"/>
          <w:kern w:val="0"/>
          <w:sz w:val="32"/>
          <w:szCs w:val="32"/>
          <w:lang w:eastAsia="zh-CN"/>
        </w:rPr>
        <w:t>在分类界定信息系统内退回分类界定申请。</w:t>
      </w:r>
      <w:r>
        <w:rPr>
          <w:rFonts w:hint="default" w:ascii="Times New Roman" w:hAnsi="Times New Roman" w:eastAsia="仿宋_GB2312" w:cs="Times New Roman"/>
          <w:color w:val="auto"/>
          <w:kern w:val="0"/>
          <w:sz w:val="32"/>
          <w:szCs w:val="32"/>
        </w:rPr>
        <w:t>申请人完善相关申请资料后可重新申请。</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专家研究、相关部门研提意见、国家药监局审定、申请人补正资料等环节所需时间不计算在分类界定工作时限内。</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五、其他</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器械标管中心</w:t>
      </w:r>
      <w:r>
        <w:rPr>
          <w:rFonts w:hint="default" w:ascii="Times New Roman" w:hAnsi="Times New Roman" w:eastAsia="仿宋_GB2312" w:cs="Times New Roman"/>
          <w:color w:val="auto"/>
          <w:kern w:val="0"/>
          <w:sz w:val="32"/>
          <w:szCs w:val="32"/>
        </w:rPr>
        <w:t>应当公布联系方式。申请人若对产品分类界定结果有异议或者疑问，可与</w:t>
      </w:r>
      <w:r>
        <w:rPr>
          <w:rFonts w:hint="default" w:ascii="Times New Roman" w:hAnsi="Times New Roman" w:eastAsia="仿宋_GB2312" w:cs="Times New Roman"/>
          <w:color w:val="auto"/>
          <w:kern w:val="0"/>
          <w:sz w:val="32"/>
          <w:szCs w:val="32"/>
          <w:lang w:eastAsia="zh-CN"/>
        </w:rPr>
        <w:t>器械标管中心</w:t>
      </w:r>
      <w:r>
        <w:rPr>
          <w:rFonts w:hint="default" w:ascii="Times New Roman" w:hAnsi="Times New Roman" w:eastAsia="仿宋_GB2312" w:cs="Times New Roman"/>
          <w:color w:val="auto"/>
          <w:kern w:val="0"/>
          <w:sz w:val="32"/>
          <w:szCs w:val="32"/>
        </w:rPr>
        <w:t>沟通交流。若仍有异议，申请人可进一步完善资料后重新提交分类界定申请。</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对于有证据表明分类申请资料可能存在虚假的，器械标管中心可以中止</w:t>
      </w:r>
      <w:r>
        <w:rPr>
          <w:rFonts w:hint="default" w:ascii="Times New Roman" w:hAnsi="Times New Roman" w:eastAsia="仿宋_GB2312" w:cs="Times New Roman"/>
          <w:color w:val="auto"/>
          <w:kern w:val="0"/>
          <w:sz w:val="32"/>
          <w:szCs w:val="32"/>
          <w:lang w:eastAsia="zh-CN"/>
        </w:rPr>
        <w:t>办理</w:t>
      </w:r>
      <w:r>
        <w:rPr>
          <w:rFonts w:hint="default" w:ascii="Times New Roman" w:hAnsi="Times New Roman" w:eastAsia="仿宋_GB2312" w:cs="Times New Roman"/>
          <w:color w:val="auto"/>
          <w:kern w:val="0"/>
          <w:sz w:val="32"/>
          <w:szCs w:val="32"/>
        </w:rPr>
        <w:t>分类界定；经核实后，</w:t>
      </w:r>
      <w:r>
        <w:rPr>
          <w:rFonts w:hint="default" w:ascii="Times New Roman" w:hAnsi="Times New Roman" w:eastAsia="仿宋_GB2312" w:cs="Times New Roman"/>
          <w:color w:val="auto"/>
          <w:kern w:val="0"/>
          <w:sz w:val="32"/>
          <w:szCs w:val="32"/>
          <w:lang w:eastAsia="zh-CN"/>
        </w:rPr>
        <w:t>对于</w:t>
      </w:r>
      <w:r>
        <w:rPr>
          <w:rFonts w:hint="default" w:ascii="Times New Roman" w:hAnsi="Times New Roman" w:eastAsia="仿宋_GB2312" w:cs="Times New Roman"/>
          <w:color w:val="auto"/>
          <w:kern w:val="0"/>
          <w:sz w:val="32"/>
          <w:szCs w:val="32"/>
        </w:rPr>
        <w:t>不存在虚假的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继续</w:t>
      </w:r>
      <w:r>
        <w:rPr>
          <w:rFonts w:hint="default" w:ascii="Times New Roman" w:hAnsi="Times New Roman" w:eastAsia="仿宋_GB2312" w:cs="Times New Roman"/>
          <w:color w:val="auto"/>
          <w:kern w:val="0"/>
          <w:sz w:val="32"/>
          <w:szCs w:val="32"/>
          <w:lang w:eastAsia="zh-CN"/>
        </w:rPr>
        <w:t>办理；对于</w:t>
      </w:r>
      <w:r>
        <w:rPr>
          <w:rFonts w:hint="default" w:ascii="Times New Roman" w:hAnsi="Times New Roman" w:eastAsia="仿宋_GB2312" w:cs="Times New Roman"/>
          <w:color w:val="auto"/>
          <w:kern w:val="0"/>
          <w:sz w:val="32"/>
          <w:szCs w:val="32"/>
        </w:rPr>
        <w:t>存在虚假的</w:t>
      </w:r>
      <w:r>
        <w:rPr>
          <w:rFonts w:hint="default" w:ascii="Times New Roman" w:hAnsi="Times New Roman" w:eastAsia="仿宋_GB2312" w:cs="Times New Roman"/>
          <w:color w:val="auto"/>
          <w:kern w:val="0"/>
          <w:sz w:val="32"/>
          <w:szCs w:val="32"/>
          <w:lang w:eastAsia="zh-CN"/>
        </w:rPr>
        <w:t>，在分类界定信息系统内退回分类界定申请</w:t>
      </w:r>
      <w:r>
        <w:rPr>
          <w:rFonts w:hint="default" w:ascii="Times New Roman" w:hAnsi="Times New Roman" w:eastAsia="仿宋_GB2312" w:cs="Times New Roman"/>
          <w:color w:val="auto"/>
          <w:kern w:val="0"/>
          <w:sz w:val="32"/>
          <w:szCs w:val="32"/>
        </w:rPr>
        <w:t>。</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br w:type="page"/>
      </w:r>
    </w:p>
    <w:p>
      <w:pPr>
        <w:keepNext w:val="0"/>
        <w:keepLines w:val="0"/>
        <w:pageBreakBefore w:val="0"/>
        <w:widowControl w:val="0"/>
        <w:kinsoku/>
        <w:wordWrap/>
        <w:overflowPunct w:val="0"/>
        <w:topLinePunct w:val="0"/>
        <w:autoSpaceDE/>
        <w:autoSpaceDN/>
        <w:bidi w:val="0"/>
        <w:adjustRightInd/>
        <w:snapToGrid w:val="0"/>
        <w:spacing w:line="560" w:lineRule="exact"/>
        <w:jc w:val="left"/>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附</w:t>
      </w:r>
      <w:r>
        <w:rPr>
          <w:rFonts w:hint="eastAsia" w:ascii="黑体" w:hAnsi="黑体" w:eastAsia="黑体" w:cs="黑体"/>
          <w:color w:val="auto"/>
          <w:kern w:val="0"/>
          <w:sz w:val="32"/>
          <w:szCs w:val="32"/>
          <w:lang w:val="en-US" w:eastAsia="zh-CN"/>
        </w:rPr>
        <w:t>2</w:t>
      </w:r>
    </w:p>
    <w:p>
      <w:pPr>
        <w:keepNext w:val="0"/>
        <w:keepLines w:val="0"/>
        <w:pageBreakBefore w:val="0"/>
        <w:widowControl w:val="0"/>
        <w:kinsoku/>
        <w:wordWrap/>
        <w:overflowPunct w:val="0"/>
        <w:topLinePunct w:val="0"/>
        <w:autoSpaceDE/>
        <w:autoSpaceDN/>
        <w:bidi w:val="0"/>
        <w:adjustRightInd/>
        <w:snapToGrid w:val="0"/>
        <w:spacing w:line="560" w:lineRule="exact"/>
        <w:jc w:val="left"/>
        <w:textAlignment w:val="auto"/>
        <w:rPr>
          <w:rFonts w:hint="default" w:ascii="Times New Roman" w:hAnsi="Times New Roman" w:eastAsia="黑体" w:cs="Times New Roman"/>
          <w:color w:val="auto"/>
          <w:kern w:val="0"/>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管理类别存疑医疗器械分类界定工作程序</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kern w:val="0"/>
          <w:sz w:val="32"/>
          <w:szCs w:val="32"/>
        </w:rPr>
        <w:t>一、提交申请</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申请人登陆“中国食品药品检定研究院（国家药监局医疗器械标准管理中心）”网站（https://www.nifdc.org.cn），依次进入“办事大厅”--“医疗器械标准与分类管理”--“医疗器械分类界定信息系统”页面，在线</w:t>
      </w:r>
      <w:r>
        <w:rPr>
          <w:rFonts w:hint="default" w:ascii="Times New Roman" w:hAnsi="Times New Roman" w:eastAsia="仿宋_GB2312" w:cs="Times New Roman"/>
          <w:color w:val="auto"/>
          <w:sz w:val="32"/>
          <w:szCs w:val="32"/>
        </w:rPr>
        <w:t>提交</w:t>
      </w:r>
      <w:r>
        <w:rPr>
          <w:rFonts w:hint="default" w:ascii="Times New Roman" w:hAnsi="Times New Roman" w:eastAsia="仿宋_GB2312" w:cs="Times New Roman"/>
          <w:color w:val="auto"/>
          <w:kern w:val="0"/>
          <w:sz w:val="32"/>
          <w:szCs w:val="32"/>
        </w:rPr>
        <w:t>申请资料。</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首次登陆系统申请分类界定时，须按照系统提示注册，按照要求在线填写相关资料和上传文件。</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rPr>
        <w:t>二、省级药品监督管理部门办理</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省级药品监督管理部门收到</w:t>
      </w:r>
      <w:r>
        <w:rPr>
          <w:rFonts w:hint="default" w:ascii="Times New Roman" w:hAnsi="Times New Roman" w:eastAsia="仿宋_GB2312" w:cs="Times New Roman"/>
          <w:color w:val="auto"/>
          <w:kern w:val="0"/>
          <w:sz w:val="32"/>
          <w:szCs w:val="32"/>
          <w:lang w:eastAsia="zh-CN"/>
        </w:rPr>
        <w:t>行政区域内国产产品</w:t>
      </w:r>
      <w:r>
        <w:rPr>
          <w:rFonts w:hint="default" w:ascii="Times New Roman" w:hAnsi="Times New Roman" w:eastAsia="仿宋_GB2312" w:cs="Times New Roman"/>
          <w:color w:val="auto"/>
          <w:kern w:val="0"/>
          <w:sz w:val="32"/>
          <w:szCs w:val="32"/>
        </w:rPr>
        <w:t>分类界定申请资料后</w:t>
      </w:r>
      <w:r>
        <w:rPr>
          <w:rFonts w:hint="default" w:ascii="Times New Roman" w:hAnsi="Times New Roman" w:eastAsia="仿宋_GB2312" w:cs="Times New Roman"/>
          <w:color w:val="auto"/>
          <w:kern w:val="0"/>
          <w:sz w:val="32"/>
          <w:szCs w:val="32"/>
          <w:lang w:eastAsia="zh-CN"/>
        </w:rPr>
        <w:t>，开展以下工作：</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综合研判：根据</w:t>
      </w:r>
      <w:r>
        <w:rPr>
          <w:rFonts w:hint="default" w:ascii="Times New Roman" w:hAnsi="Times New Roman" w:eastAsia="仿宋_GB2312" w:cs="Times New Roman"/>
          <w:color w:val="auto"/>
          <w:kern w:val="0"/>
          <w:sz w:val="32"/>
          <w:szCs w:val="32"/>
          <w:lang w:eastAsia="zh-CN"/>
        </w:rPr>
        <w:t>申请资料</w:t>
      </w:r>
      <w:r>
        <w:rPr>
          <w:rFonts w:hint="default" w:ascii="Times New Roman" w:hAnsi="Times New Roman" w:eastAsia="仿宋_GB2312" w:cs="Times New Roman"/>
          <w:color w:val="auto"/>
          <w:kern w:val="0"/>
          <w:sz w:val="32"/>
          <w:szCs w:val="32"/>
        </w:rPr>
        <w:t>，对照《分类规则》</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相关分类界定指导原则</w:t>
      </w:r>
      <w:r>
        <w:rPr>
          <w:rFonts w:hint="default" w:ascii="Times New Roman" w:hAnsi="Times New Roman" w:eastAsia="仿宋_GB2312" w:cs="Times New Roman"/>
          <w:color w:val="auto"/>
          <w:kern w:val="0"/>
          <w:sz w:val="32"/>
          <w:szCs w:val="32"/>
          <w:lang w:eastAsia="zh-CN"/>
        </w:rPr>
        <w:t>及</w:t>
      </w:r>
      <w:r>
        <w:rPr>
          <w:rFonts w:hint="default" w:ascii="Times New Roman" w:hAnsi="Times New Roman" w:eastAsia="仿宋_GB2312" w:cs="Times New Roman"/>
          <w:color w:val="auto"/>
          <w:kern w:val="0"/>
          <w:sz w:val="32"/>
          <w:szCs w:val="32"/>
        </w:rPr>
        <w:t>《分类目录》等文件，综合研究判定产品的管理属性及别。研判过程中，必要时可以组织专家研究；需要补正资料的，可以提出补正要求。</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告知：对经研究</w:t>
      </w:r>
      <w:r>
        <w:rPr>
          <w:rFonts w:hint="default" w:ascii="Times New Roman" w:hAnsi="Times New Roman" w:eastAsia="仿宋_GB2312" w:cs="Times New Roman"/>
          <w:color w:val="auto"/>
          <w:sz w:val="32"/>
          <w:szCs w:val="32"/>
          <w:lang w:eastAsia="zh-CN"/>
        </w:rPr>
        <w:t>能够明确</w:t>
      </w:r>
      <w:r>
        <w:rPr>
          <w:rFonts w:hint="default" w:ascii="Times New Roman" w:hAnsi="Times New Roman" w:eastAsia="仿宋_GB2312" w:cs="Times New Roman"/>
          <w:color w:val="auto"/>
          <w:sz w:val="32"/>
          <w:szCs w:val="32"/>
        </w:rPr>
        <w:t>判定产品管理类别</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kern w:val="0"/>
          <w:sz w:val="32"/>
          <w:szCs w:val="32"/>
        </w:rPr>
        <w:t>直接在分类界定信息系统告知申请人分类界定结果。</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其中，对于经研究认为</w:t>
      </w:r>
      <w:r>
        <w:rPr>
          <w:rFonts w:hint="default" w:ascii="Times New Roman" w:hAnsi="Times New Roman" w:eastAsia="仿宋_GB2312" w:cs="Times New Roman"/>
          <w:color w:val="auto"/>
          <w:kern w:val="0"/>
          <w:sz w:val="32"/>
          <w:szCs w:val="32"/>
        </w:rPr>
        <w:t>属于《分类目录》中的医疗器械的，</w:t>
      </w:r>
      <w:r>
        <w:rPr>
          <w:rFonts w:hint="default" w:ascii="Times New Roman" w:hAnsi="Times New Roman" w:eastAsia="仿宋_GB2312" w:cs="Times New Roman"/>
          <w:color w:val="auto"/>
          <w:sz w:val="32"/>
          <w:szCs w:val="32"/>
        </w:rPr>
        <w:t>告知申请人参照《分类目录》中的具体</w:t>
      </w:r>
      <w:r>
        <w:rPr>
          <w:rFonts w:hint="default" w:ascii="Times New Roman" w:hAnsi="Times New Roman" w:eastAsia="仿宋_GB2312" w:cs="Times New Roman"/>
          <w:color w:val="auto"/>
          <w:sz w:val="32"/>
          <w:szCs w:val="32"/>
          <w:lang w:eastAsia="zh-CN"/>
        </w:rPr>
        <w:t>二级</w:t>
      </w:r>
      <w:r>
        <w:rPr>
          <w:rFonts w:hint="default" w:ascii="Times New Roman" w:hAnsi="Times New Roman" w:eastAsia="仿宋_GB2312" w:cs="Times New Roman"/>
          <w:color w:val="auto"/>
          <w:sz w:val="32"/>
          <w:szCs w:val="32"/>
        </w:rPr>
        <w:t>类别进行注册申报</w:t>
      </w:r>
      <w:r>
        <w:rPr>
          <w:rFonts w:hint="default" w:ascii="Times New Roman" w:hAnsi="Times New Roman" w:eastAsia="仿宋_GB2312" w:cs="Times New Roman"/>
          <w:color w:val="auto"/>
          <w:sz w:val="32"/>
          <w:szCs w:val="32"/>
          <w:lang w:eastAsia="zh-CN"/>
        </w:rPr>
        <w:t>或者办理备案</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b/>
          <w:bCs/>
          <w:color w:val="auto"/>
          <w:kern w:val="0"/>
          <w:sz w:val="30"/>
          <w:szCs w:val="30"/>
        </w:rPr>
      </w:pP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上报：对经研究</w:t>
      </w:r>
      <w:r>
        <w:rPr>
          <w:rFonts w:hint="default" w:ascii="Times New Roman" w:hAnsi="Times New Roman" w:eastAsia="仿宋_GB2312" w:cs="Times New Roman"/>
          <w:color w:val="auto"/>
          <w:sz w:val="32"/>
          <w:szCs w:val="32"/>
          <w:lang w:eastAsia="zh-CN"/>
        </w:rPr>
        <w:t>不能明确</w:t>
      </w:r>
      <w:r>
        <w:rPr>
          <w:rFonts w:hint="default" w:ascii="Times New Roman" w:hAnsi="Times New Roman" w:eastAsia="仿宋_GB2312" w:cs="Times New Roman"/>
          <w:color w:val="auto"/>
          <w:sz w:val="32"/>
          <w:szCs w:val="32"/>
        </w:rPr>
        <w:t>判定产品管理类别</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应当依据《分类规则》</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相关分类界定指导原则</w:t>
      </w:r>
      <w:r>
        <w:rPr>
          <w:rFonts w:hint="default" w:ascii="Times New Roman" w:hAnsi="Times New Roman" w:eastAsia="仿宋_GB2312" w:cs="Times New Roman"/>
          <w:color w:val="auto"/>
          <w:kern w:val="0"/>
          <w:sz w:val="32"/>
          <w:szCs w:val="32"/>
          <w:lang w:eastAsia="zh-CN"/>
        </w:rPr>
        <w:t>及</w:t>
      </w:r>
      <w:r>
        <w:rPr>
          <w:rFonts w:hint="default" w:ascii="Times New Roman" w:hAnsi="Times New Roman" w:eastAsia="仿宋_GB2312" w:cs="Times New Roman"/>
          <w:color w:val="auto"/>
          <w:kern w:val="0"/>
          <w:sz w:val="32"/>
          <w:szCs w:val="32"/>
        </w:rPr>
        <w:t>《分类目录》等文件</w:t>
      </w:r>
      <w:r>
        <w:rPr>
          <w:rFonts w:hint="default" w:ascii="Times New Roman" w:hAnsi="Times New Roman" w:eastAsia="仿宋_GB2312" w:cs="Times New Roman"/>
          <w:color w:val="auto"/>
          <w:sz w:val="32"/>
          <w:szCs w:val="32"/>
        </w:rPr>
        <w:t>提出预分类界定意见，通过分类界定信息系统将相关资料提交至器械标管中心。</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三、</w:t>
      </w:r>
      <w:r>
        <w:rPr>
          <w:rFonts w:hint="default" w:ascii="Times New Roman" w:hAnsi="Times New Roman" w:eastAsia="黑体" w:cs="Times New Roman"/>
          <w:color w:val="auto"/>
          <w:kern w:val="0"/>
          <w:sz w:val="32"/>
          <w:szCs w:val="32"/>
          <w:lang w:eastAsia="zh-CN"/>
        </w:rPr>
        <w:t>器械标管中心</w:t>
      </w:r>
      <w:r>
        <w:rPr>
          <w:rFonts w:hint="default" w:ascii="Times New Roman" w:hAnsi="Times New Roman" w:eastAsia="黑体" w:cs="Times New Roman"/>
          <w:color w:val="auto"/>
          <w:kern w:val="0"/>
          <w:sz w:val="32"/>
          <w:szCs w:val="32"/>
        </w:rPr>
        <w:t>办理</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器械标管中心</w:t>
      </w:r>
      <w:r>
        <w:rPr>
          <w:rFonts w:hint="default" w:ascii="Times New Roman" w:hAnsi="Times New Roman" w:eastAsia="仿宋_GB2312" w:cs="Times New Roman"/>
          <w:color w:val="auto"/>
          <w:kern w:val="0"/>
          <w:sz w:val="32"/>
          <w:szCs w:val="32"/>
          <w:lang w:eastAsia="zh-CN"/>
        </w:rPr>
        <w:t>收到进口及港澳台医疗器械分类界定申请，以及省级药品监督管理部门提交的国产医疗器械分类界定申请和预分类界定意见后，开展以下工作：</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color w:val="auto"/>
          <w:kern w:val="0"/>
          <w:sz w:val="32"/>
          <w:szCs w:val="32"/>
        </w:rPr>
        <w:t>（一）</w:t>
      </w:r>
      <w:r>
        <w:rPr>
          <w:rFonts w:hint="default" w:ascii="Times New Roman" w:hAnsi="Times New Roman" w:eastAsia="仿宋_GB2312" w:cs="Times New Roman"/>
          <w:color w:val="auto"/>
          <w:kern w:val="0"/>
          <w:sz w:val="32"/>
          <w:szCs w:val="32"/>
        </w:rPr>
        <w:t>综合研判：根据申请资料及省级药品监督管理部门提交的分类界定技术建议等进行综合研究判定。对于分类界定难度大、技术复杂、存在异议的产品，可以组织专家</w:t>
      </w:r>
      <w:r>
        <w:rPr>
          <w:rFonts w:hint="default" w:ascii="Times New Roman" w:hAnsi="Times New Roman" w:eastAsia="仿宋_GB2312" w:cs="Times New Roman"/>
          <w:color w:val="auto"/>
          <w:kern w:val="0"/>
          <w:sz w:val="32"/>
          <w:szCs w:val="32"/>
          <w:lang w:eastAsia="zh-CN"/>
        </w:rPr>
        <w:t>咨询</w:t>
      </w:r>
      <w:r>
        <w:rPr>
          <w:rFonts w:hint="default" w:ascii="Times New Roman" w:hAnsi="Times New Roman" w:eastAsia="仿宋_GB2312" w:cs="Times New Roman"/>
          <w:color w:val="auto"/>
          <w:kern w:val="0"/>
          <w:sz w:val="32"/>
          <w:szCs w:val="32"/>
        </w:rPr>
        <w:t>、组织相关单位研提意见，必要时，可以请申请人参会陈述产品情况。</w:t>
      </w:r>
      <w:r>
        <w:rPr>
          <w:rFonts w:hint="default" w:ascii="Times New Roman" w:hAnsi="Times New Roman" w:eastAsia="仿宋_GB2312" w:cs="Times New Roman"/>
          <w:color w:val="auto"/>
          <w:kern w:val="0"/>
          <w:sz w:val="32"/>
          <w:szCs w:val="32"/>
          <w:lang w:eastAsia="zh-CN"/>
        </w:rPr>
        <w:t>在此基础上</w:t>
      </w:r>
      <w:r>
        <w:rPr>
          <w:rFonts w:hint="default" w:ascii="Times New Roman" w:hAnsi="Times New Roman" w:eastAsia="仿宋_GB2312" w:cs="Times New Roman"/>
          <w:color w:val="auto"/>
          <w:kern w:val="0"/>
          <w:sz w:val="32"/>
          <w:szCs w:val="32"/>
        </w:rPr>
        <w:t>，结合既往分类及注册、监管情况等进行研究，明确分类界定意见。</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告知：根据</w:t>
      </w:r>
      <w:r>
        <w:rPr>
          <w:rFonts w:hint="default" w:ascii="Times New Roman" w:hAnsi="Times New Roman" w:eastAsia="仿宋_GB2312" w:cs="Times New Roman"/>
          <w:color w:val="auto"/>
          <w:kern w:val="0"/>
          <w:sz w:val="32"/>
          <w:szCs w:val="32"/>
        </w:rPr>
        <w:t>器械标管中心研究意见，</w:t>
      </w:r>
      <w:r>
        <w:rPr>
          <w:rFonts w:hint="default" w:ascii="Times New Roman" w:hAnsi="Times New Roman" w:eastAsia="仿宋_GB2312" w:cs="Times New Roman"/>
          <w:color w:val="auto"/>
          <w:sz w:val="32"/>
          <w:szCs w:val="32"/>
        </w:rPr>
        <w:t>分为以下情形：</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认为属于《分类目录》等文件中的医疗器械的，直接在分类界定信息系统告知申请人分类界定结果。</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分类界定意见不涉及产品管理政策调整、管理属性交叉等问题的，直接在分类界定信息系统告知申请人。</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分类界定意见与已注册/备案产品或者《分类目录》等文件不一致，涉及产品管理政策调整、管理属性交叉等问题，器械标管中心梳理汇总已注册/备案产品信息，提出已注册/备案产品过渡期政策、过渡期时长建议，报送国家药监局审定</w:t>
      </w:r>
      <w:r>
        <w:rPr>
          <w:rFonts w:hint="default" w:ascii="Times New Roman" w:hAnsi="Times New Roman" w:eastAsia="仿宋_GB2312" w:cs="Times New Roman"/>
          <w:color w:val="auto"/>
          <w:kern w:val="0"/>
          <w:sz w:val="32"/>
          <w:szCs w:val="32"/>
          <w:lang w:eastAsia="zh-CN"/>
        </w:rPr>
        <w:t>同意</w:t>
      </w:r>
      <w:r>
        <w:rPr>
          <w:rFonts w:hint="default" w:ascii="Times New Roman" w:hAnsi="Times New Roman" w:eastAsia="仿宋_GB2312" w:cs="Times New Roman"/>
          <w:color w:val="auto"/>
          <w:kern w:val="0"/>
          <w:sz w:val="32"/>
          <w:szCs w:val="32"/>
        </w:rPr>
        <w:t>后，通过分类界定信息系统将分类界定结果告知申请人</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四、时限要求</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省级药品监督管理部门</w:t>
      </w:r>
      <w:r>
        <w:rPr>
          <w:rFonts w:hint="default" w:ascii="Times New Roman" w:hAnsi="Times New Roman" w:eastAsia="仿宋_GB2312" w:cs="Times New Roman"/>
          <w:color w:val="auto"/>
          <w:kern w:val="0"/>
          <w:sz w:val="32"/>
          <w:szCs w:val="32"/>
          <w:lang w:eastAsia="zh-CN"/>
        </w:rPr>
        <w:t>收到</w:t>
      </w:r>
      <w:r>
        <w:rPr>
          <w:rFonts w:hint="default" w:ascii="Times New Roman" w:hAnsi="Times New Roman" w:eastAsia="仿宋_GB2312" w:cs="Times New Roman"/>
          <w:color w:val="auto"/>
          <w:kern w:val="0"/>
          <w:sz w:val="32"/>
          <w:szCs w:val="32"/>
        </w:rPr>
        <w:t>分类界定</w:t>
      </w:r>
      <w:r>
        <w:rPr>
          <w:rFonts w:hint="default" w:ascii="Times New Roman" w:hAnsi="Times New Roman" w:eastAsia="仿宋_GB2312" w:cs="Times New Roman"/>
          <w:color w:val="auto"/>
          <w:kern w:val="0"/>
          <w:sz w:val="32"/>
          <w:szCs w:val="32"/>
          <w:lang w:eastAsia="zh-CN"/>
        </w:rPr>
        <w:t>申请</w:t>
      </w:r>
      <w:r>
        <w:rPr>
          <w:rFonts w:hint="default" w:ascii="Times New Roman" w:hAnsi="Times New Roman" w:eastAsia="仿宋_GB2312" w:cs="Times New Roman"/>
          <w:color w:val="auto"/>
          <w:kern w:val="0"/>
          <w:sz w:val="32"/>
          <w:szCs w:val="32"/>
        </w:rPr>
        <w:t>后20个工作日内告知分类界定结果，或者提出预分类界定意见</w:t>
      </w:r>
      <w:r>
        <w:rPr>
          <w:rFonts w:hint="default" w:ascii="Times New Roman" w:hAnsi="Times New Roman" w:eastAsia="仿宋_GB2312" w:cs="Times New Roman"/>
          <w:color w:val="auto"/>
          <w:kern w:val="0"/>
          <w:sz w:val="32"/>
          <w:szCs w:val="32"/>
          <w:lang w:eastAsia="zh-CN"/>
        </w:rPr>
        <w:t>报</w:t>
      </w:r>
      <w:r>
        <w:rPr>
          <w:rFonts w:hint="default" w:ascii="Times New Roman" w:hAnsi="Times New Roman" w:eastAsia="仿宋_GB2312" w:cs="Times New Roman"/>
          <w:color w:val="auto"/>
          <w:kern w:val="0"/>
          <w:sz w:val="32"/>
          <w:szCs w:val="32"/>
        </w:rPr>
        <w:t>器械标管中心。</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器械标管中心</w:t>
      </w:r>
      <w:r>
        <w:rPr>
          <w:rFonts w:hint="default" w:ascii="Times New Roman" w:hAnsi="Times New Roman" w:eastAsia="仿宋_GB2312" w:cs="Times New Roman"/>
          <w:color w:val="auto"/>
          <w:kern w:val="0"/>
          <w:sz w:val="32"/>
          <w:szCs w:val="32"/>
          <w:lang w:eastAsia="zh-CN"/>
        </w:rPr>
        <w:t>收到</w:t>
      </w:r>
      <w:r>
        <w:rPr>
          <w:rFonts w:hint="default" w:ascii="Times New Roman" w:hAnsi="Times New Roman" w:eastAsia="仿宋_GB2312" w:cs="Times New Roman"/>
          <w:color w:val="auto"/>
          <w:kern w:val="0"/>
          <w:sz w:val="32"/>
          <w:szCs w:val="32"/>
        </w:rPr>
        <w:t>分类界定申请后</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0个工作日内告知分类界定</w:t>
      </w:r>
      <w:bookmarkStart w:id="1" w:name="_Hlk133569588"/>
      <w:r>
        <w:rPr>
          <w:rFonts w:hint="default" w:ascii="Times New Roman" w:hAnsi="Times New Roman" w:eastAsia="仿宋_GB2312" w:cs="Times New Roman"/>
          <w:color w:val="auto"/>
          <w:kern w:val="0"/>
          <w:sz w:val="32"/>
          <w:szCs w:val="32"/>
        </w:rPr>
        <w:t>结果</w:t>
      </w:r>
      <w:bookmarkEnd w:id="1"/>
      <w:r>
        <w:rPr>
          <w:rFonts w:hint="default" w:ascii="Times New Roman" w:hAnsi="Times New Roman" w:eastAsia="仿宋_GB2312" w:cs="Times New Roman"/>
          <w:color w:val="auto"/>
          <w:kern w:val="0"/>
          <w:sz w:val="32"/>
          <w:szCs w:val="32"/>
        </w:rPr>
        <w:t>，或者提出分类界定意见报送国家药监局审定。收到国家药监局审定意见后，</w:t>
      </w:r>
      <w:r>
        <w:rPr>
          <w:rFonts w:hint="default" w:ascii="Times New Roman" w:hAnsi="Times New Roman" w:eastAsia="仿宋_GB2312" w:cs="Times New Roman"/>
          <w:color w:val="auto"/>
          <w:kern w:val="0"/>
          <w:sz w:val="32"/>
          <w:szCs w:val="32"/>
          <w:lang w:eastAsia="zh-CN"/>
        </w:rPr>
        <w:t>尽快</w:t>
      </w:r>
      <w:r>
        <w:rPr>
          <w:rFonts w:hint="default" w:ascii="Times New Roman" w:hAnsi="Times New Roman" w:eastAsia="仿宋_GB2312" w:cs="Times New Roman"/>
          <w:color w:val="auto"/>
          <w:kern w:val="0"/>
          <w:sz w:val="32"/>
          <w:szCs w:val="32"/>
        </w:rPr>
        <w:t>告知分类界定结果。</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需要补正资料的，申请人应当在分类补正通知发出之日起30个工作日内，按照补正通知的要求一次提供补充资料。逾期未提交补充资料或者补充资料不符合要求的，</w:t>
      </w:r>
      <w:r>
        <w:rPr>
          <w:rFonts w:hint="default" w:ascii="Times New Roman" w:hAnsi="Times New Roman" w:eastAsia="仿宋_GB2312" w:cs="Times New Roman"/>
          <w:color w:val="auto"/>
          <w:kern w:val="0"/>
          <w:sz w:val="32"/>
          <w:szCs w:val="32"/>
          <w:lang w:eastAsia="zh-CN"/>
        </w:rPr>
        <w:t>在分类界定信息系统内退回分类界定申请。</w:t>
      </w:r>
      <w:r>
        <w:rPr>
          <w:rFonts w:hint="default" w:ascii="Times New Roman" w:hAnsi="Times New Roman" w:eastAsia="仿宋_GB2312" w:cs="Times New Roman"/>
          <w:color w:val="auto"/>
          <w:kern w:val="0"/>
          <w:sz w:val="32"/>
          <w:szCs w:val="32"/>
        </w:rPr>
        <w:t>申请人完善相关申请资料后可重新申请。</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专家研究、相关部门研提意见、国家药监局审定、申请人补正资料等环节所需时间不计算在分类界定工作时限内。</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五、其他</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器械标管中心及省级药品监督管理部门等</w:t>
      </w:r>
      <w:r>
        <w:rPr>
          <w:rFonts w:hint="default" w:ascii="Times New Roman" w:hAnsi="Times New Roman" w:eastAsia="仿宋_GB2312" w:cs="Times New Roman"/>
          <w:color w:val="auto"/>
          <w:kern w:val="0"/>
          <w:sz w:val="32"/>
          <w:szCs w:val="32"/>
        </w:rPr>
        <w:t>分类界定结果告知部门（以下简称告知部门）应当公布联系方式。申请人若对产品分类界定结果有异议或者疑问，可与告知部门沟通交流。若仍有异议，申请人可进一步完善资料后重新提交分类界定申请。</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对于有证据表明分类申请资料可能存在虚假的，省级药品监督管理部门及器械标管中心可以中止分类界定工作；经核实后，</w:t>
      </w:r>
      <w:r>
        <w:rPr>
          <w:rFonts w:hint="default" w:ascii="Times New Roman" w:hAnsi="Times New Roman" w:eastAsia="仿宋_GB2312" w:cs="Times New Roman"/>
          <w:color w:val="auto"/>
          <w:kern w:val="0"/>
          <w:sz w:val="32"/>
          <w:szCs w:val="32"/>
          <w:lang w:eastAsia="zh-CN"/>
        </w:rPr>
        <w:t>对于</w:t>
      </w:r>
      <w:r>
        <w:rPr>
          <w:rFonts w:hint="default" w:ascii="Times New Roman" w:hAnsi="Times New Roman" w:eastAsia="仿宋_GB2312" w:cs="Times New Roman"/>
          <w:color w:val="auto"/>
          <w:kern w:val="0"/>
          <w:sz w:val="32"/>
          <w:szCs w:val="32"/>
        </w:rPr>
        <w:t>不存在虚假的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继续</w:t>
      </w:r>
      <w:r>
        <w:rPr>
          <w:rFonts w:hint="default" w:ascii="Times New Roman" w:hAnsi="Times New Roman" w:eastAsia="仿宋_GB2312" w:cs="Times New Roman"/>
          <w:color w:val="auto"/>
          <w:kern w:val="0"/>
          <w:sz w:val="32"/>
          <w:szCs w:val="32"/>
          <w:lang w:eastAsia="zh-CN"/>
        </w:rPr>
        <w:t>办理；对于</w:t>
      </w:r>
      <w:r>
        <w:rPr>
          <w:rFonts w:hint="default" w:ascii="Times New Roman" w:hAnsi="Times New Roman" w:eastAsia="仿宋_GB2312" w:cs="Times New Roman"/>
          <w:color w:val="auto"/>
          <w:kern w:val="0"/>
          <w:sz w:val="32"/>
          <w:szCs w:val="32"/>
        </w:rPr>
        <w:t>存在虚假的</w:t>
      </w:r>
      <w:r>
        <w:rPr>
          <w:rFonts w:hint="default" w:ascii="Times New Roman" w:hAnsi="Times New Roman" w:eastAsia="仿宋_GB2312" w:cs="Times New Roman"/>
          <w:color w:val="auto"/>
          <w:kern w:val="0"/>
          <w:sz w:val="32"/>
          <w:szCs w:val="32"/>
          <w:lang w:eastAsia="zh-CN"/>
        </w:rPr>
        <w:t>，在分类界定信息系统内退回分类界定申请</w:t>
      </w:r>
      <w:r>
        <w:rPr>
          <w:rFonts w:hint="default" w:ascii="Times New Roman" w:hAnsi="Times New Roman" w:eastAsia="仿宋_GB2312" w:cs="Times New Roman"/>
          <w:color w:val="auto"/>
          <w:kern w:val="0"/>
          <w:sz w:val="32"/>
          <w:szCs w:val="32"/>
        </w:rPr>
        <w:t>。</w:t>
      </w:r>
      <w:bookmarkEnd w:id="0"/>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kinsoku/>
        <w:wordWrap/>
        <w:overflowPunct w:val="0"/>
        <w:topLinePunct w:val="0"/>
        <w:autoSpaceDE/>
        <w:autoSpaceDN/>
        <w:bidi w:val="0"/>
        <w:adjustRightInd/>
        <w:spacing w:line="560" w:lineRule="exact"/>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br w:type="page"/>
      </w:r>
    </w:p>
    <w:p>
      <w:pPr>
        <w:keepNext w:val="0"/>
        <w:keepLines w:val="0"/>
        <w:pageBreakBefore w:val="0"/>
        <w:widowControl w:val="0"/>
        <w:kinsoku/>
        <w:wordWrap/>
        <w:overflowPunct w:val="0"/>
        <w:topLinePunct w:val="0"/>
        <w:autoSpaceDE/>
        <w:autoSpaceDN/>
        <w:bidi w:val="0"/>
        <w:adjustRightInd/>
        <w:spacing w:line="560" w:lineRule="exact"/>
        <w:jc w:val="left"/>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rPr>
        <w:t>附</w:t>
      </w:r>
      <w:r>
        <w:rPr>
          <w:rFonts w:hint="eastAsia" w:ascii="黑体" w:hAnsi="黑体" w:eastAsia="黑体" w:cs="黑体"/>
          <w:color w:val="auto"/>
          <w:kern w:val="0"/>
          <w:sz w:val="32"/>
          <w:szCs w:val="32"/>
          <w:lang w:val="en-US" w:eastAsia="zh-CN"/>
        </w:rPr>
        <w:t>3</w:t>
      </w:r>
    </w:p>
    <w:p>
      <w:pPr>
        <w:keepNext w:val="0"/>
        <w:keepLines w:val="0"/>
        <w:pageBreakBefore w:val="0"/>
        <w:widowControl w:val="0"/>
        <w:kinsoku/>
        <w:wordWrap/>
        <w:overflowPunct w:val="0"/>
        <w:topLinePunct w:val="0"/>
        <w:autoSpaceDE/>
        <w:autoSpaceDN/>
        <w:bidi w:val="0"/>
        <w:adjustRightInd/>
        <w:snapToGrid w:val="0"/>
        <w:spacing w:line="560" w:lineRule="exact"/>
        <w:textAlignment w:val="auto"/>
        <w:rPr>
          <w:rFonts w:hint="default" w:ascii="Times New Roman" w:hAnsi="Times New Roman" w:eastAsia="黑体" w:cs="Times New Roman"/>
          <w:color w:val="auto"/>
          <w:kern w:val="0"/>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医疗器械分类界定申请资料要求</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color w:val="auto"/>
          <w:kern w:val="0"/>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一、分类界定申请资料清单和基本要求</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（一）医疗器械分类界定申请表</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（二）关联资料</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1.</w:t>
      </w:r>
      <w:r>
        <w:rPr>
          <w:rFonts w:hint="default" w:ascii="Times New Roman" w:hAnsi="Times New Roman" w:eastAsia="仿宋_GB2312" w:cs="Times New Roman"/>
          <w:color w:val="auto"/>
          <w:kern w:val="0"/>
          <w:sz w:val="32"/>
          <w:szCs w:val="32"/>
          <w:lang w:eastAsia="zh-CN"/>
        </w:rPr>
        <w:t>产品综述资料</w:t>
      </w:r>
    </w:p>
    <w:p>
      <w:pPr>
        <w:keepNext w:val="0"/>
        <w:keepLines w:val="0"/>
        <w:pageBreakBefore w:val="0"/>
        <w:widowControl w:val="0"/>
        <w:kinsoku/>
        <w:wordWrap/>
        <w:overflowPunct w:val="0"/>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bCs/>
          <w:color w:val="000000"/>
          <w:sz w:val="32"/>
          <w:szCs w:val="32"/>
          <w:lang w:val="en-US"/>
        </w:rPr>
      </w:pPr>
      <w:r>
        <w:rPr>
          <w:rFonts w:hint="default" w:ascii="Times New Roman" w:hAnsi="Times New Roman" w:eastAsia="仿宋_GB2312" w:cs="Times New Roman"/>
          <w:bCs/>
          <w:color w:val="000000"/>
          <w:sz w:val="32"/>
          <w:szCs w:val="32"/>
          <w:lang w:eastAsia="zh-CN"/>
        </w:rPr>
        <w:t>无源医疗器械应当描述工作原理、作用机理（如适用）、结构及组成、原材料（与使用者和</w:t>
      </w:r>
      <w:r>
        <w:rPr>
          <w:rFonts w:hint="default" w:ascii="Times New Roman" w:hAnsi="Times New Roman" w:eastAsia="仿宋_GB2312" w:cs="Times New Roman"/>
          <w:bCs/>
          <w:color w:val="000000"/>
          <w:sz w:val="32"/>
          <w:szCs w:val="32"/>
          <w:lang w:val="en-US"/>
        </w:rPr>
        <w:t>/</w:t>
      </w:r>
      <w:r>
        <w:rPr>
          <w:rFonts w:hint="default" w:ascii="Times New Roman" w:hAnsi="Times New Roman" w:eastAsia="仿宋_GB2312" w:cs="Times New Roman"/>
          <w:bCs/>
          <w:color w:val="000000"/>
          <w:sz w:val="32"/>
          <w:szCs w:val="32"/>
          <w:lang w:eastAsia="zh-CN"/>
        </w:rPr>
        <w:t>或患者直接或间接接触的材料成分；若器械中包含生物材料或衍生物，描述物质来源和原材料、预期使用目的、主要作用方式；若器械中包含活性药物成分（</w:t>
      </w:r>
      <w:r>
        <w:rPr>
          <w:rFonts w:hint="default" w:ascii="Times New Roman" w:hAnsi="Times New Roman" w:eastAsia="仿宋_GB2312" w:cs="Times New Roman"/>
          <w:bCs/>
          <w:color w:val="000000"/>
          <w:sz w:val="32"/>
          <w:szCs w:val="32"/>
          <w:lang w:val="en-US"/>
        </w:rPr>
        <w:t>API</w:t>
      </w:r>
      <w:r>
        <w:rPr>
          <w:rFonts w:hint="default" w:ascii="Times New Roman" w:hAnsi="Times New Roman" w:eastAsia="仿宋_GB2312" w:cs="Times New Roman"/>
          <w:bCs/>
          <w:color w:val="000000"/>
          <w:sz w:val="32"/>
          <w:szCs w:val="32"/>
          <w:lang w:eastAsia="zh-CN"/>
        </w:rPr>
        <w:t>）或药物，描述药物名称、预期使用目的、主要作用方式、来源）、交付状态及灭菌方式（如适用，描述灭菌实施者、灭菌方法、灭菌有效期），结构示意图和</w:t>
      </w:r>
      <w:r>
        <w:rPr>
          <w:rFonts w:hint="default" w:ascii="Times New Roman" w:hAnsi="Times New Roman" w:eastAsia="仿宋_GB2312" w:cs="Times New Roman"/>
          <w:bCs/>
          <w:color w:val="000000"/>
          <w:sz w:val="32"/>
          <w:szCs w:val="32"/>
          <w:lang w:val="en-US"/>
        </w:rPr>
        <w:t>/</w:t>
      </w:r>
      <w:r>
        <w:rPr>
          <w:rFonts w:hint="default" w:ascii="Times New Roman" w:hAnsi="Times New Roman" w:eastAsia="仿宋_GB2312" w:cs="Times New Roman"/>
          <w:bCs/>
          <w:color w:val="000000"/>
          <w:sz w:val="32"/>
          <w:szCs w:val="32"/>
          <w:lang w:eastAsia="zh-CN"/>
        </w:rPr>
        <w:t>或产品图示、</w:t>
      </w:r>
      <w:r>
        <w:rPr>
          <w:rFonts w:hint="default" w:ascii="Times New Roman" w:hAnsi="Times New Roman" w:eastAsia="仿宋_GB2312" w:cs="Times New Roman"/>
          <w:color w:val="000000"/>
          <w:sz w:val="32"/>
          <w:szCs w:val="32"/>
          <w:lang w:eastAsia="zh-CN"/>
        </w:rPr>
        <w:t>使用方法及图示（如适用）以及区别于其他同类产品的特征</w:t>
      </w:r>
      <w:r>
        <w:rPr>
          <w:rFonts w:hint="default" w:ascii="Times New Roman" w:hAnsi="Times New Roman" w:eastAsia="仿宋_GB2312" w:cs="Times New Roman"/>
          <w:bCs/>
          <w:color w:val="000000"/>
          <w:sz w:val="32"/>
          <w:szCs w:val="32"/>
          <w:lang w:eastAsia="zh-CN"/>
        </w:rPr>
        <w:t>等内容</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val="0"/>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Cs/>
          <w:color w:val="000000"/>
          <w:sz w:val="32"/>
          <w:szCs w:val="32"/>
          <w:lang w:eastAsia="zh-CN"/>
        </w:rPr>
        <w:t>有源医疗器械应当</w:t>
      </w:r>
      <w:r>
        <w:rPr>
          <w:rFonts w:hint="default" w:ascii="Times New Roman" w:hAnsi="Times New Roman" w:eastAsia="仿宋_GB2312" w:cs="Times New Roman"/>
          <w:color w:val="000000"/>
          <w:sz w:val="32"/>
          <w:szCs w:val="32"/>
          <w:lang w:eastAsia="zh-CN"/>
        </w:rPr>
        <w:t>描述工作原理、作用机理（如适用）、结构及组成、主要功能及其组成部件（如关键组件和软件等）的功能、产品图示（含标识、接口、操控面板、应用部分等细节），以及区别于其他同类产品的特征</w:t>
      </w:r>
      <w:r>
        <w:rPr>
          <w:rFonts w:hint="default" w:ascii="Times New Roman" w:hAnsi="Times New Roman" w:eastAsia="仿宋_GB2312" w:cs="Times New Roman"/>
          <w:bCs/>
          <w:color w:val="000000"/>
          <w:sz w:val="32"/>
          <w:szCs w:val="32"/>
          <w:lang w:eastAsia="zh-CN"/>
        </w:rPr>
        <w:t>等内容</w:t>
      </w:r>
      <w:r>
        <w:rPr>
          <w:rFonts w:hint="default" w:ascii="Times New Roman" w:hAnsi="Times New Roman" w:eastAsia="仿宋_GB2312" w:cs="Times New Roman"/>
          <w:color w:val="000000"/>
          <w:sz w:val="32"/>
          <w:szCs w:val="32"/>
          <w:lang w:eastAsia="zh-CN"/>
        </w:rPr>
        <w:t>。含有多个组成部分的，应说明其连接或组装关系。</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体外诊断试剂应当描述产品所采用的技术原理，产品组成，原材料的来源及制备方法，主要生产工艺，检验方法。描述产品主要研究结果的总结和评价</w:t>
      </w:r>
      <w:r>
        <w:rPr>
          <w:rFonts w:hint="default" w:ascii="Times New Roman" w:hAnsi="Times New Roman" w:eastAsia="仿宋_GB2312" w:cs="Times New Roman"/>
          <w:color w:val="000000"/>
          <w:sz w:val="32"/>
          <w:szCs w:val="32"/>
          <w:lang w:val="en-US"/>
        </w:rPr>
        <w:t>,</w:t>
      </w:r>
      <w:r>
        <w:rPr>
          <w:rFonts w:hint="default" w:ascii="Times New Roman" w:hAnsi="Times New Roman" w:eastAsia="仿宋_GB2312" w:cs="Times New Roman"/>
          <w:color w:val="000000"/>
          <w:sz w:val="32"/>
          <w:szCs w:val="32"/>
          <w:lang w:eastAsia="zh-CN"/>
        </w:rPr>
        <w:t>包括分析性能评估、阳性判断值或参考区间、稳定性以及临床评价等。</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2.产品技术要求</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产品技术要求原则上应当按照《医疗器械产品技术要求编写指导原则》编制，包括医疗器械产品性能、安全指标和检测方法等。</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3.产品照片</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产品照片应当为实物照片，包括产品在使用过程中的照片、拆除所有内外包装后的样品实物照片、以及内外包装实样照片等。多个型号规格的，可提供典型产品的照片。</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.拟上市产品说明书</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申请资料中的产品说明书，应当为拟上市后使用的产品说明书，原则上应当符合《医疗器械说明书和标签管理规定》《体外诊断试剂说明书编写指导原则》等相关要求。</w:t>
      </w:r>
    </w:p>
    <w:p>
      <w:pPr>
        <w:keepNext w:val="0"/>
        <w:keepLines w:val="0"/>
        <w:pageBreakBefore w:val="0"/>
        <w:widowControl w:val="0"/>
        <w:numPr>
          <w:ilvl w:val="-1"/>
          <w:numId w:val="0"/>
        </w:numPr>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lang w:eastAsia="zh-CN"/>
        </w:rPr>
        <w:t>其他技术性资料</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对于新研制尚未列入《分类目录》医疗器械，或者产品预期用途未列入相关分类界定指导原则、《分类目录》等文件中的产品，应当提交文献资料、临床共识、技术验证或临床试验等技术性材料，证明该产品具有声称的预期用途。</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000000"/>
          <w:sz w:val="32"/>
          <w:szCs w:val="32"/>
          <w:lang w:eastAsia="zh-CN"/>
        </w:rPr>
        <w:t>如产品作为有源产品的附件，应当说明主机管理类别及附件起到的作用。</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.符合性声明</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申请人承诺所提交分类界定申请资料合法、合规、真实、准确、完整和可追溯。</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.证明性文件</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境内申请人应当提供企业营业执照副本或者事业单位法人证书的复印件。</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境外申请人应当提供在中国境内指定代理人的委托书、代理人承诺书及营业执照副本复印件。境外申请人给境内代理人的委托事项，应当与申请分类界定事项一致。</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二、分类界定申请表填写要求</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（一）产品名称（申请分类的</w:t>
      </w:r>
      <w:r>
        <w:rPr>
          <w:rFonts w:hint="eastAsia" w:ascii="Times New Roman" w:hAnsi="Times New Roman" w:eastAsia="楷体_GB2312" w:cs="Times New Roman"/>
          <w:color w:val="auto"/>
          <w:kern w:val="0"/>
          <w:sz w:val="32"/>
          <w:szCs w:val="32"/>
          <w:lang w:eastAsia="zh-CN"/>
        </w:rPr>
        <w:t>产品</w:t>
      </w:r>
      <w:r>
        <w:rPr>
          <w:rFonts w:hint="default" w:ascii="Times New Roman" w:hAnsi="Times New Roman" w:eastAsia="楷体_GB2312" w:cs="Times New Roman"/>
          <w:color w:val="auto"/>
          <w:kern w:val="0"/>
          <w:sz w:val="32"/>
          <w:szCs w:val="32"/>
        </w:rPr>
        <w:t>名称）</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分类申请表中的产品名称原则上应当符合《医疗器械通用名称命名规则》及相关命名指导原则。推荐优先使用《分类目录》中的名称。</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（二）预期用途</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预期用途应当清晰明确，若产品有多种预期用途，应当逐一写明。若申报产品具有治疗或者诊断作用，应当明确治疗xx疾病或者诊断xx疾病；若具有辅助治疗或者辅助诊断作用，除应当明确写明产品用于辅助治疗xx疾病或者辅助诊断xx疾病外，还应当写明对于xx疾病的主要作用。</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（三）结构组成（组成成分）</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“产品描述”应当详细、具体。例如，描述产品结构组成时，应当采用“由……组成”的表述，逐一写明具体组成，不可使用“等”“见附件”或者其他笼统的描述来替代。</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对于由多种化学成分组成的凝胶、液体、膏状物、涂层等类型的产品，应当说明产品中各成分的名称和含量。</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产品组成中含有</w:t>
      </w:r>
      <w:r>
        <w:rPr>
          <w:rFonts w:hint="default" w:ascii="Times New Roman" w:hAnsi="Times New Roman" w:eastAsia="仿宋_GB2312" w:cs="Times New Roman"/>
          <w:color w:val="auto"/>
          <w:kern w:val="0"/>
          <w:sz w:val="32"/>
          <w:szCs w:val="32"/>
          <w:lang w:eastAsia="zh-CN"/>
        </w:rPr>
        <w:t>中药、化学药物、生物制品、消毒和抗菌成分、</w:t>
      </w:r>
      <w:r>
        <w:rPr>
          <w:rFonts w:hint="default" w:ascii="Times New Roman" w:hAnsi="Times New Roman" w:eastAsia="仿宋_GB2312" w:cs="Times New Roman"/>
          <w:color w:val="auto"/>
          <w:kern w:val="0"/>
          <w:sz w:val="32"/>
          <w:szCs w:val="32"/>
        </w:rPr>
        <w:t>天然植物及其提取物等发挥药理学、免疫学、代谢作用的成分或者可被人体吸收的成分时，申请资料应当详细列明具体组成成分、含量及用途。</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（四）</w:t>
      </w:r>
      <w:r>
        <w:rPr>
          <w:rFonts w:hint="default" w:ascii="Times New Roman" w:hAnsi="Times New Roman" w:eastAsia="楷体_GB2312" w:cs="Times New Roman"/>
          <w:color w:val="auto"/>
          <w:kern w:val="0"/>
          <w:sz w:val="32"/>
          <w:szCs w:val="32"/>
          <w:lang w:eastAsia="zh-CN"/>
        </w:rPr>
        <w:t>工作</w:t>
      </w:r>
      <w:r>
        <w:rPr>
          <w:rFonts w:hint="default" w:ascii="Times New Roman" w:hAnsi="Times New Roman" w:eastAsia="楷体_GB2312" w:cs="Times New Roman"/>
          <w:color w:val="auto"/>
          <w:kern w:val="0"/>
          <w:sz w:val="32"/>
          <w:szCs w:val="32"/>
        </w:rPr>
        <w:t>原理</w:t>
      </w:r>
      <w:r>
        <w:rPr>
          <w:rFonts w:hint="default" w:ascii="Times New Roman" w:hAnsi="Times New Roman" w:eastAsia="楷体_GB2312" w:cs="Times New Roman"/>
          <w:color w:val="auto"/>
          <w:kern w:val="0"/>
          <w:sz w:val="32"/>
          <w:szCs w:val="32"/>
          <w:lang w:eastAsia="zh-CN"/>
        </w:rPr>
        <w:t>及作用</w:t>
      </w:r>
      <w:r>
        <w:rPr>
          <w:rFonts w:hint="default" w:ascii="Times New Roman" w:hAnsi="Times New Roman" w:eastAsia="楷体_GB2312" w:cs="Times New Roman"/>
          <w:color w:val="auto"/>
          <w:kern w:val="0"/>
          <w:sz w:val="32"/>
          <w:szCs w:val="32"/>
        </w:rPr>
        <w:t>机理</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产品的</w:t>
      </w:r>
      <w:r>
        <w:rPr>
          <w:rFonts w:hint="default" w:ascii="Times New Roman" w:hAnsi="Times New Roman" w:eastAsia="仿宋_GB2312" w:cs="Times New Roman"/>
          <w:color w:val="auto"/>
          <w:kern w:val="0"/>
          <w:sz w:val="32"/>
          <w:szCs w:val="32"/>
          <w:lang w:eastAsia="zh-CN"/>
        </w:rPr>
        <w:t>工作</w:t>
      </w:r>
      <w:r>
        <w:rPr>
          <w:rFonts w:hint="default" w:ascii="Times New Roman" w:hAnsi="Times New Roman" w:eastAsia="仿宋_GB2312" w:cs="Times New Roman"/>
          <w:color w:val="auto"/>
          <w:kern w:val="0"/>
          <w:sz w:val="32"/>
          <w:szCs w:val="32"/>
        </w:rPr>
        <w:t>原理和/或</w:t>
      </w:r>
      <w:r>
        <w:rPr>
          <w:rFonts w:hint="default" w:ascii="Times New Roman" w:hAnsi="Times New Roman" w:eastAsia="仿宋_GB2312" w:cs="Times New Roman"/>
          <w:color w:val="auto"/>
          <w:kern w:val="0"/>
          <w:sz w:val="32"/>
          <w:szCs w:val="32"/>
          <w:lang w:eastAsia="zh-CN"/>
        </w:rPr>
        <w:t>作用</w:t>
      </w:r>
      <w:r>
        <w:rPr>
          <w:rFonts w:hint="default" w:ascii="Times New Roman" w:hAnsi="Times New Roman" w:eastAsia="仿宋_GB2312" w:cs="Times New Roman"/>
          <w:color w:val="auto"/>
          <w:kern w:val="0"/>
          <w:sz w:val="32"/>
          <w:szCs w:val="32"/>
        </w:rPr>
        <w:t>机理，应当清晰明确，不应超出申请产品本身的功能和用途。</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由多种化学成分组成的凝胶、液体、膏状物、涂层等类型的产品，应当说明产品中各成分的名称和含量，以及各成分所发挥作用和工作机理。如果所含成分已明确列入《中华人民共和国药典》或者尚未列入药典的活性成分，而申报者认为这些成分未发挥药理学、免疫学、代谢作用，应当以附件形式提供资料说明理由。</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产品组成中含有中药、化学药物、生物制品、消毒和抗菌成分、天然植物及其提取物等发挥药理学、免疫学、代谢作用的成分或者可被人体吸收的成分时，申请资料应当详细列明各组成成分在本产品中发挥的功能及原理，不可使用“所含成分不具有药理学作用，所含成分不可被人体吸收”或者类似笼统描述。</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若为有源产品，应当写明实现工作原理的主要技术参数。若为软件产品或者含有软件组件的产品，应当写明是否采用人工智能算法、是否给出诊断结论（结果）等信息。</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（五）使用形式、状态、部位、期限及方法</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申报资料应当详细说明，临床使用时产品的接触部位和接触时间、使用步骤等内容。同时应当以附件形式提供能够说明使用步骤、接触部位、接触时间的照片或者图片，必要时可提供产品使用的视频文件。</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（六）材料特征</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若为体外诊断类产品，应当说明产品材质、生产工艺及反应体系等相关特性的信息。若为无源产品，应当说明产品材质、生产工艺等相关特性的信息。若为有源产品，应当说明与人体接触部件的材料。 </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（七）型号/规格</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列明产品的所有规格型号，并说明规格型号划分原则以及不同规格型号的差异。</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（八）产品主要风险点</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描述产品风险点时，包括但不限于以下要素：医疗器械正常使用时造成直接伤害的可能性；医疗器械失效时，造成伤害的可能性和可能伤害程度；产品对治疗、诊断效果的影响程度；如果不使用该产品，是否有其他方案。</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（九）境内外同类产品情况</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简述境内外同类产品的管理情况，已在境内上市的相似产品应当写明注册名称和注册证号；如有境外相似产品，尚未在境内上市，应当写明在境外的注册名称和分类情况，并提供相关的证明性文件。同时，应当详细对比申请产品与同类产品的异同点，包括但不限于预期用途、结构组成、使用方式、适用人群、适应证、技术指标等内容。</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（十）申请人主张</w:t>
      </w:r>
      <w:r>
        <w:rPr>
          <w:rFonts w:hint="default" w:ascii="Times New Roman" w:hAnsi="Times New Roman" w:eastAsia="楷体_GB2312" w:cs="Times New Roman"/>
          <w:color w:val="auto"/>
          <w:kern w:val="0"/>
          <w:sz w:val="32"/>
          <w:szCs w:val="32"/>
          <w:lang w:eastAsia="zh-CN"/>
        </w:rPr>
        <w:t>及理由</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申请人应当明确拟申请分类</w:t>
      </w:r>
      <w:r>
        <w:rPr>
          <w:rFonts w:hint="default" w:ascii="Times New Roman" w:hAnsi="Times New Roman" w:eastAsia="仿宋_GB2312" w:cs="Times New Roman"/>
          <w:color w:val="auto"/>
          <w:kern w:val="0"/>
          <w:sz w:val="32"/>
          <w:szCs w:val="32"/>
          <w:lang w:eastAsia="zh-CN"/>
        </w:rPr>
        <w:t>界定</w:t>
      </w:r>
      <w:r>
        <w:rPr>
          <w:rFonts w:hint="default" w:ascii="Times New Roman" w:hAnsi="Times New Roman" w:eastAsia="仿宋_GB2312" w:cs="Times New Roman"/>
          <w:color w:val="auto"/>
          <w:kern w:val="0"/>
          <w:sz w:val="32"/>
          <w:szCs w:val="32"/>
        </w:rPr>
        <w:t>产品的管理类别和管理属性及主张依据。例1，申报产品与《分类目录》中“xx-xx-xx的某产品”为同类产品，管理类别宜一致；例2，根据《分类规则》，产品属于暂时接触人体腔道的其他无源接触器械，无菌提供，应当按第二类医疗器械管理。</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三、申请分类界定资料形式要求</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（一）申请分类界定资料完整齐备，分类界定申请表填写完整。</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（二）各项文件原则上以中文形式提供。若有关联文件（例如，境外上市证明）为外文形式，应当同时提供中文译本并由申请人签章。“签章”是指申请单位公章加法定代表人签字。</w:t>
      </w:r>
    </w:p>
    <w:p>
      <w:pPr>
        <w:keepNext w:val="0"/>
        <w:keepLines w:val="0"/>
        <w:pageBreakBefore w:val="0"/>
        <w:widowControl w:val="0"/>
        <w:numPr>
          <w:ilvl w:val="0"/>
          <w:numId w:val="2"/>
        </w:numPr>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分类界定申请资料应当由申请人签章</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（四）境外产品分类界定申请资料中，境外申请人向境内代理机构授权的委托书应当提供公证。</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（五）申请资料应当有目录，包括申请资料的一级和二级标题，以表格形式说明每项资料的页码。</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四、其他要求</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ascii="Times New Roman" w:hAnsi="Times New Roman" w:eastAsia="仿宋_GB2312"/>
          <w:color w:val="auto"/>
          <w:kern w:val="0"/>
          <w:sz w:val="32"/>
          <w:szCs w:val="32"/>
        </w:rPr>
      </w:pPr>
      <w:r>
        <w:rPr>
          <w:rFonts w:hint="default" w:ascii="Times New Roman" w:hAnsi="Times New Roman" w:eastAsia="仿宋_GB2312" w:cs="Times New Roman"/>
          <w:color w:val="auto"/>
          <w:kern w:val="0"/>
          <w:sz w:val="32"/>
          <w:szCs w:val="32"/>
        </w:rPr>
        <w:t>产品的特殊限定事项，应当在分类界定申请表中明确，例如“一次性使用”“重复性使用”“粘贴部位为完好皮肤”“用于非慢性创面”“不含冲洗液”“具有剂量控制功能”“无菌提供”“接触血液循环系统”“可被人体吸收”“不被人体吸收”“接触中枢神经”“接触自然腔道”“在内窥镜下使用”“与特定型号配合使用”等</w:t>
      </w:r>
      <w:r>
        <w:rPr>
          <w:rFonts w:ascii="Times New Roman" w:hAnsi="Times New Roman" w:eastAsia="仿宋_GB2312"/>
          <w:color w:val="auto"/>
          <w:kern w:val="0"/>
          <w:sz w:val="32"/>
          <w:szCs w:val="32"/>
        </w:rPr>
        <w:t xml:space="preserve">。   </w:t>
      </w:r>
    </w:p>
    <w:p>
      <w:pPr>
        <w:keepNext w:val="0"/>
        <w:keepLines w:val="0"/>
        <w:pageBreakBefore w:val="0"/>
        <w:widowControl w:val="0"/>
        <w:kinsoku/>
        <w:wordWrap/>
        <w:overflowPunct w:val="0"/>
        <w:topLinePunct w:val="0"/>
        <w:autoSpaceDE/>
        <w:autoSpaceDN/>
        <w:bidi w:val="0"/>
        <w:adjustRightInd/>
        <w:snapToGrid w:val="0"/>
        <w:spacing w:line="560" w:lineRule="exact"/>
        <w:ind w:firstLine="420" w:firstLineChars="200"/>
        <w:textAlignment w:val="auto"/>
        <w:rPr>
          <w:rFonts w:ascii="Times New Roman" w:hAnsi="Times New Roman" w:eastAsia="仿宋_GB2312"/>
          <w:color w:val="auto"/>
          <w:kern w:val="0"/>
          <w:sz w:val="32"/>
          <w:szCs w:val="32"/>
        </w:rPr>
      </w:pPr>
      <w:r>
        <w:rPr>
          <w:rFonts w:ascii="Times New Roman" w:hAnsi="Times New Roman"/>
          <w:color w:val="auto"/>
        </w:rPr>
        <w:br w:type="page"/>
      </w:r>
    </w:p>
    <w:p>
      <w:pPr>
        <w:keepNext w:val="0"/>
        <w:keepLines w:val="0"/>
        <w:pageBreakBefore w:val="0"/>
        <w:widowControl w:val="0"/>
        <w:kinsoku/>
        <w:wordWrap/>
        <w:overflowPunct w:val="0"/>
        <w:topLinePunct w:val="0"/>
        <w:autoSpaceDN/>
        <w:bidi w:val="0"/>
        <w:spacing w:line="360" w:lineRule="exact"/>
        <w:ind w:right="640" w:rightChars="305"/>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附</w:t>
      </w:r>
      <w:r>
        <w:rPr>
          <w:rFonts w:hint="eastAsia" w:ascii="黑体" w:hAnsi="黑体" w:eastAsia="黑体" w:cs="黑体"/>
          <w:color w:val="auto"/>
          <w:kern w:val="0"/>
          <w:sz w:val="32"/>
          <w:szCs w:val="32"/>
          <w:lang w:val="en-US" w:eastAsia="zh-CN"/>
        </w:rPr>
        <w:t>4</w:t>
      </w:r>
    </w:p>
    <w:p>
      <w:pPr>
        <w:keepNext w:val="0"/>
        <w:keepLines w:val="0"/>
        <w:pageBreakBefore w:val="0"/>
        <w:widowControl w:val="0"/>
        <w:kinsoku/>
        <w:wordWrap/>
        <w:overflowPunct w:val="0"/>
        <w:topLinePunct w:val="0"/>
        <w:autoSpaceDN/>
        <w:bidi w:val="0"/>
        <w:spacing w:line="360" w:lineRule="exact"/>
        <w:ind w:right="640" w:rightChars="305"/>
        <w:textAlignment w:val="auto"/>
        <w:rPr>
          <w:rFonts w:ascii="Times New Roman" w:hAnsi="Times New Roman"/>
          <w:color w:val="auto"/>
          <w:kern w:val="0"/>
          <w:sz w:val="32"/>
          <w:szCs w:val="32"/>
        </w:rPr>
      </w:pPr>
      <w:r>
        <w:rPr>
          <w:rFonts w:ascii="Times New Roman" w:hAnsi="Times New Roman"/>
          <w:color w:val="auto"/>
          <w:kern w:val="0"/>
          <w:sz w:val="32"/>
          <w:szCs w:val="32"/>
        </w:rPr>
        <w:t xml:space="preserve"> </w:t>
      </w:r>
    </w:p>
    <w:p>
      <w:pPr>
        <w:keepNext w:val="0"/>
        <w:keepLines w:val="0"/>
        <w:pageBreakBefore w:val="0"/>
        <w:widowControl w:val="0"/>
        <w:kinsoku/>
        <w:wordWrap/>
        <w:overflowPunct w:val="0"/>
        <w:topLinePunct w:val="0"/>
        <w:autoSpaceDN/>
        <w:bidi w:val="0"/>
        <w:spacing w:line="360" w:lineRule="exact"/>
        <w:ind w:right="640" w:rightChars="305"/>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受理编号：（自动带入）</w:t>
      </w:r>
    </w:p>
    <w:p>
      <w:pPr>
        <w:keepNext w:val="0"/>
        <w:keepLines w:val="0"/>
        <w:pageBreakBefore w:val="0"/>
        <w:widowControl w:val="0"/>
        <w:kinsoku/>
        <w:wordWrap/>
        <w:overflowPunct w:val="0"/>
        <w:topLinePunct w:val="0"/>
        <w:autoSpaceDN/>
        <w:bidi w:val="0"/>
        <w:textAlignment w:val="auto"/>
        <w:rPr>
          <w:rFonts w:ascii="Times New Roman" w:hAnsi="Times New Roman"/>
          <w:color w:val="auto"/>
          <w:sz w:val="32"/>
          <w:szCs w:val="32"/>
        </w:rPr>
      </w:pPr>
      <w:r>
        <w:rPr>
          <w:rFonts w:ascii="Times New Roman" w:hAnsi="Times New Roman"/>
          <w:color w:val="auto"/>
          <w:sz w:val="32"/>
          <w:szCs w:val="32"/>
        </w:rPr>
        <w:t xml:space="preserve"> </w:t>
      </w:r>
    </w:p>
    <w:p>
      <w:pPr>
        <w:keepNext w:val="0"/>
        <w:keepLines w:val="0"/>
        <w:pageBreakBefore w:val="0"/>
        <w:widowControl w:val="0"/>
        <w:kinsoku/>
        <w:wordWrap/>
        <w:overflowPunct w:val="0"/>
        <w:topLinePunct w:val="0"/>
        <w:autoSpaceDN/>
        <w:bidi w:val="0"/>
        <w:jc w:val="center"/>
        <w:textAlignment w:val="auto"/>
        <w:rPr>
          <w:rFonts w:ascii="Times New Roman" w:hAnsi="Times New Roman"/>
          <w:color w:val="auto"/>
          <w:spacing w:val="20"/>
          <w:sz w:val="32"/>
          <w:szCs w:val="32"/>
        </w:rPr>
      </w:pPr>
      <w:r>
        <w:rPr>
          <w:rFonts w:ascii="Times New Roman" w:hAnsi="Times New Roman"/>
          <w:color w:val="auto"/>
          <w:spacing w:val="20"/>
          <w:sz w:val="32"/>
          <w:szCs w:val="32"/>
        </w:rPr>
        <w:t xml:space="preserve"> </w:t>
      </w:r>
    </w:p>
    <w:p>
      <w:pPr>
        <w:keepNext w:val="0"/>
        <w:keepLines w:val="0"/>
        <w:pageBreakBefore w:val="0"/>
        <w:widowControl w:val="0"/>
        <w:kinsoku/>
        <w:wordWrap/>
        <w:overflowPunct w:val="0"/>
        <w:topLinePunct w:val="0"/>
        <w:autoSpaceDN/>
        <w:bidi w:val="0"/>
        <w:jc w:val="center"/>
        <w:textAlignment w:val="auto"/>
        <w:rPr>
          <w:rFonts w:ascii="Times New Roman" w:hAnsi="Times New Roman" w:eastAsia="方正小标宋简体"/>
          <w:color w:val="auto"/>
          <w:sz w:val="44"/>
          <w:szCs w:val="44"/>
        </w:rPr>
      </w:pPr>
      <w:r>
        <w:rPr>
          <w:rFonts w:ascii="Times New Roman" w:hAnsi="Times New Roman" w:eastAsia="方正小标宋简体"/>
          <w:color w:val="auto"/>
          <w:spacing w:val="20"/>
          <w:sz w:val="44"/>
          <w:szCs w:val="44"/>
        </w:rPr>
        <w:t>医疗器械分类界定申请表</w:t>
      </w:r>
      <w:r>
        <w:rPr>
          <w:rFonts w:ascii="Times New Roman" w:hAnsi="Times New Roman" w:eastAsia="方正小标宋简体"/>
          <w:color w:val="auto"/>
          <w:sz w:val="44"/>
          <w:szCs w:val="44"/>
        </w:rPr>
        <w:t>（格式）</w:t>
      </w:r>
    </w:p>
    <w:p>
      <w:pPr>
        <w:keepNext w:val="0"/>
        <w:keepLines w:val="0"/>
        <w:pageBreakBefore w:val="0"/>
        <w:widowControl w:val="0"/>
        <w:kinsoku/>
        <w:wordWrap/>
        <w:overflowPunct w:val="0"/>
        <w:topLinePunct w:val="0"/>
        <w:autoSpaceDN/>
        <w:bidi w:val="0"/>
        <w:textAlignment w:val="auto"/>
        <w:rPr>
          <w:rFonts w:ascii="Times New Roman" w:hAnsi="Times New Roman"/>
          <w:color w:val="auto"/>
          <w:sz w:val="32"/>
          <w:szCs w:val="32"/>
        </w:rPr>
      </w:pPr>
      <w:r>
        <w:rPr>
          <w:rFonts w:ascii="Times New Roman" w:hAnsi="Times New Roman"/>
          <w:color w:val="auto"/>
          <w:sz w:val="32"/>
          <w:szCs w:val="32"/>
        </w:rPr>
        <w:t xml:space="preserve"> </w:t>
      </w:r>
    </w:p>
    <w:p>
      <w:pPr>
        <w:keepNext w:val="0"/>
        <w:keepLines w:val="0"/>
        <w:pageBreakBefore w:val="0"/>
        <w:widowControl w:val="0"/>
        <w:kinsoku/>
        <w:wordWrap/>
        <w:overflowPunct w:val="0"/>
        <w:topLinePunct w:val="0"/>
        <w:autoSpaceDN/>
        <w:bidi w:val="0"/>
        <w:textAlignment w:val="auto"/>
        <w:rPr>
          <w:rFonts w:ascii="Times New Roman" w:hAnsi="Times New Roman"/>
          <w:color w:val="auto"/>
          <w:sz w:val="32"/>
          <w:szCs w:val="32"/>
        </w:rPr>
      </w:pPr>
      <w:r>
        <w:rPr>
          <w:rFonts w:ascii="Times New Roman" w:hAnsi="Times New Roman"/>
          <w:color w:val="auto"/>
          <w:sz w:val="32"/>
          <w:szCs w:val="32"/>
        </w:rPr>
        <w:t xml:space="preserve"> </w:t>
      </w:r>
    </w:p>
    <w:p>
      <w:pPr>
        <w:keepNext w:val="0"/>
        <w:keepLines w:val="0"/>
        <w:pageBreakBefore w:val="0"/>
        <w:widowControl w:val="0"/>
        <w:kinsoku/>
        <w:wordWrap/>
        <w:overflowPunct w:val="0"/>
        <w:topLinePunct w:val="0"/>
        <w:autoSpaceDN/>
        <w:bidi w:val="0"/>
        <w:textAlignment w:val="auto"/>
        <w:rPr>
          <w:rFonts w:ascii="Times New Roman" w:hAnsi="Times New Roman"/>
          <w:color w:val="auto"/>
          <w:sz w:val="32"/>
          <w:szCs w:val="32"/>
        </w:rPr>
      </w:pPr>
      <w:r>
        <w:rPr>
          <w:rFonts w:ascii="Times New Roman" w:hAnsi="Times New Roman"/>
          <w:color w:val="auto"/>
          <w:sz w:val="32"/>
          <w:szCs w:val="32"/>
        </w:rPr>
        <w:t xml:space="preserve"> </w:t>
      </w:r>
    </w:p>
    <w:p>
      <w:pPr>
        <w:keepNext w:val="0"/>
        <w:keepLines w:val="0"/>
        <w:pageBreakBefore w:val="0"/>
        <w:widowControl w:val="0"/>
        <w:kinsoku/>
        <w:wordWrap/>
        <w:overflowPunct w:val="0"/>
        <w:topLinePunct w:val="0"/>
        <w:autoSpaceDN/>
        <w:bidi w:val="0"/>
        <w:textAlignment w:val="auto"/>
        <w:rPr>
          <w:rFonts w:ascii="Times New Roman" w:hAnsi="Times New Roman"/>
          <w:color w:val="auto"/>
          <w:sz w:val="32"/>
          <w:szCs w:val="32"/>
        </w:rPr>
      </w:pPr>
      <w:r>
        <w:rPr>
          <w:rFonts w:ascii="Times New Roman" w:hAnsi="Times New Roman"/>
          <w:color w:val="auto"/>
          <w:sz w:val="32"/>
          <w:szCs w:val="32"/>
        </w:rPr>
        <w:t xml:space="preserve"> </w:t>
      </w:r>
    </w:p>
    <w:p>
      <w:pPr>
        <w:keepNext w:val="0"/>
        <w:keepLines w:val="0"/>
        <w:pageBreakBefore w:val="0"/>
        <w:widowControl w:val="0"/>
        <w:kinsoku/>
        <w:wordWrap/>
        <w:overflowPunct w:val="0"/>
        <w:topLinePunct w:val="0"/>
        <w:autoSpaceDN/>
        <w:bidi w:val="0"/>
        <w:textAlignment w:val="auto"/>
        <w:rPr>
          <w:rFonts w:ascii="Times New Roman" w:hAnsi="Times New Roman"/>
          <w:color w:val="auto"/>
          <w:sz w:val="32"/>
          <w:szCs w:val="32"/>
        </w:rPr>
      </w:pPr>
      <w:r>
        <w:rPr>
          <w:rFonts w:ascii="Times New Roman" w:hAnsi="Times New Roman"/>
          <w:color w:val="auto"/>
          <w:sz w:val="32"/>
          <w:szCs w:val="32"/>
        </w:rPr>
        <w:t xml:space="preserve"> </w:t>
      </w:r>
    </w:p>
    <w:p>
      <w:pPr>
        <w:keepNext w:val="0"/>
        <w:keepLines w:val="0"/>
        <w:pageBreakBefore w:val="0"/>
        <w:widowControl w:val="0"/>
        <w:kinsoku/>
        <w:wordWrap/>
        <w:overflowPunct w:val="0"/>
        <w:topLinePunct w:val="0"/>
        <w:autoSpaceDN/>
        <w:bidi w:val="0"/>
        <w:textAlignment w:val="auto"/>
        <w:rPr>
          <w:rFonts w:ascii="Times New Roman" w:hAnsi="Times New Roman"/>
          <w:color w:val="auto"/>
          <w:sz w:val="32"/>
          <w:szCs w:val="32"/>
        </w:rPr>
      </w:pPr>
      <w:r>
        <w:rPr>
          <w:rFonts w:ascii="Times New Roman" w:hAnsi="Times New Roman"/>
          <w:color w:val="auto"/>
          <w:sz w:val="32"/>
          <w:szCs w:val="32"/>
        </w:rPr>
        <w:t xml:space="preserve"> </w:t>
      </w:r>
    </w:p>
    <w:p>
      <w:pPr>
        <w:keepNext w:val="0"/>
        <w:keepLines w:val="0"/>
        <w:pageBreakBefore w:val="0"/>
        <w:widowControl w:val="0"/>
        <w:kinsoku/>
        <w:wordWrap/>
        <w:overflowPunct w:val="0"/>
        <w:topLinePunct w:val="0"/>
        <w:autoSpaceDN/>
        <w:bidi w:val="0"/>
        <w:textAlignment w:val="auto"/>
        <w:rPr>
          <w:rFonts w:ascii="Times New Roman" w:hAnsi="Times New Roman"/>
          <w:color w:val="auto"/>
          <w:sz w:val="32"/>
          <w:szCs w:val="32"/>
        </w:rPr>
      </w:pPr>
      <w:r>
        <w:rPr>
          <w:rFonts w:ascii="Times New Roman" w:hAnsi="Times New Roman"/>
          <w:color w:val="auto"/>
          <w:sz w:val="32"/>
          <w:szCs w:val="32"/>
        </w:rPr>
        <w:t xml:space="preserve"> </w:t>
      </w:r>
    </w:p>
    <w:p>
      <w:pPr>
        <w:keepNext w:val="0"/>
        <w:keepLines w:val="0"/>
        <w:pageBreakBefore w:val="0"/>
        <w:widowControl w:val="0"/>
        <w:kinsoku/>
        <w:wordWrap/>
        <w:overflowPunct w:val="0"/>
        <w:topLinePunct w:val="0"/>
        <w:autoSpaceDN/>
        <w:bidi w:val="0"/>
        <w:spacing w:line="360" w:lineRule="exact"/>
        <w:textAlignment w:val="auto"/>
        <w:rPr>
          <w:rFonts w:ascii="Times New Roman" w:hAnsi="Times New Roman" w:eastAsia="仿宋_GB2312"/>
          <w:color w:val="auto"/>
          <w:sz w:val="36"/>
          <w:szCs w:val="36"/>
        </w:rPr>
      </w:pPr>
      <w:r>
        <w:rPr>
          <w:rFonts w:ascii="Times New Roman" w:hAnsi="Times New Roman" w:eastAsia="仿宋_GB2312"/>
          <w:color w:val="auto"/>
          <w:sz w:val="36"/>
          <w:szCs w:val="36"/>
        </w:rPr>
        <w:t xml:space="preserve">产品名称：   </w:t>
      </w:r>
      <w:r>
        <w:rPr>
          <w:rFonts w:ascii="Times New Roman" w:hAnsi="Times New Roman" w:eastAsia="仿宋_GB2312"/>
          <w:color w:val="auto"/>
          <w:sz w:val="36"/>
          <w:szCs w:val="36"/>
          <w:u w:val="single"/>
        </w:rPr>
        <w:t xml:space="preserve">                            </w:t>
      </w:r>
    </w:p>
    <w:p>
      <w:pPr>
        <w:keepNext w:val="0"/>
        <w:keepLines w:val="0"/>
        <w:pageBreakBefore w:val="0"/>
        <w:widowControl w:val="0"/>
        <w:kinsoku/>
        <w:wordWrap/>
        <w:overflowPunct w:val="0"/>
        <w:topLinePunct w:val="0"/>
        <w:autoSpaceDN/>
        <w:bidi w:val="0"/>
        <w:spacing w:line="360" w:lineRule="exact"/>
        <w:textAlignment w:val="auto"/>
        <w:rPr>
          <w:rFonts w:ascii="Times New Roman" w:hAnsi="Times New Roman" w:eastAsia="仿宋_GB2312"/>
          <w:color w:val="auto"/>
          <w:sz w:val="36"/>
          <w:szCs w:val="36"/>
        </w:rPr>
      </w:pPr>
      <w:r>
        <w:rPr>
          <w:rFonts w:ascii="Times New Roman" w:hAnsi="Times New Roman" w:eastAsia="仿宋_GB2312"/>
          <w:color w:val="auto"/>
          <w:sz w:val="36"/>
          <w:szCs w:val="36"/>
        </w:rPr>
        <w:t xml:space="preserve"> </w:t>
      </w:r>
    </w:p>
    <w:p>
      <w:pPr>
        <w:keepNext w:val="0"/>
        <w:keepLines w:val="0"/>
        <w:pageBreakBefore w:val="0"/>
        <w:widowControl w:val="0"/>
        <w:kinsoku/>
        <w:wordWrap/>
        <w:overflowPunct w:val="0"/>
        <w:topLinePunct w:val="0"/>
        <w:autoSpaceDN/>
        <w:bidi w:val="0"/>
        <w:spacing w:line="360" w:lineRule="exact"/>
        <w:textAlignment w:val="auto"/>
        <w:rPr>
          <w:rFonts w:ascii="Times New Roman" w:hAnsi="Times New Roman" w:eastAsia="仿宋_GB2312"/>
          <w:color w:val="auto"/>
          <w:sz w:val="36"/>
          <w:szCs w:val="36"/>
        </w:rPr>
      </w:pPr>
      <w:r>
        <w:rPr>
          <w:rFonts w:ascii="Times New Roman" w:hAnsi="Times New Roman" w:eastAsia="仿宋_GB2312"/>
          <w:color w:val="auto"/>
          <w:sz w:val="36"/>
          <w:szCs w:val="36"/>
        </w:rPr>
        <w:t xml:space="preserve"> </w:t>
      </w:r>
    </w:p>
    <w:p>
      <w:pPr>
        <w:keepNext w:val="0"/>
        <w:keepLines w:val="0"/>
        <w:pageBreakBefore w:val="0"/>
        <w:widowControl w:val="0"/>
        <w:kinsoku/>
        <w:wordWrap/>
        <w:overflowPunct w:val="0"/>
        <w:topLinePunct w:val="0"/>
        <w:autoSpaceDN/>
        <w:bidi w:val="0"/>
        <w:spacing w:line="360" w:lineRule="exact"/>
        <w:textAlignment w:val="auto"/>
        <w:rPr>
          <w:rFonts w:ascii="Times New Roman" w:hAnsi="Times New Roman" w:eastAsia="仿宋_GB2312"/>
          <w:color w:val="auto"/>
          <w:sz w:val="36"/>
          <w:szCs w:val="36"/>
        </w:rPr>
      </w:pPr>
      <w:r>
        <w:rPr>
          <w:rFonts w:ascii="Times New Roman" w:hAnsi="Times New Roman" w:eastAsia="仿宋_GB2312"/>
          <w:color w:val="auto"/>
          <w:sz w:val="36"/>
          <w:szCs w:val="36"/>
        </w:rPr>
        <w:t xml:space="preserve">申请人名称： </w:t>
      </w:r>
      <w:r>
        <w:rPr>
          <w:rFonts w:ascii="Times New Roman" w:hAnsi="Times New Roman" w:eastAsia="仿宋_GB2312"/>
          <w:color w:val="auto"/>
          <w:sz w:val="36"/>
          <w:szCs w:val="36"/>
          <w:u w:val="single"/>
        </w:rPr>
        <w:t xml:space="preserve">                           </w:t>
      </w:r>
      <w:r>
        <w:rPr>
          <w:rFonts w:ascii="Times New Roman" w:hAnsi="Times New Roman"/>
          <w:color w:val="auto"/>
        </w:rPr>
        <w:br w:type="page"/>
      </w:r>
    </w:p>
    <w:p>
      <w:pPr>
        <w:keepNext w:val="0"/>
        <w:keepLines w:val="0"/>
        <w:pageBreakBefore w:val="0"/>
        <w:widowControl w:val="0"/>
        <w:kinsoku/>
        <w:wordWrap/>
        <w:overflowPunct w:val="0"/>
        <w:topLinePunct w:val="0"/>
        <w:autoSpaceDE/>
        <w:autoSpaceDN/>
        <w:bidi w:val="0"/>
        <w:adjustRightInd/>
        <w:spacing w:line="560" w:lineRule="exact"/>
        <w:textAlignment w:val="auto"/>
        <w:rPr>
          <w:rFonts w:ascii="Times New Roman" w:hAnsi="Times New Roman" w:eastAsia="仿宋_GB2312"/>
          <w:color w:val="auto"/>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ascii="Times New Roman" w:hAnsi="Times New Roman" w:eastAsia="方正小标宋简体"/>
          <w:color w:val="auto"/>
          <w:sz w:val="44"/>
          <w:szCs w:val="44"/>
        </w:rPr>
      </w:pPr>
      <w:r>
        <w:rPr>
          <w:rFonts w:ascii="Times New Roman" w:hAnsi="Times New Roman" w:eastAsia="方正小标宋简体"/>
          <w:color w:val="auto"/>
          <w:sz w:val="44"/>
          <w:szCs w:val="44"/>
        </w:rPr>
        <w:t>填表说明</w:t>
      </w: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ascii="Times New Roman" w:hAnsi="Times New Roman" w:eastAsia="方正小标宋简体"/>
          <w:color w:val="auto"/>
          <w:sz w:val="44"/>
          <w:szCs w:val="44"/>
        </w:rPr>
      </w:pPr>
      <w:r>
        <w:rPr>
          <w:rFonts w:ascii="Times New Roman" w:hAnsi="Times New Roman" w:eastAsia="Times New Roman"/>
          <w:color w:val="auto"/>
          <w:sz w:val="44"/>
          <w:szCs w:val="44"/>
        </w:rPr>
        <w:t xml:space="preserve"> </w:t>
      </w:r>
    </w:p>
    <w:p>
      <w:pPr>
        <w:keepNext w:val="0"/>
        <w:keepLines w:val="0"/>
        <w:pageBreakBefore w:val="0"/>
        <w:widowControl w:val="0"/>
        <w:numPr>
          <w:ilvl w:val="-1"/>
          <w:numId w:val="0"/>
        </w:numPr>
        <w:tabs>
          <w:tab w:val="left" w:pos="420"/>
        </w:tabs>
        <w:kinsoku/>
        <w:wordWrap/>
        <w:overflowPunct w:val="0"/>
        <w:topLinePunct w:val="0"/>
        <w:autoSpaceDE/>
        <w:autoSpaceDN/>
        <w:bidi w:val="0"/>
        <w:adjustRightInd/>
        <w:snapToGrid w:val="0"/>
        <w:spacing w:line="560" w:lineRule="exact"/>
        <w:ind w:left="0" w:firstLine="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lang w:val="en-US" w:eastAsia="zh-CN"/>
        </w:rPr>
        <w:t>1.</w:t>
      </w:r>
      <w:r>
        <w:rPr>
          <w:rFonts w:ascii="Times New Roman" w:hAnsi="Times New Roman" w:eastAsia="仿宋_GB2312"/>
          <w:color w:val="auto"/>
          <w:sz w:val="28"/>
          <w:szCs w:val="28"/>
        </w:rPr>
        <w:t>本表用于境内和境外医疗器械的分类界定申请。</w:t>
      </w:r>
    </w:p>
    <w:p>
      <w:pPr>
        <w:keepNext w:val="0"/>
        <w:keepLines w:val="0"/>
        <w:pageBreakBefore w:val="0"/>
        <w:widowControl w:val="0"/>
        <w:numPr>
          <w:ilvl w:val="-1"/>
          <w:numId w:val="0"/>
        </w:numPr>
        <w:tabs>
          <w:tab w:val="left" w:pos="420"/>
        </w:tabs>
        <w:kinsoku/>
        <w:wordWrap/>
        <w:overflowPunct w:val="0"/>
        <w:topLinePunct w:val="0"/>
        <w:autoSpaceDE/>
        <w:autoSpaceDN/>
        <w:bidi w:val="0"/>
        <w:adjustRightInd/>
        <w:snapToGrid w:val="0"/>
        <w:spacing w:line="560" w:lineRule="exact"/>
        <w:ind w:left="0" w:firstLine="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lang w:val="en-US" w:eastAsia="zh-CN"/>
        </w:rPr>
        <w:t>2.</w:t>
      </w:r>
      <w:r>
        <w:rPr>
          <w:rFonts w:ascii="Times New Roman" w:hAnsi="Times New Roman" w:eastAsia="仿宋_GB2312"/>
          <w:color w:val="auto"/>
          <w:sz w:val="28"/>
          <w:szCs w:val="28"/>
        </w:rPr>
        <w:t>除英文名称和原文名称栏目外，要求填写的栏目内容应当使用中文、打印完整、清楚、不得空白，无相关内容处应当填写“</w:t>
      </w:r>
      <w:r>
        <w:rPr>
          <w:rFonts w:ascii="Times New Roman" w:hAnsi="Times New Roman" w:eastAsia="微软雅黑"/>
          <w:color w:val="auto"/>
          <w:sz w:val="28"/>
          <w:szCs w:val="28"/>
        </w:rPr>
        <w:t>∕</w:t>
      </w:r>
      <w:r>
        <w:rPr>
          <w:rFonts w:ascii="Times New Roman" w:hAnsi="Times New Roman" w:eastAsia="仿宋_GB2312"/>
          <w:color w:val="auto"/>
          <w:sz w:val="28"/>
          <w:szCs w:val="28"/>
        </w:rPr>
        <w:t>”。因分类界定申请表格式所限而无法填写完整时，请另附附件。</w:t>
      </w:r>
    </w:p>
    <w:p>
      <w:pPr>
        <w:keepNext w:val="0"/>
        <w:keepLines w:val="0"/>
        <w:pageBreakBefore w:val="0"/>
        <w:widowControl w:val="0"/>
        <w:numPr>
          <w:ilvl w:val="-1"/>
          <w:numId w:val="0"/>
        </w:numPr>
        <w:tabs>
          <w:tab w:val="left" w:pos="420"/>
        </w:tabs>
        <w:kinsoku/>
        <w:wordWrap/>
        <w:overflowPunct w:val="0"/>
        <w:topLinePunct w:val="0"/>
        <w:autoSpaceDE/>
        <w:autoSpaceDN/>
        <w:bidi w:val="0"/>
        <w:adjustRightInd/>
        <w:snapToGrid w:val="0"/>
        <w:spacing w:line="560" w:lineRule="exact"/>
        <w:ind w:left="0" w:firstLine="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lang w:val="en-US" w:eastAsia="zh-CN"/>
        </w:rPr>
        <w:t>3.</w:t>
      </w:r>
      <w:r>
        <w:rPr>
          <w:rFonts w:ascii="Times New Roman" w:hAnsi="Times New Roman" w:eastAsia="仿宋_GB2312"/>
          <w:color w:val="auto"/>
          <w:sz w:val="28"/>
          <w:szCs w:val="28"/>
        </w:rPr>
        <w:t>填写产品中文名称栏，不可出现英文名称和符号。产品英文名称和原文名称，必须与申请产品的中文名称对应一致。</w:t>
      </w:r>
    </w:p>
    <w:p>
      <w:pPr>
        <w:keepNext w:val="0"/>
        <w:keepLines w:val="0"/>
        <w:pageBreakBefore w:val="0"/>
        <w:widowControl w:val="0"/>
        <w:numPr>
          <w:ilvl w:val="-1"/>
          <w:numId w:val="0"/>
        </w:numPr>
        <w:tabs>
          <w:tab w:val="left" w:pos="420"/>
        </w:tabs>
        <w:kinsoku/>
        <w:wordWrap/>
        <w:overflowPunct w:val="0"/>
        <w:topLinePunct w:val="0"/>
        <w:autoSpaceDE/>
        <w:autoSpaceDN/>
        <w:bidi w:val="0"/>
        <w:adjustRightInd/>
        <w:snapToGrid w:val="0"/>
        <w:spacing w:line="560" w:lineRule="exact"/>
        <w:ind w:left="0" w:firstLine="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lang w:val="en-US" w:eastAsia="zh-CN"/>
        </w:rPr>
        <w:t>4.</w:t>
      </w:r>
      <w:r>
        <w:rPr>
          <w:rFonts w:ascii="Times New Roman" w:hAnsi="Times New Roman" w:eastAsia="仿宋_GB2312"/>
          <w:color w:val="auto"/>
          <w:sz w:val="28"/>
          <w:szCs w:val="28"/>
        </w:rPr>
        <w:t>所填写各项内容应当与所提交分类界定材料内容相对应。</w:t>
      </w:r>
    </w:p>
    <w:p>
      <w:pPr>
        <w:keepNext w:val="0"/>
        <w:keepLines w:val="0"/>
        <w:pageBreakBefore w:val="0"/>
        <w:widowControl w:val="0"/>
        <w:numPr>
          <w:ilvl w:val="-1"/>
          <w:numId w:val="0"/>
        </w:numPr>
        <w:tabs>
          <w:tab w:val="left" w:pos="420"/>
        </w:tabs>
        <w:kinsoku/>
        <w:wordWrap/>
        <w:overflowPunct w:val="0"/>
        <w:topLinePunct w:val="0"/>
        <w:autoSpaceDE/>
        <w:autoSpaceDN/>
        <w:bidi w:val="0"/>
        <w:adjustRightInd/>
        <w:snapToGrid w:val="0"/>
        <w:spacing w:line="560" w:lineRule="exact"/>
        <w:ind w:left="0" w:firstLine="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lang w:val="en-US" w:eastAsia="zh-CN"/>
        </w:rPr>
        <w:t>5.</w:t>
      </w:r>
      <w:r>
        <w:rPr>
          <w:rFonts w:ascii="Times New Roman" w:hAnsi="Times New Roman" w:eastAsia="仿宋_GB2312"/>
          <w:color w:val="auto"/>
          <w:sz w:val="28"/>
          <w:szCs w:val="28"/>
        </w:rPr>
        <w:t>医疗器械产品分类编码均使用《分类目录》的分类编码，分类编码填写为“子目录编号-一级产品类别编号”，一级产品类别如无法与目录准确对应，可填写“xx”，体外诊断试剂产品分类编码为“6840”。</w:t>
      </w:r>
    </w:p>
    <w:p>
      <w:pPr>
        <w:keepNext w:val="0"/>
        <w:keepLines w:val="0"/>
        <w:pageBreakBefore w:val="0"/>
        <w:widowControl w:val="0"/>
        <w:numPr>
          <w:ilvl w:val="-1"/>
          <w:numId w:val="0"/>
        </w:numPr>
        <w:tabs>
          <w:tab w:val="left" w:pos="420"/>
        </w:tabs>
        <w:kinsoku/>
        <w:wordWrap/>
        <w:overflowPunct w:val="0"/>
        <w:topLinePunct w:val="0"/>
        <w:autoSpaceDE/>
        <w:autoSpaceDN/>
        <w:bidi w:val="0"/>
        <w:adjustRightInd/>
        <w:snapToGrid w:val="0"/>
        <w:spacing w:line="560" w:lineRule="exact"/>
        <w:ind w:left="0" w:firstLine="0"/>
        <w:textAlignment w:val="auto"/>
        <w:rPr>
          <w:rFonts w:ascii="Times New Roman" w:hAnsi="Times New Roman" w:eastAsia="仿宋_GB2312"/>
          <w:color w:val="auto"/>
          <w:sz w:val="28"/>
          <w:szCs w:val="28"/>
        </w:rPr>
      </w:pPr>
      <w:r>
        <w:rPr>
          <w:rFonts w:hint="eastAsia" w:ascii="Times New Roman" w:hAnsi="Times New Roman" w:eastAsia="仿宋_GB2312"/>
          <w:color w:val="auto"/>
          <w:sz w:val="28"/>
          <w:szCs w:val="28"/>
          <w:lang w:val="en-US" w:eastAsia="zh-CN"/>
        </w:rPr>
        <w:t>6.</w:t>
      </w:r>
      <w:r>
        <w:rPr>
          <w:rFonts w:ascii="Times New Roman" w:hAnsi="Times New Roman" w:eastAsia="仿宋_GB2312"/>
          <w:color w:val="auto"/>
          <w:sz w:val="28"/>
          <w:szCs w:val="28"/>
        </w:rPr>
        <w:t>如有其他需要特别加以说明的问题，请在本表“其他需要说明的问题”栏中说明。</w:t>
      </w:r>
      <w:r>
        <w:rPr>
          <w:rFonts w:ascii="Times New Roman" w:hAnsi="Times New Roman"/>
          <w:color w:val="auto"/>
        </w:rPr>
        <w:br w:type="page"/>
      </w:r>
    </w:p>
    <w:p>
      <w:pPr>
        <w:keepNext w:val="0"/>
        <w:keepLines w:val="0"/>
        <w:pageBreakBefore w:val="0"/>
        <w:widowControl w:val="0"/>
        <w:kinsoku/>
        <w:wordWrap/>
        <w:overflowPunct w:val="0"/>
        <w:topLinePunct w:val="0"/>
        <w:autoSpaceDN/>
        <w:bidi w:val="0"/>
        <w:snapToGrid w:val="0"/>
        <w:jc w:val="center"/>
        <w:textAlignment w:val="auto"/>
        <w:rPr>
          <w:rFonts w:ascii="Times New Roman" w:hAnsi="Times New Roman" w:eastAsia="方正小标宋简体"/>
          <w:color w:val="auto"/>
          <w:kern w:val="0"/>
          <w:sz w:val="44"/>
          <w:szCs w:val="44"/>
        </w:rPr>
      </w:pPr>
      <w:r>
        <w:rPr>
          <w:rFonts w:ascii="Times New Roman" w:hAnsi="Times New Roman" w:eastAsia="方正小标宋简体"/>
          <w:color w:val="auto"/>
          <w:kern w:val="0"/>
          <w:sz w:val="44"/>
          <w:szCs w:val="44"/>
        </w:rPr>
        <w:t>医疗器械产品分类界定申请表</w:t>
      </w:r>
    </w:p>
    <w:p>
      <w:pPr>
        <w:keepNext w:val="0"/>
        <w:keepLines w:val="0"/>
        <w:pageBreakBefore w:val="0"/>
        <w:widowControl w:val="0"/>
        <w:kinsoku/>
        <w:wordWrap/>
        <w:overflowPunct w:val="0"/>
        <w:topLinePunct w:val="0"/>
        <w:autoSpaceDN/>
        <w:bidi w:val="0"/>
        <w:jc w:val="center"/>
        <w:textAlignment w:val="auto"/>
        <w:rPr>
          <w:rFonts w:ascii="Times New Roman" w:hAnsi="Times New Roman"/>
          <w:color w:val="auto"/>
          <w:kern w:val="0"/>
          <w:sz w:val="24"/>
          <w:szCs w:val="24"/>
        </w:rPr>
      </w:pPr>
      <w:r>
        <w:rPr>
          <w:rFonts w:ascii="Times New Roman" w:hAnsi="Times New Roman" w:eastAsia="Times New Roman"/>
          <w:color w:val="auto"/>
          <w:kern w:val="0"/>
          <w:sz w:val="24"/>
          <w:szCs w:val="24"/>
        </w:rPr>
        <w:t xml:space="preserve">                                                     </w:t>
      </w:r>
    </w:p>
    <w:p>
      <w:pPr>
        <w:keepNext w:val="0"/>
        <w:keepLines w:val="0"/>
        <w:pageBreakBefore w:val="0"/>
        <w:widowControl w:val="0"/>
        <w:kinsoku/>
        <w:wordWrap/>
        <w:overflowPunct w:val="0"/>
        <w:topLinePunct w:val="0"/>
        <w:autoSpaceDN/>
        <w:bidi w:val="0"/>
        <w:jc w:val="left"/>
        <w:textAlignment w:val="auto"/>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注：填表前，请详细阅读填表说明</w:t>
      </w:r>
    </w:p>
    <w:tbl>
      <w:tblPr>
        <w:tblStyle w:val="6"/>
        <w:tblW w:w="9890" w:type="dxa"/>
        <w:tblInd w:w="-464" w:type="dxa"/>
        <w:tblLayout w:type="fixed"/>
        <w:tblCellMar>
          <w:top w:w="0" w:type="dxa"/>
          <w:left w:w="108" w:type="dxa"/>
          <w:bottom w:w="0" w:type="dxa"/>
          <w:right w:w="108" w:type="dxa"/>
        </w:tblCellMar>
      </w:tblPr>
      <w:tblGrid>
        <w:gridCol w:w="2136"/>
        <w:gridCol w:w="2098"/>
        <w:gridCol w:w="2473"/>
        <w:gridCol w:w="1507"/>
        <w:gridCol w:w="1633"/>
        <w:gridCol w:w="43"/>
      </w:tblGrid>
      <w:tr>
        <w:tblPrEx>
          <w:tblCellMar>
            <w:top w:w="0" w:type="dxa"/>
            <w:left w:w="108" w:type="dxa"/>
            <w:bottom w:w="0" w:type="dxa"/>
            <w:right w:w="108" w:type="dxa"/>
          </w:tblCellMar>
        </w:tblPrEx>
        <w:trPr>
          <w:trHeight w:val="521" w:hRule="atLeast"/>
        </w:trPr>
        <w:tc>
          <w:tcPr>
            <w:tcW w:w="2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jc w:val="center"/>
              <w:textAlignment w:val="auto"/>
              <w:rPr>
                <w:rFonts w:ascii="黑体" w:hAnsi="黑体" w:eastAsia="黑体" w:cs="黑体"/>
                <w:color w:val="auto"/>
                <w:sz w:val="28"/>
                <w:szCs w:val="28"/>
              </w:rPr>
            </w:pPr>
            <w:r>
              <w:rPr>
                <w:rFonts w:hint="eastAsia" w:ascii="黑体" w:hAnsi="黑体" w:eastAsia="黑体" w:cs="黑体"/>
                <w:color w:val="auto"/>
                <w:sz w:val="28"/>
                <w:szCs w:val="28"/>
              </w:rPr>
              <w:t>校验码</w:t>
            </w:r>
          </w:p>
        </w:tc>
        <w:tc>
          <w:tcPr>
            <w:tcW w:w="7711" w:type="dxa"/>
            <w:gridSpan w:val="4"/>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snapToGrid w:val="0"/>
              <w:textAlignment w:val="auto"/>
              <w:rPr>
                <w:rFonts w:ascii="Times New Roman" w:hAnsi="Times New Roman" w:eastAsia="仿宋_GB2312"/>
                <w:color w:val="auto"/>
                <w:sz w:val="28"/>
                <w:szCs w:val="28"/>
              </w:rPr>
            </w:pPr>
          </w:p>
        </w:tc>
        <w:tc>
          <w:tcPr>
            <w:tcW w:w="43" w:type="dxa"/>
            <w:tcMar>
              <w:left w:w="0" w:type="dxa"/>
              <w:right w:w="0" w:type="dxa"/>
            </w:tcMar>
          </w:tcPr>
          <w:p>
            <w:pPr>
              <w:keepNext w:val="0"/>
              <w:keepLines w:val="0"/>
              <w:pageBreakBefore w:val="0"/>
              <w:widowControl w:val="0"/>
              <w:kinsoku/>
              <w:wordWrap/>
              <w:overflowPunct w:val="0"/>
              <w:topLinePunct w:val="0"/>
              <w:autoSpaceDN/>
              <w:bidi w:val="0"/>
              <w:snapToGrid w:val="0"/>
              <w:textAlignment w:val="auto"/>
              <w:rPr>
                <w:rFonts w:ascii="Times New Roman" w:hAnsi="Times New Roman"/>
                <w:color w:val="auto"/>
                <w:sz w:val="28"/>
                <w:szCs w:val="28"/>
              </w:rPr>
            </w:pPr>
          </w:p>
        </w:tc>
      </w:tr>
      <w:tr>
        <w:tblPrEx>
          <w:tblCellMar>
            <w:top w:w="0" w:type="dxa"/>
            <w:left w:w="108" w:type="dxa"/>
            <w:bottom w:w="0" w:type="dxa"/>
            <w:right w:w="108" w:type="dxa"/>
          </w:tblCellMar>
        </w:tblPrEx>
        <w:trPr>
          <w:trHeight w:val="459" w:hRule="atLeast"/>
        </w:trPr>
        <w:tc>
          <w:tcPr>
            <w:tcW w:w="2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r>
              <w:rPr>
                <w:rFonts w:hint="eastAsia" w:ascii="黑体" w:hAnsi="黑体" w:eastAsia="黑体" w:cs="黑体"/>
                <w:color w:val="auto"/>
                <w:sz w:val="28"/>
                <w:szCs w:val="28"/>
              </w:rPr>
              <w:t>申请人名称</w:t>
            </w:r>
          </w:p>
        </w:tc>
        <w:tc>
          <w:tcPr>
            <w:tcW w:w="7711" w:type="dxa"/>
            <w:gridSpan w:val="4"/>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p>
        </w:tc>
        <w:tc>
          <w:tcPr>
            <w:tcW w:w="43" w:type="dxa"/>
            <w:tcMar>
              <w:left w:w="0" w:type="dxa"/>
              <w:right w:w="0" w:type="dxa"/>
            </w:tcMa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sz w:val="28"/>
                <w:szCs w:val="28"/>
              </w:rPr>
            </w:pPr>
          </w:p>
        </w:tc>
      </w:tr>
      <w:tr>
        <w:tblPrEx>
          <w:tblCellMar>
            <w:top w:w="0" w:type="dxa"/>
            <w:left w:w="108" w:type="dxa"/>
            <w:bottom w:w="0" w:type="dxa"/>
            <w:right w:w="108" w:type="dxa"/>
          </w:tblCellMar>
        </w:tblPrEx>
        <w:trPr>
          <w:trHeight w:val="466" w:hRule="atLeast"/>
        </w:trPr>
        <w:tc>
          <w:tcPr>
            <w:tcW w:w="2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r>
              <w:rPr>
                <w:rFonts w:hint="eastAsia" w:ascii="黑体" w:hAnsi="黑体" w:eastAsia="黑体" w:cs="黑体"/>
                <w:color w:val="auto"/>
                <w:sz w:val="28"/>
                <w:szCs w:val="28"/>
              </w:rPr>
              <w:t>受理编号</w:t>
            </w:r>
          </w:p>
        </w:tc>
        <w:tc>
          <w:tcPr>
            <w:tcW w:w="7711" w:type="dxa"/>
            <w:gridSpan w:val="4"/>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p>
        </w:tc>
        <w:tc>
          <w:tcPr>
            <w:tcW w:w="43" w:type="dxa"/>
            <w:tcMar>
              <w:left w:w="0" w:type="dxa"/>
              <w:right w:w="0" w:type="dxa"/>
            </w:tcMa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sz w:val="28"/>
                <w:szCs w:val="28"/>
              </w:rPr>
            </w:pPr>
          </w:p>
        </w:tc>
      </w:tr>
      <w:tr>
        <w:tblPrEx>
          <w:tblCellMar>
            <w:top w:w="0" w:type="dxa"/>
            <w:left w:w="108" w:type="dxa"/>
            <w:bottom w:w="0" w:type="dxa"/>
            <w:right w:w="108" w:type="dxa"/>
          </w:tblCellMar>
        </w:tblPrEx>
        <w:trPr>
          <w:trHeight w:val="466" w:hRule="atLeast"/>
        </w:trPr>
        <w:tc>
          <w:tcPr>
            <w:tcW w:w="2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申请途径</w:t>
            </w:r>
          </w:p>
        </w:tc>
        <w:tc>
          <w:tcPr>
            <w:tcW w:w="7711" w:type="dxa"/>
            <w:gridSpan w:val="4"/>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hint="eastAsia" w:ascii="Times New Roman" w:hAnsi="Times New Roman" w:eastAsia="仿宋_GB2312"/>
                <w:color w:val="auto"/>
                <w:sz w:val="28"/>
                <w:szCs w:val="28"/>
              </w:rPr>
            </w:pPr>
            <w:r>
              <w:rPr>
                <w:rFonts w:ascii="Times New Roman" w:hAnsi="Times New Roman" w:eastAsia="仿宋_GB2312"/>
                <w:color w:val="auto"/>
                <w:sz w:val="28"/>
                <w:szCs w:val="28"/>
              </w:rPr>
              <w:t>·</w:t>
            </w:r>
            <w:r>
              <w:rPr>
                <w:rFonts w:hint="eastAsia" w:ascii="Times New Roman" w:hAnsi="Times New Roman" w:eastAsia="仿宋_GB2312"/>
                <w:color w:val="auto"/>
                <w:sz w:val="28"/>
                <w:szCs w:val="28"/>
              </w:rPr>
              <w:t>新研制尚未列入《分类目录》医疗器械分类界定</w:t>
            </w:r>
          </w:p>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w:t>
            </w:r>
            <w:r>
              <w:rPr>
                <w:rFonts w:hint="eastAsia" w:ascii="Times New Roman" w:hAnsi="Times New Roman" w:eastAsia="仿宋_GB2312"/>
                <w:color w:val="auto"/>
                <w:sz w:val="28"/>
                <w:szCs w:val="28"/>
              </w:rPr>
              <w:t>管理类别存疑医疗器械分类界定</w:t>
            </w:r>
          </w:p>
        </w:tc>
        <w:tc>
          <w:tcPr>
            <w:tcW w:w="43" w:type="dxa"/>
            <w:tcMar>
              <w:left w:w="0" w:type="dxa"/>
              <w:right w:w="0" w:type="dxa"/>
            </w:tcMa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sz w:val="28"/>
                <w:szCs w:val="28"/>
              </w:rPr>
            </w:pPr>
          </w:p>
        </w:tc>
      </w:tr>
      <w:tr>
        <w:tblPrEx>
          <w:tblCellMar>
            <w:top w:w="0" w:type="dxa"/>
            <w:left w:w="108" w:type="dxa"/>
            <w:bottom w:w="0" w:type="dxa"/>
            <w:right w:w="108" w:type="dxa"/>
          </w:tblCellMar>
        </w:tblPrEx>
        <w:trPr>
          <w:trHeight w:val="785" w:hRule="atLeast"/>
        </w:trPr>
        <w:tc>
          <w:tcPr>
            <w:tcW w:w="2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bookmarkStart w:id="2" w:name="sfscsq"/>
            <w:bookmarkEnd w:id="2"/>
            <w:r>
              <w:rPr>
                <w:rFonts w:hint="eastAsia" w:ascii="黑体" w:hAnsi="黑体" w:eastAsia="黑体" w:cs="黑体"/>
                <w:color w:val="auto"/>
                <w:sz w:val="28"/>
                <w:szCs w:val="28"/>
              </w:rPr>
              <w:t>来源性质</w:t>
            </w:r>
          </w:p>
        </w:tc>
        <w:tc>
          <w:tcPr>
            <w:tcW w:w="7711" w:type="dxa"/>
            <w:gridSpan w:val="4"/>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·境内       ·国外及港澳台地区</w:t>
            </w:r>
          </w:p>
        </w:tc>
        <w:tc>
          <w:tcPr>
            <w:tcW w:w="43" w:type="dxa"/>
            <w:tcMar>
              <w:left w:w="0" w:type="dxa"/>
              <w:right w:w="0" w:type="dxa"/>
            </w:tcMa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sz w:val="28"/>
                <w:szCs w:val="28"/>
              </w:rPr>
            </w:pPr>
          </w:p>
        </w:tc>
      </w:tr>
      <w:tr>
        <w:tblPrEx>
          <w:tblCellMar>
            <w:top w:w="0" w:type="dxa"/>
            <w:left w:w="108" w:type="dxa"/>
            <w:bottom w:w="0" w:type="dxa"/>
            <w:right w:w="108" w:type="dxa"/>
          </w:tblCellMar>
        </w:tblPrEx>
        <w:trPr>
          <w:trHeight w:val="785" w:hRule="atLeast"/>
        </w:trPr>
        <w:tc>
          <w:tcPr>
            <w:tcW w:w="2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是否为对此前界定结果有异议产品</w:t>
            </w:r>
          </w:p>
        </w:tc>
        <w:tc>
          <w:tcPr>
            <w:tcW w:w="7711" w:type="dxa"/>
            <w:gridSpan w:val="4"/>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hint="eastAsia" w:ascii="Times New Roman" w:hAnsi="Times New Roman" w:eastAsia="仿宋_GB2312"/>
                <w:color w:val="auto"/>
                <w:sz w:val="28"/>
                <w:szCs w:val="28"/>
                <w:lang w:eastAsia="zh-CN"/>
              </w:rPr>
            </w:pPr>
            <w:r>
              <w:rPr>
                <w:rFonts w:ascii="Times New Roman" w:hAnsi="Times New Roman" w:eastAsia="仿宋_GB2312"/>
                <w:color w:val="auto"/>
                <w:sz w:val="28"/>
                <w:szCs w:val="28"/>
              </w:rPr>
              <w:t>·</w:t>
            </w:r>
            <w:r>
              <w:rPr>
                <w:rFonts w:hint="eastAsia" w:ascii="Times New Roman" w:hAnsi="Times New Roman" w:eastAsia="仿宋_GB2312"/>
                <w:color w:val="auto"/>
                <w:sz w:val="28"/>
                <w:szCs w:val="28"/>
                <w:lang w:eastAsia="zh-CN"/>
              </w:rPr>
              <w:t>是</w:t>
            </w:r>
            <w:r>
              <w:rPr>
                <w:rFonts w:ascii="Times New Roman" w:hAnsi="Times New Roman" w:eastAsia="仿宋_GB2312"/>
                <w:color w:val="auto"/>
                <w:sz w:val="28"/>
                <w:szCs w:val="28"/>
              </w:rPr>
              <w:t xml:space="preserve">       ·</w:t>
            </w:r>
            <w:r>
              <w:rPr>
                <w:rFonts w:hint="eastAsia" w:ascii="Times New Roman" w:hAnsi="Times New Roman" w:eastAsia="仿宋_GB2312"/>
                <w:color w:val="auto"/>
                <w:sz w:val="28"/>
                <w:szCs w:val="28"/>
                <w:lang w:eastAsia="zh-CN"/>
              </w:rPr>
              <w:t>否</w:t>
            </w:r>
          </w:p>
        </w:tc>
        <w:tc>
          <w:tcPr>
            <w:tcW w:w="43" w:type="dxa"/>
            <w:tcMar>
              <w:left w:w="0" w:type="dxa"/>
              <w:right w:w="0" w:type="dxa"/>
            </w:tcMa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sz w:val="28"/>
                <w:szCs w:val="28"/>
              </w:rPr>
            </w:pPr>
          </w:p>
        </w:tc>
      </w:tr>
      <w:tr>
        <w:tblPrEx>
          <w:tblCellMar>
            <w:top w:w="0" w:type="dxa"/>
            <w:left w:w="108" w:type="dxa"/>
            <w:bottom w:w="0" w:type="dxa"/>
            <w:right w:w="108" w:type="dxa"/>
          </w:tblCellMar>
        </w:tblPrEx>
        <w:trPr>
          <w:trHeight w:val="560" w:hRule="atLeast"/>
        </w:trPr>
        <w:tc>
          <w:tcPr>
            <w:tcW w:w="2136" w:type="dxa"/>
            <w:vMerge w:val="restart"/>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bookmarkStart w:id="3" w:name="sfscsq1"/>
            <w:bookmarkEnd w:id="3"/>
            <w:r>
              <w:rPr>
                <w:rFonts w:hint="eastAsia" w:ascii="黑体" w:hAnsi="黑体" w:eastAsia="黑体" w:cs="黑体"/>
                <w:color w:val="auto"/>
                <w:sz w:val="28"/>
                <w:szCs w:val="28"/>
              </w:rPr>
              <w:t>产品名称</w:t>
            </w:r>
          </w:p>
        </w:tc>
        <w:tc>
          <w:tcPr>
            <w:tcW w:w="7711" w:type="dxa"/>
            <w:gridSpan w:val="4"/>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中文名称</w:t>
            </w:r>
            <w:bookmarkStart w:id="4" w:name="cpmc"/>
            <w:bookmarkEnd w:id="4"/>
          </w:p>
        </w:tc>
        <w:tc>
          <w:tcPr>
            <w:tcW w:w="43" w:type="dxa"/>
            <w:tcMar>
              <w:left w:w="0" w:type="dxa"/>
              <w:right w:w="0" w:type="dxa"/>
            </w:tcMa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sz w:val="28"/>
                <w:szCs w:val="28"/>
              </w:rPr>
            </w:pPr>
          </w:p>
        </w:tc>
      </w:tr>
      <w:tr>
        <w:tblPrEx>
          <w:tblCellMar>
            <w:top w:w="0" w:type="dxa"/>
            <w:left w:w="108" w:type="dxa"/>
            <w:bottom w:w="0" w:type="dxa"/>
            <w:right w:w="108" w:type="dxa"/>
          </w:tblCellMar>
        </w:tblPrEx>
        <w:trPr>
          <w:trHeight w:val="560" w:hRule="atLeast"/>
        </w:trPr>
        <w:tc>
          <w:tcPr>
            <w:tcW w:w="2136"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p>
        </w:tc>
        <w:tc>
          <w:tcPr>
            <w:tcW w:w="7711" w:type="dxa"/>
            <w:gridSpan w:val="4"/>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原文名称</w:t>
            </w:r>
          </w:p>
        </w:tc>
        <w:tc>
          <w:tcPr>
            <w:tcW w:w="43" w:type="dxa"/>
            <w:tcMar>
              <w:left w:w="0" w:type="dxa"/>
              <w:right w:w="0" w:type="dxa"/>
            </w:tcMa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sz w:val="28"/>
                <w:szCs w:val="28"/>
              </w:rPr>
            </w:pPr>
          </w:p>
        </w:tc>
      </w:tr>
      <w:tr>
        <w:tblPrEx>
          <w:tblCellMar>
            <w:top w:w="0" w:type="dxa"/>
            <w:left w:w="108" w:type="dxa"/>
            <w:bottom w:w="0" w:type="dxa"/>
            <w:right w:w="108" w:type="dxa"/>
          </w:tblCellMar>
        </w:tblPrEx>
        <w:trPr>
          <w:trHeight w:val="560" w:hRule="atLeast"/>
        </w:trPr>
        <w:tc>
          <w:tcPr>
            <w:tcW w:w="2136"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p>
        </w:tc>
        <w:tc>
          <w:tcPr>
            <w:tcW w:w="7711" w:type="dxa"/>
            <w:gridSpan w:val="4"/>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bookmarkStart w:id="5" w:name="cpmcyw"/>
            <w:bookmarkEnd w:id="5"/>
            <w:r>
              <w:rPr>
                <w:rFonts w:ascii="Times New Roman" w:hAnsi="Times New Roman" w:eastAsia="仿宋_GB2312"/>
                <w:color w:val="auto"/>
                <w:sz w:val="28"/>
                <w:szCs w:val="28"/>
              </w:rPr>
              <w:t>英文名称</w:t>
            </w:r>
          </w:p>
        </w:tc>
        <w:tc>
          <w:tcPr>
            <w:tcW w:w="43" w:type="dxa"/>
            <w:tcMar>
              <w:left w:w="0" w:type="dxa"/>
              <w:right w:w="0" w:type="dxa"/>
            </w:tcMa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sz w:val="28"/>
                <w:szCs w:val="28"/>
              </w:rPr>
            </w:pPr>
          </w:p>
        </w:tc>
      </w:tr>
      <w:tr>
        <w:tblPrEx>
          <w:tblCellMar>
            <w:top w:w="0" w:type="dxa"/>
            <w:left w:w="108" w:type="dxa"/>
            <w:bottom w:w="0" w:type="dxa"/>
            <w:right w:w="108" w:type="dxa"/>
          </w:tblCellMar>
        </w:tblPrEx>
        <w:trPr>
          <w:trHeight w:val="1550" w:hRule="atLeast"/>
        </w:trPr>
        <w:tc>
          <w:tcPr>
            <w:tcW w:w="2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bookmarkStart w:id="6" w:name="cplx"/>
            <w:bookmarkEnd w:id="6"/>
            <w:r>
              <w:rPr>
                <w:rFonts w:hint="eastAsia" w:ascii="黑体" w:hAnsi="黑体" w:eastAsia="黑体" w:cs="黑体"/>
                <w:color w:val="auto"/>
                <w:sz w:val="28"/>
                <w:szCs w:val="28"/>
              </w:rPr>
              <w:t>预期用途 (包括适用人群、禁忌症等)</w:t>
            </w:r>
          </w:p>
        </w:tc>
        <w:tc>
          <w:tcPr>
            <w:tcW w:w="7711" w:type="dxa"/>
            <w:gridSpan w:val="4"/>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r>
              <w:rPr>
                <w:rFonts w:hint="eastAsia" w:ascii="宋体" w:hAnsi="宋体" w:eastAsia="宋体" w:cs="宋体"/>
                <w:color w:val="auto"/>
                <w:sz w:val="28"/>
                <w:szCs w:val="28"/>
              </w:rPr>
              <w:t>①</w:t>
            </w:r>
            <w:r>
              <w:rPr>
                <w:rFonts w:ascii="Times New Roman" w:hAnsi="Times New Roman" w:eastAsia="仿宋_GB2312"/>
                <w:color w:val="auto"/>
                <w:sz w:val="28"/>
                <w:szCs w:val="28"/>
              </w:rPr>
              <w:t>预期用途</w:t>
            </w:r>
          </w:p>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r>
              <w:rPr>
                <w:rFonts w:hint="eastAsia" w:ascii="宋体" w:hAnsi="宋体" w:eastAsia="宋体" w:cs="宋体"/>
                <w:color w:val="auto"/>
                <w:sz w:val="28"/>
                <w:szCs w:val="28"/>
              </w:rPr>
              <w:t>②</w:t>
            </w:r>
            <w:r>
              <w:rPr>
                <w:rFonts w:ascii="Times New Roman" w:hAnsi="Times New Roman" w:eastAsia="仿宋_GB2312"/>
                <w:color w:val="auto"/>
                <w:sz w:val="28"/>
                <w:szCs w:val="28"/>
              </w:rPr>
              <w:t>适用人群</w:t>
            </w:r>
          </w:p>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r>
              <w:rPr>
                <w:rFonts w:hint="eastAsia" w:ascii="宋体" w:hAnsi="宋体" w:eastAsia="宋体" w:cs="宋体"/>
                <w:color w:val="auto"/>
                <w:sz w:val="28"/>
                <w:szCs w:val="28"/>
              </w:rPr>
              <w:t>③</w:t>
            </w:r>
            <w:r>
              <w:rPr>
                <w:rFonts w:ascii="Times New Roman" w:hAnsi="Times New Roman" w:eastAsia="仿宋_GB2312"/>
                <w:color w:val="auto"/>
                <w:sz w:val="28"/>
                <w:szCs w:val="28"/>
              </w:rPr>
              <w:t>适应证</w:t>
            </w:r>
          </w:p>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r>
              <w:rPr>
                <w:rFonts w:hint="eastAsia" w:ascii="宋体" w:hAnsi="宋体" w:eastAsia="宋体" w:cs="宋体"/>
                <w:color w:val="auto"/>
                <w:sz w:val="28"/>
                <w:szCs w:val="28"/>
              </w:rPr>
              <w:t>④</w:t>
            </w:r>
            <w:r>
              <w:rPr>
                <w:rFonts w:ascii="Times New Roman" w:hAnsi="Times New Roman" w:eastAsia="仿宋_GB2312"/>
                <w:color w:val="auto"/>
                <w:sz w:val="28"/>
                <w:szCs w:val="28"/>
              </w:rPr>
              <w:t>使用环境</w:t>
            </w:r>
          </w:p>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禁忌症</w:t>
            </w:r>
          </w:p>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（系统中屏蔽“等”字）</w:t>
            </w:r>
          </w:p>
        </w:tc>
        <w:tc>
          <w:tcPr>
            <w:tcW w:w="43" w:type="dxa"/>
            <w:tcMar>
              <w:left w:w="0" w:type="dxa"/>
              <w:right w:w="0" w:type="dxa"/>
            </w:tcMa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sz w:val="28"/>
                <w:szCs w:val="28"/>
              </w:rPr>
            </w:pPr>
          </w:p>
        </w:tc>
      </w:tr>
      <w:tr>
        <w:tblPrEx>
          <w:tblCellMar>
            <w:top w:w="0" w:type="dxa"/>
            <w:left w:w="108" w:type="dxa"/>
            <w:bottom w:w="0" w:type="dxa"/>
            <w:right w:w="108" w:type="dxa"/>
          </w:tblCellMar>
        </w:tblPrEx>
        <w:trPr>
          <w:trHeight w:val="723" w:hRule="atLeast"/>
        </w:trPr>
        <w:tc>
          <w:tcPr>
            <w:tcW w:w="2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bookmarkStart w:id="7" w:name="jgyljzc"/>
            <w:bookmarkEnd w:id="7"/>
            <w:r>
              <w:rPr>
                <w:rFonts w:hint="eastAsia" w:ascii="黑体" w:hAnsi="黑体" w:eastAsia="黑体" w:cs="黑体"/>
                <w:color w:val="auto"/>
                <w:sz w:val="28"/>
                <w:szCs w:val="28"/>
              </w:rPr>
              <w:t>结构组成</w:t>
            </w:r>
          </w:p>
        </w:tc>
        <w:tc>
          <w:tcPr>
            <w:tcW w:w="7711" w:type="dxa"/>
            <w:gridSpan w:val="4"/>
            <w:tcBorders>
              <w:top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p>
        </w:tc>
        <w:tc>
          <w:tcPr>
            <w:tcW w:w="43" w:type="dxa"/>
            <w:tcMar>
              <w:left w:w="0" w:type="dxa"/>
              <w:right w:w="0" w:type="dxa"/>
            </w:tcMa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sz w:val="28"/>
                <w:szCs w:val="28"/>
              </w:rPr>
            </w:pPr>
          </w:p>
        </w:tc>
      </w:tr>
      <w:tr>
        <w:tblPrEx>
          <w:tblCellMar>
            <w:top w:w="0" w:type="dxa"/>
            <w:left w:w="108" w:type="dxa"/>
            <w:bottom w:w="0" w:type="dxa"/>
            <w:right w:w="108" w:type="dxa"/>
          </w:tblCellMar>
        </w:tblPrEx>
        <w:trPr>
          <w:trHeight w:val="706" w:hRule="atLeast"/>
        </w:trPr>
        <w:tc>
          <w:tcPr>
            <w:tcW w:w="2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bookmarkStart w:id="8" w:name="jgyljzc1"/>
            <w:bookmarkEnd w:id="8"/>
            <w:r>
              <w:rPr>
                <w:rFonts w:hint="eastAsia" w:ascii="黑体" w:hAnsi="黑体" w:eastAsia="黑体" w:cs="黑体"/>
                <w:color w:val="auto"/>
                <w:sz w:val="28"/>
                <w:szCs w:val="28"/>
              </w:rPr>
              <w:t>工作原理及作用机理</w:t>
            </w:r>
          </w:p>
        </w:tc>
        <w:tc>
          <w:tcPr>
            <w:tcW w:w="7711" w:type="dxa"/>
            <w:gridSpan w:val="4"/>
            <w:tcBorders>
              <w:top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p>
        </w:tc>
        <w:tc>
          <w:tcPr>
            <w:tcW w:w="43" w:type="dxa"/>
            <w:tcMar>
              <w:left w:w="0" w:type="dxa"/>
              <w:right w:w="0" w:type="dxa"/>
            </w:tcMa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sz w:val="28"/>
                <w:szCs w:val="28"/>
              </w:rPr>
            </w:pPr>
          </w:p>
        </w:tc>
      </w:tr>
      <w:tr>
        <w:tblPrEx>
          <w:tblCellMar>
            <w:top w:w="0" w:type="dxa"/>
            <w:left w:w="108" w:type="dxa"/>
            <w:bottom w:w="0" w:type="dxa"/>
            <w:right w:w="108" w:type="dxa"/>
          </w:tblCellMar>
        </w:tblPrEx>
        <w:trPr>
          <w:trHeight w:val="829" w:hRule="atLeast"/>
        </w:trPr>
        <w:tc>
          <w:tcPr>
            <w:tcW w:w="2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bookmarkStart w:id="9" w:name="syxs"/>
            <w:bookmarkEnd w:id="9"/>
            <w:r>
              <w:rPr>
                <w:rFonts w:hint="eastAsia" w:ascii="黑体" w:hAnsi="黑体" w:eastAsia="黑体" w:cs="黑体"/>
                <w:color w:val="auto"/>
                <w:sz w:val="28"/>
                <w:szCs w:val="28"/>
              </w:rPr>
              <w:t>使用形式、状态、部位、期限及方法</w:t>
            </w:r>
          </w:p>
        </w:tc>
        <w:tc>
          <w:tcPr>
            <w:tcW w:w="7711" w:type="dxa"/>
            <w:gridSpan w:val="4"/>
            <w:tcBorders>
              <w:top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p>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p>
        </w:tc>
        <w:tc>
          <w:tcPr>
            <w:tcW w:w="43" w:type="dxa"/>
            <w:tcMar>
              <w:left w:w="0" w:type="dxa"/>
              <w:right w:w="0" w:type="dxa"/>
            </w:tcMa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sz w:val="28"/>
                <w:szCs w:val="28"/>
              </w:rPr>
            </w:pPr>
          </w:p>
        </w:tc>
      </w:tr>
      <w:tr>
        <w:tblPrEx>
          <w:tblCellMar>
            <w:top w:w="0" w:type="dxa"/>
            <w:left w:w="108" w:type="dxa"/>
            <w:bottom w:w="0" w:type="dxa"/>
            <w:right w:w="108" w:type="dxa"/>
          </w:tblCellMar>
        </w:tblPrEx>
        <w:trPr>
          <w:trHeight w:val="862" w:hRule="atLeast"/>
        </w:trPr>
        <w:tc>
          <w:tcPr>
            <w:tcW w:w="2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bookmarkStart w:id="10" w:name="cltz"/>
            <w:bookmarkEnd w:id="10"/>
            <w:r>
              <w:rPr>
                <w:rFonts w:hint="eastAsia" w:ascii="黑体" w:hAnsi="黑体" w:eastAsia="黑体" w:cs="黑体"/>
                <w:color w:val="auto"/>
                <w:sz w:val="28"/>
                <w:szCs w:val="28"/>
              </w:rPr>
              <w:t>材料特征</w:t>
            </w:r>
          </w:p>
        </w:tc>
        <w:tc>
          <w:tcPr>
            <w:tcW w:w="7711" w:type="dxa"/>
            <w:gridSpan w:val="4"/>
            <w:tcBorders>
              <w:top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p>
        </w:tc>
        <w:tc>
          <w:tcPr>
            <w:tcW w:w="43" w:type="dxa"/>
            <w:tcMar>
              <w:left w:w="0" w:type="dxa"/>
              <w:right w:w="0" w:type="dxa"/>
            </w:tcMa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sz w:val="28"/>
                <w:szCs w:val="28"/>
              </w:rPr>
            </w:pPr>
          </w:p>
        </w:tc>
      </w:tr>
      <w:tr>
        <w:tblPrEx>
          <w:tblCellMar>
            <w:top w:w="0" w:type="dxa"/>
            <w:left w:w="108" w:type="dxa"/>
            <w:bottom w:w="0" w:type="dxa"/>
            <w:right w:w="108" w:type="dxa"/>
          </w:tblCellMar>
        </w:tblPrEx>
        <w:trPr>
          <w:trHeight w:val="2164" w:hRule="atLeast"/>
        </w:trPr>
        <w:tc>
          <w:tcPr>
            <w:tcW w:w="2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bookmarkStart w:id="11" w:name="twzdzy"/>
            <w:bookmarkEnd w:id="11"/>
            <w:r>
              <w:rPr>
                <w:rFonts w:hint="eastAsia" w:ascii="黑体" w:hAnsi="黑体" w:eastAsia="黑体" w:cs="黑体"/>
                <w:color w:val="auto"/>
                <w:sz w:val="28"/>
                <w:szCs w:val="28"/>
              </w:rPr>
              <w:t>型号/规格</w:t>
            </w:r>
          </w:p>
        </w:tc>
        <w:tc>
          <w:tcPr>
            <w:tcW w:w="7711" w:type="dxa"/>
            <w:gridSpan w:val="4"/>
            <w:tcBorders>
              <w:top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p>
        </w:tc>
        <w:tc>
          <w:tcPr>
            <w:tcW w:w="43" w:type="dxa"/>
            <w:tcMar>
              <w:left w:w="0" w:type="dxa"/>
              <w:right w:w="0" w:type="dxa"/>
            </w:tcMa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sz w:val="28"/>
                <w:szCs w:val="28"/>
              </w:rPr>
            </w:pPr>
          </w:p>
        </w:tc>
      </w:tr>
      <w:tr>
        <w:tblPrEx>
          <w:tblCellMar>
            <w:top w:w="0" w:type="dxa"/>
            <w:left w:w="108" w:type="dxa"/>
            <w:bottom w:w="0" w:type="dxa"/>
            <w:right w:w="108" w:type="dxa"/>
          </w:tblCellMar>
        </w:tblPrEx>
        <w:trPr>
          <w:trHeight w:val="1130" w:hRule="atLeast"/>
        </w:trPr>
        <w:tc>
          <w:tcPr>
            <w:tcW w:w="2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bookmarkStart w:id="12" w:name="twzdzy1"/>
            <w:bookmarkEnd w:id="12"/>
            <w:r>
              <w:rPr>
                <w:rFonts w:hint="eastAsia" w:ascii="黑体" w:hAnsi="黑体" w:eastAsia="黑体" w:cs="黑体"/>
                <w:color w:val="auto"/>
                <w:sz w:val="28"/>
                <w:szCs w:val="28"/>
              </w:rPr>
              <w:t>产品主要风险点</w:t>
            </w:r>
          </w:p>
        </w:tc>
        <w:tc>
          <w:tcPr>
            <w:tcW w:w="7711" w:type="dxa"/>
            <w:gridSpan w:val="4"/>
            <w:tcBorders>
              <w:top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p>
        </w:tc>
        <w:tc>
          <w:tcPr>
            <w:tcW w:w="43" w:type="dxa"/>
            <w:tcMar>
              <w:left w:w="0" w:type="dxa"/>
              <w:right w:w="0" w:type="dxa"/>
            </w:tcMa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sz w:val="28"/>
                <w:szCs w:val="28"/>
              </w:rPr>
            </w:pPr>
          </w:p>
        </w:tc>
      </w:tr>
      <w:tr>
        <w:tblPrEx>
          <w:tblCellMar>
            <w:top w:w="0" w:type="dxa"/>
            <w:left w:w="108" w:type="dxa"/>
            <w:bottom w:w="0" w:type="dxa"/>
            <w:right w:w="108" w:type="dxa"/>
          </w:tblCellMar>
        </w:tblPrEx>
        <w:trPr>
          <w:trHeight w:val="934" w:hRule="atLeast"/>
        </w:trPr>
        <w:tc>
          <w:tcPr>
            <w:tcW w:w="2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bookmarkStart w:id="13" w:name="zyfxd1"/>
            <w:bookmarkEnd w:id="13"/>
            <w:r>
              <w:rPr>
                <w:rFonts w:hint="eastAsia" w:ascii="黑体" w:hAnsi="黑体" w:eastAsia="黑体" w:cs="黑体"/>
                <w:color w:val="auto"/>
                <w:sz w:val="28"/>
                <w:szCs w:val="28"/>
              </w:rPr>
              <w:t>其它需要说明的内容</w:t>
            </w:r>
          </w:p>
        </w:tc>
        <w:tc>
          <w:tcPr>
            <w:tcW w:w="7711" w:type="dxa"/>
            <w:gridSpan w:val="4"/>
            <w:tcBorders>
              <w:top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p>
        </w:tc>
        <w:tc>
          <w:tcPr>
            <w:tcW w:w="43" w:type="dxa"/>
            <w:tcMar>
              <w:left w:w="0" w:type="dxa"/>
              <w:right w:w="0" w:type="dxa"/>
            </w:tcMa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sz w:val="28"/>
                <w:szCs w:val="28"/>
              </w:rPr>
            </w:pPr>
          </w:p>
        </w:tc>
      </w:tr>
      <w:tr>
        <w:tblPrEx>
          <w:tblCellMar>
            <w:top w:w="0" w:type="dxa"/>
            <w:left w:w="108" w:type="dxa"/>
            <w:bottom w:w="0" w:type="dxa"/>
            <w:right w:w="108" w:type="dxa"/>
          </w:tblCellMar>
        </w:tblPrEx>
        <w:trPr>
          <w:trHeight w:val="934" w:hRule="atLeast"/>
        </w:trPr>
        <w:tc>
          <w:tcPr>
            <w:tcW w:w="2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bookmarkStart w:id="14" w:name="gnwjscp"/>
            <w:bookmarkEnd w:id="14"/>
            <w:r>
              <w:rPr>
                <w:rFonts w:hint="eastAsia" w:ascii="黑体" w:hAnsi="黑体" w:eastAsia="黑体" w:cs="黑体"/>
                <w:color w:val="auto"/>
                <w:sz w:val="28"/>
                <w:szCs w:val="28"/>
              </w:rPr>
              <w:t>境内同类</w:t>
            </w:r>
          </w:p>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r>
              <w:rPr>
                <w:rFonts w:hint="eastAsia" w:ascii="黑体" w:hAnsi="黑体" w:eastAsia="黑体" w:cs="黑体"/>
                <w:color w:val="auto"/>
                <w:sz w:val="28"/>
                <w:szCs w:val="28"/>
              </w:rPr>
              <w:t>产品</w:t>
            </w:r>
          </w:p>
        </w:tc>
        <w:tc>
          <w:tcPr>
            <w:tcW w:w="7711" w:type="dxa"/>
            <w:gridSpan w:val="4"/>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·有同类产品  ·无同类产品。</w:t>
            </w:r>
          </w:p>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若有同类产品，列出产品名称、功能、用途、管理情况，并与申请产品进行对比。</w:t>
            </w:r>
          </w:p>
        </w:tc>
        <w:tc>
          <w:tcPr>
            <w:tcW w:w="43" w:type="dxa"/>
            <w:tcMar>
              <w:left w:w="0" w:type="dxa"/>
              <w:right w:w="0" w:type="dxa"/>
            </w:tcMa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sz w:val="28"/>
                <w:szCs w:val="28"/>
              </w:rPr>
            </w:pPr>
          </w:p>
        </w:tc>
      </w:tr>
      <w:tr>
        <w:tblPrEx>
          <w:tblCellMar>
            <w:top w:w="0" w:type="dxa"/>
            <w:left w:w="108" w:type="dxa"/>
            <w:bottom w:w="0" w:type="dxa"/>
            <w:right w:w="108" w:type="dxa"/>
          </w:tblCellMar>
        </w:tblPrEx>
        <w:trPr>
          <w:trHeight w:val="934" w:hRule="atLeast"/>
        </w:trPr>
        <w:tc>
          <w:tcPr>
            <w:tcW w:w="2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r>
              <w:rPr>
                <w:rFonts w:hint="eastAsia" w:ascii="黑体" w:hAnsi="黑体" w:eastAsia="黑体" w:cs="黑体"/>
                <w:color w:val="auto"/>
                <w:sz w:val="28"/>
                <w:szCs w:val="28"/>
              </w:rPr>
              <w:t>境外同类</w:t>
            </w:r>
          </w:p>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r>
              <w:rPr>
                <w:rFonts w:hint="eastAsia" w:ascii="黑体" w:hAnsi="黑体" w:eastAsia="黑体" w:cs="黑体"/>
                <w:color w:val="auto"/>
                <w:sz w:val="28"/>
                <w:szCs w:val="28"/>
              </w:rPr>
              <w:t>产品</w:t>
            </w:r>
          </w:p>
        </w:tc>
        <w:tc>
          <w:tcPr>
            <w:tcW w:w="7711" w:type="dxa"/>
            <w:gridSpan w:val="4"/>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·有同类产品  ·无同类产品</w:t>
            </w:r>
          </w:p>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若有同类产品，列出产品名称、功能、用途、管理情况，并与申请产品进行对比。</w:t>
            </w:r>
          </w:p>
        </w:tc>
        <w:tc>
          <w:tcPr>
            <w:tcW w:w="43" w:type="dxa"/>
            <w:tcMar>
              <w:left w:w="0" w:type="dxa"/>
              <w:right w:w="0" w:type="dxa"/>
            </w:tcMa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sz w:val="28"/>
                <w:szCs w:val="28"/>
              </w:rPr>
            </w:pPr>
          </w:p>
        </w:tc>
      </w:tr>
      <w:tr>
        <w:tblPrEx>
          <w:tblCellMar>
            <w:top w:w="0" w:type="dxa"/>
            <w:left w:w="108" w:type="dxa"/>
            <w:bottom w:w="0" w:type="dxa"/>
            <w:right w:w="108" w:type="dxa"/>
          </w:tblCellMar>
        </w:tblPrEx>
        <w:trPr>
          <w:trHeight w:val="705" w:hRule="atLeast"/>
        </w:trPr>
        <w:tc>
          <w:tcPr>
            <w:tcW w:w="2136" w:type="dxa"/>
            <w:vMerge w:val="restart"/>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r>
              <w:rPr>
                <w:rFonts w:hint="eastAsia" w:ascii="黑体" w:hAnsi="黑体" w:eastAsia="黑体" w:cs="黑体"/>
                <w:color w:val="auto"/>
                <w:sz w:val="28"/>
                <w:szCs w:val="28"/>
              </w:rPr>
              <w:t>申请人主张</w:t>
            </w:r>
            <w:bookmarkStart w:id="15" w:name="gnwjscp1"/>
            <w:bookmarkEnd w:id="15"/>
          </w:p>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r>
              <w:rPr>
                <w:rFonts w:hint="eastAsia" w:ascii="黑体" w:hAnsi="黑体" w:eastAsia="黑体" w:cs="黑体"/>
                <w:color w:val="auto"/>
                <w:sz w:val="28"/>
                <w:szCs w:val="28"/>
              </w:rPr>
              <w:t>及理由</w:t>
            </w:r>
          </w:p>
        </w:tc>
        <w:tc>
          <w:tcPr>
            <w:tcW w:w="7754" w:type="dxa"/>
            <w:gridSpan w:val="5"/>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疑问：      ·类别不清 ·属性不清</w:t>
            </w:r>
          </w:p>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主张：   管理类别 ；    分类编码</w:t>
            </w:r>
            <w:bookmarkStart w:id="16" w:name="jdjgQy"/>
            <w:bookmarkEnd w:id="16"/>
          </w:p>
        </w:tc>
      </w:tr>
      <w:tr>
        <w:tblPrEx>
          <w:tblCellMar>
            <w:top w:w="0" w:type="dxa"/>
            <w:left w:w="108" w:type="dxa"/>
            <w:bottom w:w="0" w:type="dxa"/>
            <w:right w:w="108" w:type="dxa"/>
          </w:tblCellMar>
        </w:tblPrEx>
        <w:trPr>
          <w:trHeight w:val="564" w:hRule="atLeast"/>
        </w:trPr>
        <w:tc>
          <w:tcPr>
            <w:tcW w:w="2136"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p>
        </w:tc>
        <w:tc>
          <w:tcPr>
            <w:tcW w:w="7754" w:type="dxa"/>
            <w:gridSpan w:val="5"/>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bookmarkStart w:id="17" w:name="jdyjQy"/>
            <w:bookmarkEnd w:id="17"/>
            <w:r>
              <w:rPr>
                <w:rFonts w:ascii="Times New Roman" w:hAnsi="Times New Roman" w:eastAsia="仿宋_GB2312"/>
                <w:color w:val="auto"/>
                <w:sz w:val="28"/>
                <w:szCs w:val="28"/>
              </w:rPr>
              <w:t>主张的依据：</w:t>
            </w:r>
          </w:p>
        </w:tc>
      </w:tr>
      <w:tr>
        <w:tblPrEx>
          <w:tblCellMar>
            <w:top w:w="0" w:type="dxa"/>
            <w:left w:w="108" w:type="dxa"/>
            <w:bottom w:w="0" w:type="dxa"/>
            <w:right w:w="108" w:type="dxa"/>
          </w:tblCellMar>
        </w:tblPrEx>
        <w:trPr>
          <w:trHeight w:val="466" w:hRule="atLeast"/>
        </w:trPr>
        <w:tc>
          <w:tcPr>
            <w:tcW w:w="2136" w:type="dxa"/>
            <w:vMerge w:val="restart"/>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bookmarkStart w:id="18" w:name="jdyjQy1"/>
            <w:bookmarkEnd w:id="18"/>
            <w:r>
              <w:rPr>
                <w:rFonts w:hint="eastAsia" w:ascii="黑体" w:hAnsi="黑体" w:eastAsia="黑体" w:cs="黑体"/>
                <w:color w:val="auto"/>
                <w:sz w:val="28"/>
                <w:szCs w:val="28"/>
              </w:rPr>
              <w:t>申请人信息</w:t>
            </w:r>
          </w:p>
        </w:tc>
        <w:tc>
          <w:tcPr>
            <w:tcW w:w="2098"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申请人名称</w:t>
            </w:r>
          </w:p>
        </w:tc>
        <w:tc>
          <w:tcPr>
            <w:tcW w:w="5613" w:type="dxa"/>
            <w:gridSpan w:val="3"/>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bookmarkStart w:id="19" w:name="qyname"/>
            <w:bookmarkEnd w:id="19"/>
          </w:p>
        </w:tc>
        <w:tc>
          <w:tcPr>
            <w:tcW w:w="43" w:type="dxa"/>
            <w:tcMar>
              <w:left w:w="0" w:type="dxa"/>
              <w:right w:w="0" w:type="dxa"/>
            </w:tcMa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sz w:val="28"/>
                <w:szCs w:val="28"/>
              </w:rPr>
            </w:pPr>
          </w:p>
        </w:tc>
      </w:tr>
      <w:tr>
        <w:tblPrEx>
          <w:tblCellMar>
            <w:top w:w="0" w:type="dxa"/>
            <w:left w:w="108" w:type="dxa"/>
            <w:bottom w:w="0" w:type="dxa"/>
            <w:right w:w="108" w:type="dxa"/>
          </w:tblCellMar>
        </w:tblPrEx>
        <w:trPr>
          <w:trHeight w:val="906" w:hRule="atLeast"/>
        </w:trPr>
        <w:tc>
          <w:tcPr>
            <w:tcW w:w="2136"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p>
        </w:tc>
        <w:tc>
          <w:tcPr>
            <w:tcW w:w="2098"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申请人地址</w:t>
            </w:r>
          </w:p>
        </w:tc>
        <w:tc>
          <w:tcPr>
            <w:tcW w:w="5613" w:type="dxa"/>
            <w:gridSpan w:val="3"/>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bookmarkStart w:id="20" w:name="qydiz"/>
            <w:bookmarkEnd w:id="20"/>
          </w:p>
        </w:tc>
        <w:tc>
          <w:tcPr>
            <w:tcW w:w="43" w:type="dxa"/>
            <w:tcMar>
              <w:left w:w="0" w:type="dxa"/>
              <w:right w:w="0" w:type="dxa"/>
            </w:tcMa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sz w:val="28"/>
                <w:szCs w:val="28"/>
              </w:rPr>
            </w:pPr>
          </w:p>
        </w:tc>
      </w:tr>
      <w:tr>
        <w:tblPrEx>
          <w:tblCellMar>
            <w:top w:w="0" w:type="dxa"/>
            <w:left w:w="108" w:type="dxa"/>
            <w:bottom w:w="0" w:type="dxa"/>
            <w:right w:w="108" w:type="dxa"/>
          </w:tblCellMar>
        </w:tblPrEx>
        <w:trPr>
          <w:trHeight w:val="413" w:hRule="atLeast"/>
        </w:trPr>
        <w:tc>
          <w:tcPr>
            <w:tcW w:w="2136"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p>
        </w:tc>
        <w:tc>
          <w:tcPr>
            <w:tcW w:w="2098"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联系人</w:t>
            </w:r>
          </w:p>
        </w:tc>
        <w:tc>
          <w:tcPr>
            <w:tcW w:w="2473"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p>
        </w:tc>
        <w:tc>
          <w:tcPr>
            <w:tcW w:w="1507"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联系电话</w:t>
            </w:r>
            <w:bookmarkStart w:id="21" w:name="qyybian"/>
            <w:bookmarkEnd w:id="21"/>
          </w:p>
        </w:tc>
        <w:tc>
          <w:tcPr>
            <w:tcW w:w="1633"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bookmarkStart w:id="22" w:name="qyemail"/>
            <w:bookmarkEnd w:id="22"/>
          </w:p>
        </w:tc>
        <w:tc>
          <w:tcPr>
            <w:tcW w:w="43" w:type="dxa"/>
            <w:tcMar>
              <w:left w:w="0" w:type="dxa"/>
              <w:right w:w="0" w:type="dxa"/>
            </w:tcMa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sz w:val="28"/>
                <w:szCs w:val="28"/>
              </w:rPr>
            </w:pPr>
          </w:p>
        </w:tc>
      </w:tr>
      <w:tr>
        <w:tblPrEx>
          <w:tblCellMar>
            <w:top w:w="0" w:type="dxa"/>
            <w:left w:w="108" w:type="dxa"/>
            <w:bottom w:w="0" w:type="dxa"/>
            <w:right w:w="108" w:type="dxa"/>
          </w:tblCellMar>
        </w:tblPrEx>
        <w:trPr>
          <w:trHeight w:val="420" w:hRule="atLeast"/>
        </w:trPr>
        <w:tc>
          <w:tcPr>
            <w:tcW w:w="2136"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p>
        </w:tc>
        <w:tc>
          <w:tcPr>
            <w:tcW w:w="2098"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手机</w:t>
            </w:r>
          </w:p>
        </w:tc>
        <w:tc>
          <w:tcPr>
            <w:tcW w:w="2473"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p>
        </w:tc>
        <w:tc>
          <w:tcPr>
            <w:tcW w:w="1507"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E-mail</w:t>
            </w:r>
            <w:bookmarkStart w:id="23" w:name="qysqr"/>
            <w:bookmarkEnd w:id="23"/>
          </w:p>
        </w:tc>
        <w:tc>
          <w:tcPr>
            <w:tcW w:w="1633"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bookmarkStart w:id="24" w:name="qylxdh"/>
            <w:bookmarkEnd w:id="24"/>
          </w:p>
        </w:tc>
        <w:tc>
          <w:tcPr>
            <w:tcW w:w="43" w:type="dxa"/>
            <w:tcMar>
              <w:left w:w="0" w:type="dxa"/>
              <w:right w:w="0" w:type="dxa"/>
            </w:tcMa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sz w:val="28"/>
                <w:szCs w:val="28"/>
              </w:rPr>
            </w:pPr>
          </w:p>
        </w:tc>
      </w:tr>
      <w:tr>
        <w:tblPrEx>
          <w:tblCellMar>
            <w:top w:w="0" w:type="dxa"/>
            <w:left w:w="108" w:type="dxa"/>
            <w:bottom w:w="0" w:type="dxa"/>
            <w:right w:w="108" w:type="dxa"/>
          </w:tblCellMar>
        </w:tblPrEx>
        <w:trPr>
          <w:trHeight w:val="560" w:hRule="atLeast"/>
        </w:trPr>
        <w:tc>
          <w:tcPr>
            <w:tcW w:w="2136"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p>
        </w:tc>
        <w:tc>
          <w:tcPr>
            <w:tcW w:w="2098"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传真</w:t>
            </w:r>
          </w:p>
        </w:tc>
        <w:tc>
          <w:tcPr>
            <w:tcW w:w="2473"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p>
        </w:tc>
        <w:tc>
          <w:tcPr>
            <w:tcW w:w="1507"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其他</w:t>
            </w:r>
            <w:bookmarkStart w:id="25" w:name="qyshouj"/>
            <w:bookmarkEnd w:id="25"/>
          </w:p>
        </w:tc>
        <w:tc>
          <w:tcPr>
            <w:tcW w:w="1633"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bookmarkStart w:id="26" w:name="qyczhen"/>
            <w:bookmarkEnd w:id="26"/>
          </w:p>
        </w:tc>
        <w:tc>
          <w:tcPr>
            <w:tcW w:w="43" w:type="dxa"/>
            <w:tcMar>
              <w:left w:w="0" w:type="dxa"/>
              <w:right w:w="0" w:type="dxa"/>
            </w:tcMa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sz w:val="28"/>
                <w:szCs w:val="28"/>
              </w:rPr>
            </w:pPr>
          </w:p>
        </w:tc>
      </w:tr>
      <w:tr>
        <w:tblPrEx>
          <w:tblCellMar>
            <w:top w:w="0" w:type="dxa"/>
            <w:left w:w="108" w:type="dxa"/>
            <w:bottom w:w="0" w:type="dxa"/>
            <w:right w:w="108" w:type="dxa"/>
          </w:tblCellMar>
        </w:tblPrEx>
        <w:trPr>
          <w:trHeight w:val="560" w:hRule="atLeast"/>
        </w:trPr>
        <w:tc>
          <w:tcPr>
            <w:tcW w:w="2136" w:type="dxa"/>
            <w:vMerge w:val="restart"/>
            <w:tcBorders>
              <w:left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r>
              <w:rPr>
                <w:rFonts w:hint="eastAsia" w:ascii="黑体" w:hAnsi="黑体" w:eastAsia="黑体" w:cs="黑体"/>
                <w:color w:val="auto"/>
                <w:sz w:val="28"/>
                <w:szCs w:val="28"/>
              </w:rPr>
              <w:t>代理人信息</w:t>
            </w:r>
          </w:p>
        </w:tc>
        <w:tc>
          <w:tcPr>
            <w:tcW w:w="2098"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代理人名称</w:t>
            </w:r>
          </w:p>
        </w:tc>
        <w:tc>
          <w:tcPr>
            <w:tcW w:w="2473"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p>
        </w:tc>
        <w:tc>
          <w:tcPr>
            <w:tcW w:w="1507"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Times New Roman" w:hAnsi="Times New Roman" w:eastAsia="仿宋_GB2312"/>
                <w:color w:val="auto"/>
                <w:sz w:val="28"/>
                <w:szCs w:val="28"/>
              </w:rPr>
            </w:pPr>
          </w:p>
        </w:tc>
        <w:tc>
          <w:tcPr>
            <w:tcW w:w="1633"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p>
        </w:tc>
        <w:tc>
          <w:tcPr>
            <w:tcW w:w="43" w:type="dxa"/>
            <w:tcMar>
              <w:left w:w="0" w:type="dxa"/>
              <w:right w:w="0" w:type="dxa"/>
            </w:tcMa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sz w:val="28"/>
                <w:szCs w:val="28"/>
              </w:rPr>
            </w:pPr>
          </w:p>
        </w:tc>
      </w:tr>
      <w:tr>
        <w:tblPrEx>
          <w:tblCellMar>
            <w:top w:w="0" w:type="dxa"/>
            <w:left w:w="108" w:type="dxa"/>
            <w:bottom w:w="0" w:type="dxa"/>
            <w:right w:w="108" w:type="dxa"/>
          </w:tblCellMar>
        </w:tblPrEx>
        <w:trPr>
          <w:trHeight w:val="560" w:hRule="atLeast"/>
        </w:trPr>
        <w:tc>
          <w:tcPr>
            <w:tcW w:w="213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p>
        </w:tc>
        <w:tc>
          <w:tcPr>
            <w:tcW w:w="2098"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代理人地址</w:t>
            </w:r>
          </w:p>
        </w:tc>
        <w:tc>
          <w:tcPr>
            <w:tcW w:w="2473"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p>
        </w:tc>
        <w:tc>
          <w:tcPr>
            <w:tcW w:w="1507"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Times New Roman" w:hAnsi="Times New Roman" w:eastAsia="仿宋_GB2312"/>
                <w:color w:val="auto"/>
                <w:sz w:val="28"/>
                <w:szCs w:val="28"/>
              </w:rPr>
            </w:pPr>
          </w:p>
        </w:tc>
        <w:tc>
          <w:tcPr>
            <w:tcW w:w="1633"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p>
        </w:tc>
        <w:tc>
          <w:tcPr>
            <w:tcW w:w="43" w:type="dxa"/>
            <w:tcMar>
              <w:left w:w="0" w:type="dxa"/>
              <w:right w:w="0" w:type="dxa"/>
            </w:tcMa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sz w:val="28"/>
                <w:szCs w:val="28"/>
              </w:rPr>
            </w:pPr>
          </w:p>
        </w:tc>
      </w:tr>
      <w:tr>
        <w:tblPrEx>
          <w:tblCellMar>
            <w:top w:w="0" w:type="dxa"/>
            <w:left w:w="108" w:type="dxa"/>
            <w:bottom w:w="0" w:type="dxa"/>
            <w:right w:w="108" w:type="dxa"/>
          </w:tblCellMar>
        </w:tblPrEx>
        <w:trPr>
          <w:trHeight w:val="560" w:hRule="atLeast"/>
        </w:trPr>
        <w:tc>
          <w:tcPr>
            <w:tcW w:w="213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p>
        </w:tc>
        <w:tc>
          <w:tcPr>
            <w:tcW w:w="2098"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联系人</w:t>
            </w:r>
          </w:p>
        </w:tc>
        <w:tc>
          <w:tcPr>
            <w:tcW w:w="2473"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p>
        </w:tc>
        <w:tc>
          <w:tcPr>
            <w:tcW w:w="1507"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联系电话</w:t>
            </w:r>
          </w:p>
        </w:tc>
        <w:tc>
          <w:tcPr>
            <w:tcW w:w="1633"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p>
        </w:tc>
        <w:tc>
          <w:tcPr>
            <w:tcW w:w="43" w:type="dxa"/>
            <w:tcMar>
              <w:left w:w="0" w:type="dxa"/>
              <w:right w:w="0" w:type="dxa"/>
            </w:tcMa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sz w:val="28"/>
                <w:szCs w:val="28"/>
              </w:rPr>
            </w:pPr>
          </w:p>
        </w:tc>
      </w:tr>
      <w:tr>
        <w:tblPrEx>
          <w:tblCellMar>
            <w:top w:w="0" w:type="dxa"/>
            <w:left w:w="108" w:type="dxa"/>
            <w:bottom w:w="0" w:type="dxa"/>
            <w:right w:w="108" w:type="dxa"/>
          </w:tblCellMar>
        </w:tblPrEx>
        <w:trPr>
          <w:trHeight w:val="560" w:hRule="atLeast"/>
        </w:trPr>
        <w:tc>
          <w:tcPr>
            <w:tcW w:w="213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p>
        </w:tc>
        <w:tc>
          <w:tcPr>
            <w:tcW w:w="2098"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手机</w:t>
            </w:r>
          </w:p>
        </w:tc>
        <w:tc>
          <w:tcPr>
            <w:tcW w:w="2473"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p>
        </w:tc>
        <w:tc>
          <w:tcPr>
            <w:tcW w:w="1507"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E-mail</w:t>
            </w:r>
          </w:p>
        </w:tc>
        <w:tc>
          <w:tcPr>
            <w:tcW w:w="1633"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p>
        </w:tc>
        <w:tc>
          <w:tcPr>
            <w:tcW w:w="43" w:type="dxa"/>
            <w:tcMar>
              <w:left w:w="0" w:type="dxa"/>
              <w:right w:w="0" w:type="dxa"/>
            </w:tcMa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sz w:val="28"/>
                <w:szCs w:val="28"/>
              </w:rPr>
            </w:pPr>
          </w:p>
        </w:tc>
      </w:tr>
      <w:tr>
        <w:tblPrEx>
          <w:tblCellMar>
            <w:top w:w="0" w:type="dxa"/>
            <w:left w:w="108" w:type="dxa"/>
            <w:bottom w:w="0" w:type="dxa"/>
            <w:right w:w="108" w:type="dxa"/>
          </w:tblCellMar>
        </w:tblPrEx>
        <w:trPr>
          <w:trHeight w:val="560" w:hRule="atLeast"/>
        </w:trPr>
        <w:tc>
          <w:tcPr>
            <w:tcW w:w="213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p>
        </w:tc>
        <w:tc>
          <w:tcPr>
            <w:tcW w:w="2098"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传真</w:t>
            </w:r>
          </w:p>
        </w:tc>
        <w:tc>
          <w:tcPr>
            <w:tcW w:w="2473"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p>
        </w:tc>
        <w:tc>
          <w:tcPr>
            <w:tcW w:w="1507"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其他</w:t>
            </w:r>
          </w:p>
        </w:tc>
        <w:tc>
          <w:tcPr>
            <w:tcW w:w="1633"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p>
        </w:tc>
        <w:tc>
          <w:tcPr>
            <w:tcW w:w="43" w:type="dxa"/>
            <w:tcMar>
              <w:left w:w="0" w:type="dxa"/>
              <w:right w:w="0" w:type="dxa"/>
            </w:tcMa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sz w:val="28"/>
                <w:szCs w:val="28"/>
              </w:rPr>
            </w:pPr>
          </w:p>
        </w:tc>
      </w:tr>
      <w:tr>
        <w:tblPrEx>
          <w:tblCellMar>
            <w:top w:w="0" w:type="dxa"/>
            <w:left w:w="108" w:type="dxa"/>
            <w:bottom w:w="0" w:type="dxa"/>
            <w:right w:w="108" w:type="dxa"/>
          </w:tblCellMar>
        </w:tblPrEx>
        <w:trPr>
          <w:trHeight w:val="366" w:hRule="atLeast"/>
        </w:trPr>
        <w:tc>
          <w:tcPr>
            <w:tcW w:w="2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r>
              <w:rPr>
                <w:rFonts w:hint="eastAsia" w:ascii="黑体" w:hAnsi="黑体" w:eastAsia="黑体" w:cs="黑体"/>
                <w:color w:val="auto"/>
                <w:sz w:val="28"/>
                <w:szCs w:val="28"/>
              </w:rPr>
              <w:t>应附资料</w:t>
            </w:r>
          </w:p>
        </w:tc>
        <w:tc>
          <w:tcPr>
            <w:tcW w:w="7711" w:type="dxa"/>
            <w:gridSpan w:val="4"/>
            <w:tcBorders>
              <w:top w:val="single" w:color="000000" w:sz="4" w:space="0"/>
              <w:bottom w:val="single" w:color="000000" w:sz="4" w:space="0"/>
              <w:right w:val="single" w:color="000000" w:sz="4" w:space="0"/>
            </w:tcBorders>
            <w:vAlign w:val="center"/>
          </w:tcPr>
          <w:tbl>
            <w:tblPr>
              <w:tblStyle w:val="6"/>
              <w:tblW w:w="8295" w:type="dxa"/>
              <w:tblInd w:w="108" w:type="dxa"/>
              <w:tblLayout w:type="fixed"/>
              <w:tblCellMar>
                <w:top w:w="0" w:type="dxa"/>
                <w:left w:w="108" w:type="dxa"/>
                <w:bottom w:w="0" w:type="dxa"/>
                <w:right w:w="108" w:type="dxa"/>
              </w:tblCellMar>
            </w:tblPr>
            <w:tblGrid>
              <w:gridCol w:w="4109"/>
              <w:gridCol w:w="4186"/>
            </w:tblGrid>
            <w:tr>
              <w:tblPrEx>
                <w:tblCellMar>
                  <w:top w:w="0" w:type="dxa"/>
                  <w:left w:w="108" w:type="dxa"/>
                  <w:bottom w:w="0" w:type="dxa"/>
                  <w:right w:w="108" w:type="dxa"/>
                </w:tblCellMar>
              </w:tblPrEx>
              <w:tc>
                <w:tcPr>
                  <w:tcW w:w="41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bookmarkStart w:id="27" w:name="fitt0"/>
                  <w:bookmarkEnd w:id="27"/>
                  <w:r>
                    <w:rPr>
                      <w:rFonts w:ascii="Times New Roman" w:hAnsi="Times New Roman" w:eastAsia="仿宋_GB2312"/>
                      <w:color w:val="auto"/>
                      <w:sz w:val="28"/>
                      <w:szCs w:val="28"/>
                    </w:rPr>
                    <w:t>医疗器械分类界定申请表</w:t>
                  </w:r>
                </w:p>
              </w:tc>
              <w:tc>
                <w:tcPr>
                  <w:tcW w:w="4186" w:type="dxa"/>
                  <w:tcBorders>
                    <w:top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填写页码数量</w:t>
                  </w:r>
                </w:p>
              </w:tc>
            </w:tr>
            <w:tr>
              <w:tblPrEx>
                <w:tblCellMar>
                  <w:top w:w="0" w:type="dxa"/>
                  <w:left w:w="108" w:type="dxa"/>
                  <w:bottom w:w="0" w:type="dxa"/>
                  <w:right w:w="108" w:type="dxa"/>
                </w:tblCellMar>
              </w:tblPrEx>
              <w:tc>
                <w:tcPr>
                  <w:tcW w:w="41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拟上市产品说明书</w:t>
                  </w:r>
                </w:p>
              </w:tc>
              <w:tc>
                <w:tcPr>
                  <w:tcW w:w="4186" w:type="dxa"/>
                  <w:tcBorders>
                    <w:top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填写页码数量</w:t>
                  </w:r>
                </w:p>
              </w:tc>
            </w:tr>
            <w:tr>
              <w:tblPrEx>
                <w:tblCellMar>
                  <w:top w:w="0" w:type="dxa"/>
                  <w:left w:w="108" w:type="dxa"/>
                  <w:bottom w:w="0" w:type="dxa"/>
                  <w:right w:w="108" w:type="dxa"/>
                </w:tblCellMar>
              </w:tblPrEx>
              <w:tc>
                <w:tcPr>
                  <w:tcW w:w="41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bookmarkStart w:id="28" w:name="fitt01"/>
                  <w:bookmarkEnd w:id="28"/>
                  <w:r>
                    <w:rPr>
                      <w:rFonts w:ascii="Times New Roman" w:hAnsi="Times New Roman" w:eastAsia="仿宋_GB2312"/>
                      <w:color w:val="auto"/>
                      <w:sz w:val="28"/>
                      <w:szCs w:val="28"/>
                    </w:rPr>
                    <w:t>产品照片和使用步骤照片</w:t>
                  </w:r>
                </w:p>
              </w:tc>
              <w:tc>
                <w:tcPr>
                  <w:tcW w:w="4186" w:type="dxa"/>
                  <w:tcBorders>
                    <w:top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填写页码数量</w:t>
                  </w:r>
                </w:p>
              </w:tc>
            </w:tr>
            <w:tr>
              <w:tc>
                <w:tcPr>
                  <w:tcW w:w="41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bookmarkStart w:id="29" w:name="fitt2"/>
                  <w:bookmarkEnd w:id="29"/>
                  <w:r>
                    <w:rPr>
                      <w:rFonts w:ascii="Times New Roman" w:hAnsi="Times New Roman" w:eastAsia="仿宋_GB2312"/>
                      <w:color w:val="auto"/>
                      <w:sz w:val="28"/>
                      <w:szCs w:val="28"/>
                    </w:rPr>
                    <w:t>产品技术要求</w:t>
                  </w:r>
                </w:p>
              </w:tc>
              <w:tc>
                <w:tcPr>
                  <w:tcW w:w="4186" w:type="dxa"/>
                  <w:tcBorders>
                    <w:top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填写页码数量</w:t>
                  </w:r>
                </w:p>
              </w:tc>
            </w:tr>
            <w:tr>
              <w:tblPrEx>
                <w:tblCellMar>
                  <w:top w:w="0" w:type="dxa"/>
                  <w:left w:w="108" w:type="dxa"/>
                  <w:bottom w:w="0" w:type="dxa"/>
                  <w:right w:w="108" w:type="dxa"/>
                </w:tblCellMar>
              </w:tblPrEx>
              <w:tc>
                <w:tcPr>
                  <w:tcW w:w="41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bookmarkStart w:id="30" w:name="fitt21"/>
                  <w:bookmarkEnd w:id="30"/>
                  <w:r>
                    <w:rPr>
                      <w:rFonts w:ascii="Times New Roman" w:hAnsi="Times New Roman" w:eastAsia="仿宋_GB2312"/>
                      <w:color w:val="auto"/>
                      <w:sz w:val="28"/>
                      <w:szCs w:val="28"/>
                    </w:rPr>
                    <w:t>境外上市证明材料（如是境外产品）</w:t>
                  </w:r>
                </w:p>
              </w:tc>
              <w:tc>
                <w:tcPr>
                  <w:tcW w:w="4186" w:type="dxa"/>
                  <w:tcBorders>
                    <w:top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填写页码数量</w:t>
                  </w:r>
                </w:p>
              </w:tc>
            </w:tr>
            <w:tr>
              <w:tblPrEx>
                <w:tblCellMar>
                  <w:top w:w="0" w:type="dxa"/>
                  <w:left w:w="108" w:type="dxa"/>
                  <w:bottom w:w="0" w:type="dxa"/>
                  <w:right w:w="108" w:type="dxa"/>
                </w:tblCellMar>
              </w:tblPrEx>
              <w:tc>
                <w:tcPr>
                  <w:tcW w:w="41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bookmarkStart w:id="31" w:name="fitt31"/>
                  <w:bookmarkEnd w:id="31"/>
                  <w:r>
                    <w:rPr>
                      <w:rFonts w:ascii="Times New Roman" w:hAnsi="Times New Roman" w:eastAsia="仿宋_GB2312"/>
                      <w:color w:val="auto"/>
                      <w:sz w:val="28"/>
                      <w:szCs w:val="28"/>
                    </w:rPr>
                    <w:t>境内同类产品详细信息</w:t>
                  </w:r>
                </w:p>
              </w:tc>
              <w:tc>
                <w:tcPr>
                  <w:tcW w:w="4186" w:type="dxa"/>
                  <w:tcBorders>
                    <w:top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填写页码数量</w:t>
                  </w:r>
                </w:p>
              </w:tc>
            </w:tr>
            <w:tr>
              <w:tblPrEx>
                <w:tblCellMar>
                  <w:top w:w="0" w:type="dxa"/>
                  <w:left w:w="108" w:type="dxa"/>
                  <w:bottom w:w="0" w:type="dxa"/>
                  <w:right w:w="108" w:type="dxa"/>
                </w:tblCellMar>
              </w:tblPrEx>
              <w:tc>
                <w:tcPr>
                  <w:tcW w:w="41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境外同类产品详细信息</w:t>
                  </w:r>
                </w:p>
              </w:tc>
              <w:tc>
                <w:tcPr>
                  <w:tcW w:w="4186" w:type="dxa"/>
                  <w:tcBorders>
                    <w:top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填写页码数量</w:t>
                  </w:r>
                </w:p>
              </w:tc>
            </w:tr>
            <w:tr>
              <w:tc>
                <w:tcPr>
                  <w:tcW w:w="41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已经上传的其它附件</w:t>
                  </w:r>
                </w:p>
              </w:tc>
              <w:tc>
                <w:tcPr>
                  <w:tcW w:w="4186" w:type="dxa"/>
                  <w:tcBorders>
                    <w:top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bookmarkStart w:id="32" w:name="fittOther"/>
                  <w:bookmarkEnd w:id="32"/>
                  <w:r>
                    <w:rPr>
                      <w:rFonts w:ascii="Times New Roman" w:hAnsi="Times New Roman" w:eastAsia="仿宋_GB2312"/>
                      <w:color w:val="auto"/>
                      <w:sz w:val="28"/>
                      <w:szCs w:val="28"/>
                    </w:rPr>
                    <w:t>填写页码数量</w:t>
                  </w:r>
                </w:p>
              </w:tc>
            </w:tr>
          </w:tbl>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eastAsia="仿宋_GB2312"/>
                <w:color w:val="auto"/>
                <w:sz w:val="28"/>
                <w:szCs w:val="28"/>
              </w:rPr>
            </w:pPr>
          </w:p>
        </w:tc>
        <w:tc>
          <w:tcPr>
            <w:tcW w:w="43" w:type="dxa"/>
            <w:tcMar>
              <w:left w:w="0" w:type="dxa"/>
              <w:right w:w="0" w:type="dxa"/>
            </w:tcMa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sz w:val="28"/>
                <w:szCs w:val="28"/>
              </w:rPr>
            </w:pPr>
          </w:p>
        </w:tc>
      </w:tr>
      <w:tr>
        <w:tblPrEx>
          <w:tblCellMar>
            <w:top w:w="0" w:type="dxa"/>
            <w:left w:w="108" w:type="dxa"/>
            <w:bottom w:w="0" w:type="dxa"/>
            <w:right w:w="108" w:type="dxa"/>
          </w:tblCellMar>
        </w:tblPrEx>
        <w:trPr>
          <w:trHeight w:val="4881" w:hRule="atLeast"/>
        </w:trPr>
        <w:tc>
          <w:tcPr>
            <w:tcW w:w="21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r>
              <w:rPr>
                <w:rFonts w:hint="eastAsia" w:ascii="黑体" w:hAnsi="黑体" w:eastAsia="黑体" w:cs="黑体"/>
                <w:color w:val="auto"/>
                <w:sz w:val="28"/>
                <w:szCs w:val="28"/>
              </w:rPr>
              <w:t>真实性</w:t>
            </w:r>
          </w:p>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黑体" w:hAnsi="黑体" w:eastAsia="黑体" w:cs="黑体"/>
                <w:color w:val="auto"/>
                <w:sz w:val="28"/>
                <w:szCs w:val="28"/>
              </w:rPr>
            </w:pPr>
            <w:r>
              <w:rPr>
                <w:rFonts w:hint="eastAsia" w:ascii="黑体" w:hAnsi="黑体" w:eastAsia="黑体" w:cs="黑体"/>
                <w:color w:val="auto"/>
                <w:sz w:val="28"/>
                <w:szCs w:val="28"/>
              </w:rPr>
              <w:t>自我申明</w:t>
            </w:r>
          </w:p>
        </w:tc>
        <w:tc>
          <w:tcPr>
            <w:tcW w:w="7711" w:type="dxa"/>
            <w:gridSpan w:val="4"/>
            <w:tcBorders>
              <w:top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Times New Roman" w:hAnsi="Times New Roman" w:eastAsia="仿宋_GB2312"/>
                <w:b/>
                <w:bCs/>
                <w:color w:val="auto"/>
                <w:kern w:val="0"/>
                <w:sz w:val="28"/>
                <w:szCs w:val="28"/>
              </w:rPr>
            </w:pPr>
          </w:p>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Times New Roman" w:hAnsi="Times New Roman" w:eastAsia="方正小标宋简体"/>
                <w:color w:val="auto"/>
                <w:kern w:val="0"/>
                <w:sz w:val="28"/>
                <w:szCs w:val="28"/>
              </w:rPr>
            </w:pPr>
            <w:r>
              <w:rPr>
                <w:rFonts w:hint="eastAsia" w:ascii="Times New Roman" w:hAnsi="Times New Roman" w:eastAsia="方正小标宋简体"/>
                <w:b/>
                <w:bCs/>
                <w:color w:val="auto"/>
                <w:kern w:val="0"/>
                <w:sz w:val="28"/>
                <w:szCs w:val="28"/>
              </w:rPr>
              <w:t>申报材料真实性自我保证声明</w:t>
            </w:r>
          </w:p>
          <w:p>
            <w:pPr>
              <w:keepNext w:val="0"/>
              <w:keepLines w:val="0"/>
              <w:pageBreakBefore w:val="0"/>
              <w:widowControl w:val="0"/>
              <w:kinsoku/>
              <w:wordWrap/>
              <w:overflowPunct w:val="0"/>
              <w:topLinePunct w:val="0"/>
              <w:autoSpaceDN/>
              <w:bidi w:val="0"/>
              <w:adjustRightInd w:val="0"/>
              <w:snapToGrid w:val="0"/>
              <w:spacing w:line="600" w:lineRule="exact"/>
              <w:ind w:firstLine="560" w:firstLineChars="200"/>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我单位保证以上提交的医疗器械分类界定申请材料内容合法、真实、准确、完整和可追溯，并承诺承担相应的法律责任。</w:t>
            </w:r>
          </w:p>
          <w:p>
            <w:pPr>
              <w:keepNext w:val="0"/>
              <w:keepLines w:val="0"/>
              <w:pageBreakBefore w:val="0"/>
              <w:widowControl w:val="0"/>
              <w:kinsoku/>
              <w:wordWrap/>
              <w:overflowPunct w:val="0"/>
              <w:topLinePunct w:val="0"/>
              <w:autoSpaceDN/>
              <w:bidi w:val="0"/>
              <w:adjustRightInd w:val="0"/>
              <w:snapToGrid w:val="0"/>
              <w:spacing w:line="600" w:lineRule="exact"/>
              <w:ind w:firstLine="560" w:firstLineChars="200"/>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若经审核发现资料内容出现不一致或者不符合分类申请工作相关要求的，默认接受退回申请。</w:t>
            </w:r>
          </w:p>
          <w:p>
            <w:pPr>
              <w:keepNext w:val="0"/>
              <w:keepLines w:val="0"/>
              <w:pageBreakBefore w:val="0"/>
              <w:widowControl w:val="0"/>
              <w:kinsoku/>
              <w:wordWrap/>
              <w:overflowPunct w:val="0"/>
              <w:topLinePunct w:val="0"/>
              <w:autoSpaceDN/>
              <w:bidi w:val="0"/>
              <w:adjustRightInd w:val="0"/>
              <w:snapToGrid w:val="0"/>
              <w:spacing w:line="600" w:lineRule="exact"/>
              <w:jc w:val="left"/>
              <w:textAlignment w:val="auto"/>
              <w:rPr>
                <w:rFonts w:ascii="Times New Roman" w:hAnsi="Times New Roman" w:eastAsia="仿宋_GB2312"/>
                <w:color w:val="auto"/>
                <w:kern w:val="0"/>
                <w:sz w:val="28"/>
                <w:szCs w:val="28"/>
              </w:rPr>
            </w:pPr>
          </w:p>
          <w:p>
            <w:pPr>
              <w:keepNext w:val="0"/>
              <w:keepLines w:val="0"/>
              <w:pageBreakBefore w:val="0"/>
              <w:widowControl w:val="0"/>
              <w:kinsoku/>
              <w:wordWrap/>
              <w:overflowPunct w:val="0"/>
              <w:topLinePunct w:val="0"/>
              <w:autoSpaceDN/>
              <w:bidi w:val="0"/>
              <w:adjustRightInd w:val="0"/>
              <w:snapToGrid w:val="0"/>
              <w:spacing w:line="600" w:lineRule="exact"/>
              <w:jc w:val="left"/>
              <w:textAlignment w:val="auto"/>
              <w:rPr>
                <w:rFonts w:ascii="Times New Roman" w:hAnsi="Times New Roman" w:eastAsia="仿宋_GB2312"/>
                <w:color w:val="auto"/>
                <w:kern w:val="0"/>
                <w:sz w:val="28"/>
                <w:szCs w:val="28"/>
              </w:rPr>
            </w:pPr>
          </w:p>
          <w:p>
            <w:pPr>
              <w:keepNext w:val="0"/>
              <w:keepLines w:val="0"/>
              <w:pageBreakBefore w:val="0"/>
              <w:widowControl w:val="0"/>
              <w:kinsoku/>
              <w:wordWrap/>
              <w:overflowPunct w:val="0"/>
              <w:topLinePunct w:val="0"/>
              <w:autoSpaceDN/>
              <w:bidi w:val="0"/>
              <w:adjustRightInd w:val="0"/>
              <w:snapToGrid w:val="0"/>
              <w:spacing w:line="600" w:lineRule="exact"/>
              <w:jc w:val="left"/>
              <w:textAlignment w:val="auto"/>
              <w:rPr>
                <w:rFonts w:ascii="Times New Roman" w:hAnsi="Times New Roman" w:eastAsia="仿宋_GB2312"/>
                <w:color w:val="auto"/>
                <w:kern w:val="0"/>
                <w:sz w:val="28"/>
                <w:szCs w:val="28"/>
              </w:rPr>
            </w:pPr>
          </w:p>
          <w:p>
            <w:pPr>
              <w:keepNext w:val="0"/>
              <w:keepLines w:val="0"/>
              <w:pageBreakBefore w:val="0"/>
              <w:widowControl w:val="0"/>
              <w:kinsoku/>
              <w:wordWrap/>
              <w:overflowPunct w:val="0"/>
              <w:topLinePunct w:val="0"/>
              <w:autoSpaceDN/>
              <w:bidi w:val="0"/>
              <w:adjustRightInd w:val="0"/>
              <w:snapToGrid w:val="0"/>
              <w:spacing w:line="600" w:lineRule="exact"/>
              <w:jc w:val="left"/>
              <w:textAlignment w:val="auto"/>
              <w:rPr>
                <w:rFonts w:ascii="Times New Roman" w:hAnsi="Times New Roman" w:eastAsia="仿宋_GB2312"/>
                <w:color w:val="auto"/>
                <w:sz w:val="28"/>
                <w:szCs w:val="28"/>
              </w:rPr>
            </w:pPr>
            <w:r>
              <w:rPr>
                <w:rFonts w:ascii="Times New Roman" w:hAnsi="Times New Roman" w:eastAsia="仿宋_GB2312"/>
                <w:color w:val="auto"/>
                <w:szCs w:val="21"/>
              </w:rPr>
              <w:t xml:space="preserve">                              </w:t>
            </w:r>
            <w:r>
              <w:rPr>
                <w:rFonts w:ascii="Times New Roman" w:hAnsi="Times New Roman" w:eastAsia="仿宋_GB2312"/>
                <w:color w:val="auto"/>
                <w:sz w:val="28"/>
                <w:szCs w:val="28"/>
              </w:rPr>
              <w:t xml:space="preserve">     签    章</w:t>
            </w:r>
          </w:p>
          <w:p>
            <w:pPr>
              <w:keepNext w:val="0"/>
              <w:keepLines w:val="0"/>
              <w:pageBreakBefore w:val="0"/>
              <w:widowControl w:val="0"/>
              <w:kinsoku/>
              <w:wordWrap/>
              <w:overflowPunct w:val="0"/>
              <w:topLinePunct w:val="0"/>
              <w:autoSpaceDN/>
              <w:bidi w:val="0"/>
              <w:adjustRightInd w:val="0"/>
              <w:snapToGrid w:val="0"/>
              <w:spacing w:line="600" w:lineRule="exact"/>
              <w:jc w:val="left"/>
              <w:textAlignment w:val="auto"/>
              <w:rPr>
                <w:rFonts w:ascii="Times New Roman" w:hAnsi="Times New Roman" w:eastAsia="仿宋_GB2312"/>
                <w:color w:val="auto"/>
                <w:sz w:val="28"/>
                <w:szCs w:val="28"/>
              </w:rPr>
            </w:pPr>
          </w:p>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Times New Roman" w:hAnsi="Times New Roman" w:eastAsia="仿宋_GB2312"/>
                <w:color w:val="auto"/>
                <w:szCs w:val="21"/>
              </w:rPr>
            </w:pPr>
            <w:r>
              <w:rPr>
                <w:rFonts w:ascii="Times New Roman" w:hAnsi="Times New Roman" w:eastAsia="仿宋_GB2312"/>
                <w:color w:val="auto"/>
                <w:sz w:val="28"/>
                <w:szCs w:val="28"/>
              </w:rPr>
              <w:t xml:space="preserve">                                  年     月     日</w:t>
            </w:r>
          </w:p>
        </w:tc>
        <w:tc>
          <w:tcPr>
            <w:tcW w:w="43" w:type="dxa"/>
            <w:tcMar>
              <w:left w:w="0" w:type="dxa"/>
              <w:right w:w="0" w:type="dxa"/>
            </w:tcMar>
          </w:tcPr>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szCs w:val="21"/>
              </w:rPr>
            </w:pPr>
          </w:p>
        </w:tc>
      </w:tr>
    </w:tbl>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ascii="Times New Roman" w:hAnsi="Times New Roman"/>
          <w:color w:val="auto"/>
        </w:rPr>
      </w:pPr>
      <w:r>
        <w:rPr>
          <w:rFonts w:ascii="Times New Roman" w:hAnsi="Times New Roman"/>
          <w:color w:val="auto"/>
        </w:rPr>
        <w:br w:type="page"/>
      </w:r>
    </w:p>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附</w:t>
      </w:r>
      <w:r>
        <w:rPr>
          <w:rFonts w:hint="eastAsia" w:ascii="黑体" w:hAnsi="黑体" w:eastAsia="黑体" w:cs="黑体"/>
          <w:color w:val="auto"/>
          <w:kern w:val="0"/>
          <w:sz w:val="32"/>
          <w:szCs w:val="32"/>
          <w:lang w:val="en-US" w:eastAsia="zh-CN"/>
        </w:rPr>
        <w:t>5</w:t>
      </w:r>
    </w:p>
    <w:p>
      <w:pPr>
        <w:keepNext w:val="0"/>
        <w:keepLines w:val="0"/>
        <w:pageBreakBefore w:val="0"/>
        <w:widowControl w:val="0"/>
        <w:kinsoku/>
        <w:wordWrap/>
        <w:overflowPunct w:val="0"/>
        <w:topLinePunct w:val="0"/>
        <w:autoSpaceDN/>
        <w:bidi w:val="0"/>
        <w:adjustRightInd w:val="0"/>
        <w:snapToGrid w:val="0"/>
        <w:spacing w:line="600" w:lineRule="exact"/>
        <w:textAlignment w:val="auto"/>
        <w:rPr>
          <w:rFonts w:hint="eastAsia" w:ascii="Times New Roman" w:hAnsi="Times New Roman" w:eastAsia="黑体"/>
          <w:color w:val="auto"/>
          <w:kern w:val="0"/>
          <w:sz w:val="32"/>
          <w:szCs w:val="32"/>
          <w:lang w:val="en-US" w:eastAsia="zh-CN"/>
        </w:rPr>
      </w:pPr>
    </w:p>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Times New Roman" w:hAnsi="Times New Roman" w:eastAsia="方正小标宋简体"/>
          <w:color w:val="auto"/>
          <w:sz w:val="44"/>
          <w:szCs w:val="44"/>
        </w:rPr>
      </w:pPr>
      <w:r>
        <w:rPr>
          <w:rFonts w:ascii="Times New Roman" w:hAnsi="Times New Roman" w:eastAsia="方正小标宋简体"/>
          <w:color w:val="auto"/>
          <w:sz w:val="44"/>
          <w:szCs w:val="44"/>
        </w:rPr>
        <w:t>国家药品监督管理局医疗器械标准管理中心</w:t>
      </w:r>
    </w:p>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Times New Roman" w:hAnsi="Times New Roman" w:eastAsia="方正小标宋简体"/>
          <w:color w:val="auto"/>
          <w:sz w:val="44"/>
          <w:szCs w:val="44"/>
        </w:rPr>
      </w:pPr>
      <w:r>
        <w:rPr>
          <w:rFonts w:ascii="Times New Roman" w:hAnsi="Times New Roman" w:eastAsia="方正小标宋简体"/>
          <w:color w:val="auto"/>
          <w:sz w:val="44"/>
          <w:szCs w:val="44"/>
        </w:rPr>
        <w:t>医疗器械产品分类界定申请告知书</w:t>
      </w:r>
    </w:p>
    <w:p>
      <w:pPr>
        <w:keepNext w:val="0"/>
        <w:keepLines w:val="0"/>
        <w:pageBreakBefore w:val="0"/>
        <w:widowControl w:val="0"/>
        <w:kinsoku/>
        <w:wordWrap/>
        <w:overflowPunct w:val="0"/>
        <w:topLinePunct w:val="0"/>
        <w:autoSpaceDN/>
        <w:bidi w:val="0"/>
        <w:adjustRightInd w:val="0"/>
        <w:snapToGrid w:val="0"/>
        <w:spacing w:line="600" w:lineRule="exact"/>
        <w:jc w:val="left"/>
        <w:textAlignment w:val="auto"/>
        <w:rPr>
          <w:rFonts w:ascii="楷体_GB2312" w:hAnsi="楷体_GB2312" w:eastAsia="楷体_GB2312" w:cs="楷体_GB2312"/>
          <w:color w:val="auto"/>
          <w:sz w:val="32"/>
          <w:szCs w:val="32"/>
        </w:rPr>
      </w:pPr>
    </w:p>
    <w:p>
      <w:pPr>
        <w:keepNext w:val="0"/>
        <w:keepLines w:val="0"/>
        <w:pageBreakBefore w:val="0"/>
        <w:widowControl w:val="0"/>
        <w:kinsoku/>
        <w:wordWrap/>
        <w:overflowPunct w:val="0"/>
        <w:topLinePunct w:val="0"/>
        <w:autoSpaceDN/>
        <w:bidi w:val="0"/>
        <w:adjustRightInd w:val="0"/>
        <w:snapToGrid w:val="0"/>
        <w:spacing w:line="600" w:lineRule="exact"/>
        <w:jc w:val="left"/>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受理编号：                             告知号：</w:t>
      </w:r>
    </w:p>
    <w:tbl>
      <w:tblPr>
        <w:tblStyle w:val="6"/>
        <w:tblW w:w="9679" w:type="dxa"/>
        <w:tblInd w:w="-373" w:type="dxa"/>
        <w:tblLayout w:type="fixed"/>
        <w:tblCellMar>
          <w:top w:w="0" w:type="dxa"/>
          <w:left w:w="108" w:type="dxa"/>
          <w:bottom w:w="0" w:type="dxa"/>
          <w:right w:w="108" w:type="dxa"/>
        </w:tblCellMar>
      </w:tblPr>
      <w:tblGrid>
        <w:gridCol w:w="2797"/>
        <w:gridCol w:w="1853"/>
        <w:gridCol w:w="2176"/>
        <w:gridCol w:w="1526"/>
        <w:gridCol w:w="1327"/>
      </w:tblGrid>
      <w:tr>
        <w:tblPrEx>
          <w:tblCellMar>
            <w:top w:w="0" w:type="dxa"/>
            <w:left w:w="108" w:type="dxa"/>
            <w:bottom w:w="0" w:type="dxa"/>
            <w:right w:w="108" w:type="dxa"/>
          </w:tblCellMar>
        </w:tblPrEx>
        <w:tc>
          <w:tcPr>
            <w:tcW w:w="279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520" w:lineRule="exact"/>
              <w:jc w:val="center"/>
              <w:textAlignment w:val="auto"/>
              <w:rPr>
                <w:rFonts w:ascii="黑体" w:hAnsi="黑体" w:eastAsia="黑体" w:cs="黑体"/>
                <w:color w:val="auto"/>
                <w:sz w:val="28"/>
                <w:szCs w:val="28"/>
              </w:rPr>
            </w:pPr>
            <w:r>
              <w:rPr>
                <w:rFonts w:hint="eastAsia" w:ascii="黑体" w:hAnsi="黑体" w:eastAsia="黑体" w:cs="黑体"/>
                <w:color w:val="auto"/>
                <w:kern w:val="0"/>
                <w:sz w:val="28"/>
                <w:szCs w:val="28"/>
              </w:rPr>
              <w:t>申请分类的产品名称</w:t>
            </w:r>
          </w:p>
        </w:tc>
        <w:tc>
          <w:tcPr>
            <w:tcW w:w="6882" w:type="dxa"/>
            <w:gridSpan w:val="4"/>
            <w:tcBorders>
              <w:top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sz w:val="28"/>
                <w:szCs w:val="28"/>
              </w:rPr>
            </w:pPr>
          </w:p>
        </w:tc>
      </w:tr>
      <w:tr>
        <w:tblPrEx>
          <w:tblCellMar>
            <w:top w:w="0" w:type="dxa"/>
            <w:left w:w="108" w:type="dxa"/>
            <w:bottom w:w="0" w:type="dxa"/>
            <w:right w:w="108" w:type="dxa"/>
          </w:tblCellMar>
        </w:tblPrEx>
        <w:tc>
          <w:tcPr>
            <w:tcW w:w="2797" w:type="dxa"/>
            <w:vMerge w:val="restart"/>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center"/>
              <w:textAlignment w:val="auto"/>
              <w:rPr>
                <w:rFonts w:ascii="黑体" w:hAnsi="黑体" w:eastAsia="黑体" w:cs="黑体"/>
                <w:color w:val="auto"/>
                <w:sz w:val="28"/>
                <w:szCs w:val="28"/>
              </w:rPr>
            </w:pPr>
            <w:r>
              <w:rPr>
                <w:rFonts w:hint="eastAsia" w:ascii="黑体" w:hAnsi="黑体" w:eastAsia="黑体" w:cs="黑体"/>
                <w:color w:val="auto"/>
                <w:kern w:val="0"/>
                <w:sz w:val="28"/>
                <w:szCs w:val="28"/>
              </w:rPr>
              <w:t>申请人信息</w:t>
            </w:r>
          </w:p>
        </w:tc>
        <w:tc>
          <w:tcPr>
            <w:tcW w:w="1853"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sz w:val="28"/>
                <w:szCs w:val="28"/>
              </w:rPr>
            </w:pPr>
            <w:r>
              <w:rPr>
                <w:rFonts w:ascii="Times New Roman" w:hAnsi="Times New Roman" w:eastAsia="仿宋_GB2312"/>
                <w:color w:val="auto"/>
                <w:kern w:val="0"/>
                <w:sz w:val="28"/>
                <w:szCs w:val="28"/>
              </w:rPr>
              <w:t>申请人名称</w:t>
            </w:r>
          </w:p>
        </w:tc>
        <w:tc>
          <w:tcPr>
            <w:tcW w:w="5029" w:type="dxa"/>
            <w:gridSpan w:val="3"/>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sz w:val="28"/>
                <w:szCs w:val="28"/>
              </w:rPr>
            </w:pPr>
          </w:p>
        </w:tc>
      </w:tr>
      <w:tr>
        <w:tblPrEx>
          <w:tblCellMar>
            <w:top w:w="0" w:type="dxa"/>
            <w:left w:w="108" w:type="dxa"/>
            <w:bottom w:w="0" w:type="dxa"/>
            <w:right w:w="108" w:type="dxa"/>
          </w:tblCellMar>
        </w:tblPrEx>
        <w:tc>
          <w:tcPr>
            <w:tcW w:w="2797"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黑体" w:hAnsi="黑体" w:eastAsia="黑体" w:cs="黑体"/>
                <w:color w:val="auto"/>
                <w:sz w:val="28"/>
                <w:szCs w:val="28"/>
              </w:rPr>
            </w:pPr>
          </w:p>
        </w:tc>
        <w:tc>
          <w:tcPr>
            <w:tcW w:w="1853"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sz w:val="28"/>
                <w:szCs w:val="28"/>
              </w:rPr>
            </w:pPr>
            <w:r>
              <w:rPr>
                <w:rFonts w:ascii="Times New Roman" w:hAnsi="Times New Roman" w:eastAsia="仿宋_GB2312"/>
                <w:color w:val="auto"/>
                <w:kern w:val="0"/>
                <w:sz w:val="28"/>
                <w:szCs w:val="28"/>
              </w:rPr>
              <w:t>申请人地址</w:t>
            </w:r>
          </w:p>
        </w:tc>
        <w:tc>
          <w:tcPr>
            <w:tcW w:w="5029" w:type="dxa"/>
            <w:gridSpan w:val="3"/>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sz w:val="28"/>
                <w:szCs w:val="28"/>
              </w:rPr>
            </w:pPr>
          </w:p>
        </w:tc>
      </w:tr>
      <w:tr>
        <w:tc>
          <w:tcPr>
            <w:tcW w:w="2797"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黑体" w:hAnsi="黑体" w:eastAsia="黑体" w:cs="黑体"/>
                <w:color w:val="auto"/>
                <w:sz w:val="28"/>
                <w:szCs w:val="28"/>
              </w:rPr>
            </w:pPr>
          </w:p>
        </w:tc>
        <w:tc>
          <w:tcPr>
            <w:tcW w:w="1853"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邮编</w:t>
            </w:r>
          </w:p>
        </w:tc>
        <w:tc>
          <w:tcPr>
            <w:tcW w:w="2176"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kern w:val="0"/>
                <w:sz w:val="28"/>
                <w:szCs w:val="28"/>
              </w:rPr>
            </w:pPr>
          </w:p>
        </w:tc>
        <w:tc>
          <w:tcPr>
            <w:tcW w:w="1526"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E-mail</w:t>
            </w:r>
          </w:p>
        </w:tc>
        <w:tc>
          <w:tcPr>
            <w:tcW w:w="1327"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kern w:val="0"/>
                <w:sz w:val="28"/>
                <w:szCs w:val="28"/>
              </w:rPr>
            </w:pPr>
          </w:p>
        </w:tc>
      </w:tr>
      <w:tr>
        <w:tblPrEx>
          <w:tblCellMar>
            <w:top w:w="0" w:type="dxa"/>
            <w:left w:w="108" w:type="dxa"/>
            <w:bottom w:w="0" w:type="dxa"/>
            <w:right w:w="108" w:type="dxa"/>
          </w:tblCellMar>
        </w:tblPrEx>
        <w:trPr>
          <w:trHeight w:val="165" w:hRule="atLeast"/>
        </w:trPr>
        <w:tc>
          <w:tcPr>
            <w:tcW w:w="2797"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黑体" w:hAnsi="黑体" w:eastAsia="黑体" w:cs="黑体"/>
                <w:color w:val="auto"/>
                <w:sz w:val="28"/>
                <w:szCs w:val="28"/>
              </w:rPr>
            </w:pPr>
          </w:p>
        </w:tc>
        <w:tc>
          <w:tcPr>
            <w:tcW w:w="1853"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联系人</w:t>
            </w:r>
          </w:p>
        </w:tc>
        <w:tc>
          <w:tcPr>
            <w:tcW w:w="2176"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kern w:val="0"/>
                <w:sz w:val="28"/>
                <w:szCs w:val="28"/>
              </w:rPr>
            </w:pPr>
          </w:p>
        </w:tc>
        <w:tc>
          <w:tcPr>
            <w:tcW w:w="1526"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联系电话</w:t>
            </w:r>
          </w:p>
        </w:tc>
        <w:tc>
          <w:tcPr>
            <w:tcW w:w="1327"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kern w:val="0"/>
                <w:sz w:val="28"/>
                <w:szCs w:val="28"/>
              </w:rPr>
            </w:pPr>
          </w:p>
        </w:tc>
      </w:tr>
      <w:tr>
        <w:tblPrEx>
          <w:tblCellMar>
            <w:top w:w="0" w:type="dxa"/>
            <w:left w:w="108" w:type="dxa"/>
            <w:bottom w:w="0" w:type="dxa"/>
            <w:right w:w="108" w:type="dxa"/>
          </w:tblCellMar>
        </w:tblPrEx>
        <w:tc>
          <w:tcPr>
            <w:tcW w:w="2797"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黑体" w:hAnsi="黑体" w:eastAsia="黑体" w:cs="黑体"/>
                <w:color w:val="auto"/>
                <w:sz w:val="28"/>
                <w:szCs w:val="28"/>
              </w:rPr>
            </w:pPr>
          </w:p>
        </w:tc>
        <w:tc>
          <w:tcPr>
            <w:tcW w:w="1853"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手机</w:t>
            </w:r>
          </w:p>
        </w:tc>
        <w:tc>
          <w:tcPr>
            <w:tcW w:w="2176"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kern w:val="0"/>
                <w:sz w:val="28"/>
                <w:szCs w:val="28"/>
              </w:rPr>
            </w:pPr>
          </w:p>
        </w:tc>
        <w:tc>
          <w:tcPr>
            <w:tcW w:w="1526"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传真</w:t>
            </w:r>
          </w:p>
        </w:tc>
        <w:tc>
          <w:tcPr>
            <w:tcW w:w="1327"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kern w:val="0"/>
                <w:sz w:val="28"/>
                <w:szCs w:val="28"/>
              </w:rPr>
            </w:pPr>
          </w:p>
        </w:tc>
      </w:tr>
      <w:tr>
        <w:tblPrEx>
          <w:tblCellMar>
            <w:top w:w="0" w:type="dxa"/>
            <w:left w:w="108" w:type="dxa"/>
            <w:bottom w:w="0" w:type="dxa"/>
            <w:right w:w="108" w:type="dxa"/>
          </w:tblCellMar>
        </w:tblPrEx>
        <w:tc>
          <w:tcPr>
            <w:tcW w:w="2797" w:type="dxa"/>
            <w:vMerge w:val="restart"/>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center"/>
              <w:textAlignment w:val="auto"/>
              <w:rPr>
                <w:rFonts w:ascii="黑体" w:hAnsi="黑体" w:eastAsia="黑体" w:cs="黑体"/>
                <w:color w:val="auto"/>
                <w:sz w:val="28"/>
                <w:szCs w:val="28"/>
              </w:rPr>
            </w:pPr>
            <w:r>
              <w:rPr>
                <w:rFonts w:hint="eastAsia" w:ascii="黑体" w:hAnsi="黑体" w:eastAsia="黑体" w:cs="黑体"/>
                <w:color w:val="auto"/>
                <w:sz w:val="28"/>
                <w:szCs w:val="28"/>
              </w:rPr>
              <w:t>代理人信息</w:t>
            </w:r>
          </w:p>
        </w:tc>
        <w:tc>
          <w:tcPr>
            <w:tcW w:w="1853"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代理人名称</w:t>
            </w:r>
          </w:p>
        </w:tc>
        <w:tc>
          <w:tcPr>
            <w:tcW w:w="5029" w:type="dxa"/>
            <w:gridSpan w:val="3"/>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kern w:val="0"/>
                <w:sz w:val="28"/>
                <w:szCs w:val="28"/>
              </w:rPr>
            </w:pPr>
          </w:p>
        </w:tc>
      </w:tr>
      <w:tr>
        <w:tblPrEx>
          <w:tblCellMar>
            <w:top w:w="0" w:type="dxa"/>
            <w:left w:w="108" w:type="dxa"/>
            <w:bottom w:w="0" w:type="dxa"/>
            <w:right w:w="108" w:type="dxa"/>
          </w:tblCellMar>
        </w:tblPrEx>
        <w:tc>
          <w:tcPr>
            <w:tcW w:w="2797"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黑体" w:hAnsi="黑体" w:eastAsia="黑体" w:cs="黑体"/>
                <w:color w:val="auto"/>
                <w:kern w:val="0"/>
                <w:sz w:val="28"/>
                <w:szCs w:val="28"/>
              </w:rPr>
            </w:pPr>
          </w:p>
        </w:tc>
        <w:tc>
          <w:tcPr>
            <w:tcW w:w="1853"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代理人地址</w:t>
            </w:r>
          </w:p>
        </w:tc>
        <w:tc>
          <w:tcPr>
            <w:tcW w:w="5029" w:type="dxa"/>
            <w:gridSpan w:val="3"/>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kern w:val="0"/>
                <w:sz w:val="28"/>
                <w:szCs w:val="28"/>
              </w:rPr>
            </w:pPr>
          </w:p>
        </w:tc>
      </w:tr>
      <w:tr>
        <w:tblPrEx>
          <w:tblCellMar>
            <w:top w:w="0" w:type="dxa"/>
            <w:left w:w="108" w:type="dxa"/>
            <w:bottom w:w="0" w:type="dxa"/>
            <w:right w:w="108" w:type="dxa"/>
          </w:tblCellMar>
        </w:tblPrEx>
        <w:tc>
          <w:tcPr>
            <w:tcW w:w="2797"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黑体" w:hAnsi="黑体" w:eastAsia="黑体" w:cs="黑体"/>
                <w:color w:val="auto"/>
                <w:kern w:val="0"/>
                <w:sz w:val="28"/>
                <w:szCs w:val="28"/>
              </w:rPr>
            </w:pPr>
          </w:p>
        </w:tc>
        <w:tc>
          <w:tcPr>
            <w:tcW w:w="1853"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联系人</w:t>
            </w:r>
          </w:p>
        </w:tc>
        <w:tc>
          <w:tcPr>
            <w:tcW w:w="2176"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kern w:val="0"/>
                <w:sz w:val="28"/>
                <w:szCs w:val="28"/>
              </w:rPr>
            </w:pPr>
          </w:p>
        </w:tc>
        <w:tc>
          <w:tcPr>
            <w:tcW w:w="1526"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联系电话</w:t>
            </w:r>
          </w:p>
        </w:tc>
        <w:tc>
          <w:tcPr>
            <w:tcW w:w="1327"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kern w:val="0"/>
                <w:sz w:val="28"/>
                <w:szCs w:val="28"/>
              </w:rPr>
            </w:pPr>
          </w:p>
        </w:tc>
      </w:tr>
      <w:tr>
        <w:tblPrEx>
          <w:tblCellMar>
            <w:top w:w="0" w:type="dxa"/>
            <w:left w:w="108" w:type="dxa"/>
            <w:bottom w:w="0" w:type="dxa"/>
            <w:right w:w="108" w:type="dxa"/>
          </w:tblCellMar>
        </w:tblPrEx>
        <w:tc>
          <w:tcPr>
            <w:tcW w:w="2797"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黑体" w:hAnsi="黑体" w:eastAsia="黑体" w:cs="黑体"/>
                <w:color w:val="auto"/>
                <w:sz w:val="28"/>
                <w:szCs w:val="28"/>
              </w:rPr>
            </w:pPr>
          </w:p>
        </w:tc>
        <w:tc>
          <w:tcPr>
            <w:tcW w:w="1853"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手机</w:t>
            </w:r>
          </w:p>
        </w:tc>
        <w:tc>
          <w:tcPr>
            <w:tcW w:w="2176"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kern w:val="0"/>
                <w:sz w:val="28"/>
                <w:szCs w:val="28"/>
              </w:rPr>
            </w:pPr>
          </w:p>
        </w:tc>
        <w:tc>
          <w:tcPr>
            <w:tcW w:w="1526"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E-mail</w:t>
            </w:r>
          </w:p>
        </w:tc>
        <w:tc>
          <w:tcPr>
            <w:tcW w:w="1327"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kern w:val="0"/>
                <w:sz w:val="28"/>
                <w:szCs w:val="28"/>
              </w:rPr>
            </w:pPr>
          </w:p>
        </w:tc>
      </w:tr>
      <w:tr>
        <w:tblPrEx>
          <w:tblCellMar>
            <w:top w:w="0" w:type="dxa"/>
            <w:left w:w="108" w:type="dxa"/>
            <w:bottom w:w="0" w:type="dxa"/>
            <w:right w:w="108" w:type="dxa"/>
          </w:tblCellMar>
        </w:tblPrEx>
        <w:tc>
          <w:tcPr>
            <w:tcW w:w="2797"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黑体" w:hAnsi="黑体" w:eastAsia="黑体" w:cs="黑体"/>
                <w:color w:val="auto"/>
                <w:sz w:val="28"/>
                <w:szCs w:val="28"/>
              </w:rPr>
            </w:pPr>
          </w:p>
        </w:tc>
        <w:tc>
          <w:tcPr>
            <w:tcW w:w="1853"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传真</w:t>
            </w:r>
          </w:p>
        </w:tc>
        <w:tc>
          <w:tcPr>
            <w:tcW w:w="2176"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kern w:val="0"/>
                <w:sz w:val="28"/>
                <w:szCs w:val="28"/>
              </w:rPr>
            </w:pPr>
          </w:p>
        </w:tc>
        <w:tc>
          <w:tcPr>
            <w:tcW w:w="1526"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其他</w:t>
            </w:r>
          </w:p>
        </w:tc>
        <w:tc>
          <w:tcPr>
            <w:tcW w:w="1327"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kern w:val="0"/>
                <w:sz w:val="28"/>
                <w:szCs w:val="28"/>
              </w:rPr>
            </w:pPr>
          </w:p>
        </w:tc>
      </w:tr>
      <w:tr>
        <w:tblPrEx>
          <w:tblCellMar>
            <w:top w:w="0" w:type="dxa"/>
            <w:left w:w="108" w:type="dxa"/>
            <w:bottom w:w="0" w:type="dxa"/>
            <w:right w:w="108" w:type="dxa"/>
          </w:tblCellMar>
        </w:tblPrEx>
        <w:tc>
          <w:tcPr>
            <w:tcW w:w="2797" w:type="dxa"/>
            <w:vMerge w:val="restart"/>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center"/>
              <w:textAlignment w:val="auto"/>
              <w:rPr>
                <w:rFonts w:ascii="黑体" w:hAnsi="黑体" w:eastAsia="黑体" w:cs="黑体"/>
                <w:color w:val="auto"/>
                <w:sz w:val="28"/>
                <w:szCs w:val="28"/>
              </w:rPr>
            </w:pPr>
            <w:r>
              <w:rPr>
                <w:rFonts w:hint="eastAsia" w:ascii="黑体" w:hAnsi="黑体" w:eastAsia="黑体" w:cs="黑体"/>
                <w:color w:val="auto"/>
                <w:kern w:val="0"/>
                <w:sz w:val="28"/>
                <w:szCs w:val="28"/>
              </w:rPr>
              <w:t>产品信息</w:t>
            </w:r>
          </w:p>
        </w:tc>
        <w:tc>
          <w:tcPr>
            <w:tcW w:w="6882" w:type="dxa"/>
            <w:gridSpan w:val="4"/>
            <w:tcBorders>
              <w:top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sz w:val="28"/>
                <w:szCs w:val="28"/>
              </w:rPr>
            </w:pPr>
            <w:r>
              <w:rPr>
                <w:rFonts w:ascii="Times New Roman" w:hAnsi="Times New Roman" w:eastAsia="仿宋_GB2312"/>
                <w:color w:val="auto"/>
                <w:kern w:val="0"/>
                <w:sz w:val="28"/>
                <w:szCs w:val="28"/>
              </w:rPr>
              <w:t>产品名称：</w:t>
            </w:r>
          </w:p>
        </w:tc>
      </w:tr>
      <w:tr>
        <w:tblPrEx>
          <w:tblCellMar>
            <w:top w:w="0" w:type="dxa"/>
            <w:left w:w="108" w:type="dxa"/>
            <w:bottom w:w="0" w:type="dxa"/>
            <w:right w:w="108" w:type="dxa"/>
          </w:tblCellMar>
        </w:tblPrEx>
        <w:tc>
          <w:tcPr>
            <w:tcW w:w="2797"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黑体" w:hAnsi="黑体" w:eastAsia="黑体" w:cs="黑体"/>
                <w:color w:val="auto"/>
                <w:sz w:val="28"/>
                <w:szCs w:val="28"/>
              </w:rPr>
            </w:pPr>
          </w:p>
        </w:tc>
        <w:tc>
          <w:tcPr>
            <w:tcW w:w="6882" w:type="dxa"/>
            <w:gridSpan w:val="4"/>
            <w:tcBorders>
              <w:top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sz w:val="28"/>
                <w:szCs w:val="28"/>
              </w:rPr>
            </w:pPr>
            <w:r>
              <w:rPr>
                <w:rFonts w:ascii="Times New Roman" w:hAnsi="Times New Roman" w:eastAsia="仿宋_GB2312"/>
                <w:color w:val="auto"/>
                <w:kern w:val="0"/>
                <w:sz w:val="28"/>
                <w:szCs w:val="28"/>
              </w:rPr>
              <w:t>产品描述：</w:t>
            </w:r>
          </w:p>
        </w:tc>
      </w:tr>
      <w:tr>
        <w:tblPrEx>
          <w:tblCellMar>
            <w:top w:w="0" w:type="dxa"/>
            <w:left w:w="108" w:type="dxa"/>
            <w:bottom w:w="0" w:type="dxa"/>
            <w:right w:w="108" w:type="dxa"/>
          </w:tblCellMar>
        </w:tblPrEx>
        <w:tc>
          <w:tcPr>
            <w:tcW w:w="2797"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黑体" w:hAnsi="黑体" w:eastAsia="黑体" w:cs="黑体"/>
                <w:color w:val="auto"/>
                <w:sz w:val="28"/>
                <w:szCs w:val="28"/>
              </w:rPr>
            </w:pPr>
          </w:p>
        </w:tc>
        <w:tc>
          <w:tcPr>
            <w:tcW w:w="6882" w:type="dxa"/>
            <w:gridSpan w:val="4"/>
            <w:tcBorders>
              <w:top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sz w:val="28"/>
                <w:szCs w:val="28"/>
              </w:rPr>
            </w:pPr>
            <w:r>
              <w:rPr>
                <w:rFonts w:ascii="Times New Roman" w:hAnsi="Times New Roman" w:eastAsia="仿宋_GB2312"/>
                <w:color w:val="auto"/>
                <w:kern w:val="0"/>
                <w:sz w:val="28"/>
                <w:szCs w:val="28"/>
              </w:rPr>
              <w:t>预期用途：</w:t>
            </w:r>
          </w:p>
        </w:tc>
      </w:tr>
      <w:tr>
        <w:tblPrEx>
          <w:tblCellMar>
            <w:top w:w="0" w:type="dxa"/>
            <w:left w:w="108" w:type="dxa"/>
            <w:bottom w:w="0" w:type="dxa"/>
            <w:right w:w="108" w:type="dxa"/>
          </w:tblCellMar>
        </w:tblPrEx>
        <w:tc>
          <w:tcPr>
            <w:tcW w:w="27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20" w:lineRule="exact"/>
              <w:jc w:val="center"/>
              <w:textAlignment w:val="auto"/>
              <w:rPr>
                <w:rFonts w:ascii="黑体" w:hAnsi="黑体" w:eastAsia="黑体" w:cs="黑体"/>
                <w:color w:val="auto"/>
                <w:sz w:val="28"/>
                <w:szCs w:val="28"/>
              </w:rPr>
            </w:pPr>
            <w:r>
              <w:rPr>
                <w:rFonts w:hint="eastAsia" w:ascii="黑体" w:hAnsi="黑体" w:eastAsia="黑体" w:cs="黑体"/>
                <w:color w:val="auto"/>
                <w:kern w:val="0"/>
                <w:sz w:val="28"/>
                <w:szCs w:val="28"/>
              </w:rPr>
              <w:t>告知内容</w:t>
            </w:r>
          </w:p>
        </w:tc>
        <w:tc>
          <w:tcPr>
            <w:tcW w:w="6882" w:type="dxa"/>
            <w:gridSpan w:val="4"/>
            <w:tcBorders>
              <w:top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520" w:lineRule="exact"/>
              <w:jc w:val="left"/>
              <w:textAlignment w:val="auto"/>
              <w:rPr>
                <w:rFonts w:ascii="Times New Roman" w:hAnsi="Times New Roman" w:eastAsia="仿宋_GB2312"/>
                <w:color w:val="auto"/>
                <w:sz w:val="28"/>
                <w:szCs w:val="28"/>
              </w:rPr>
            </w:pPr>
            <w:r>
              <w:rPr>
                <w:rFonts w:ascii="Times New Roman" w:hAnsi="Times New Roman" w:eastAsia="仿宋_GB2312"/>
                <w:color w:val="auto"/>
                <w:kern w:val="0"/>
                <w:sz w:val="28"/>
                <w:szCs w:val="28"/>
              </w:rPr>
              <w:t>根据申请人提交的分类界定申请资料，依据国家药品监督管理局相关文件，</w:t>
            </w:r>
            <w:r>
              <w:rPr>
                <w:rFonts w:hint="eastAsia" w:ascii="Times New Roman" w:hAnsi="Times New Roman" w:eastAsia="仿宋_GB2312"/>
                <w:color w:val="auto"/>
                <w:kern w:val="0"/>
                <w:sz w:val="28"/>
                <w:szCs w:val="28"/>
              </w:rPr>
              <w:t>该产品按</w:t>
            </w:r>
            <w:r>
              <w:rPr>
                <w:rFonts w:ascii="Times New Roman" w:hAnsi="Times New Roman" w:eastAsia="仿宋_GB2312"/>
                <w:color w:val="auto"/>
                <w:kern w:val="0"/>
                <w:sz w:val="28"/>
                <w:szCs w:val="28"/>
              </w:rPr>
              <w:t>xx</w:t>
            </w:r>
            <w:r>
              <w:rPr>
                <w:rFonts w:hint="eastAsia" w:ascii="Times New Roman" w:hAnsi="Times New Roman" w:eastAsia="仿宋_GB2312"/>
                <w:color w:val="auto"/>
                <w:kern w:val="0"/>
                <w:sz w:val="28"/>
                <w:szCs w:val="28"/>
              </w:rPr>
              <w:t>管理，类别为</w:t>
            </w:r>
            <w:r>
              <w:rPr>
                <w:rFonts w:ascii="Times New Roman" w:hAnsi="Times New Roman" w:eastAsia="仿宋_GB2312"/>
                <w:color w:val="auto"/>
                <w:kern w:val="0"/>
                <w:sz w:val="28"/>
                <w:szCs w:val="28"/>
              </w:rPr>
              <w:t>x x</w:t>
            </w:r>
            <w:r>
              <w:rPr>
                <w:rFonts w:hint="eastAsia" w:ascii="Times New Roman" w:hAnsi="Times New Roman" w:eastAsia="仿宋_GB2312"/>
                <w:color w:val="auto"/>
                <w:kern w:val="0"/>
                <w:sz w:val="28"/>
                <w:szCs w:val="28"/>
              </w:rPr>
              <w:t>；分类编码为：</w:t>
            </w:r>
            <w:r>
              <w:rPr>
                <w:rFonts w:ascii="Times New Roman" w:hAnsi="Times New Roman" w:eastAsia="仿宋_GB2312"/>
                <w:color w:val="auto"/>
                <w:kern w:val="0"/>
                <w:sz w:val="28"/>
                <w:szCs w:val="28"/>
              </w:rPr>
              <w:t>xx-xx</w:t>
            </w:r>
            <w:r>
              <w:rPr>
                <w:rFonts w:hint="eastAsia" w:ascii="Times New Roman" w:hAnsi="Times New Roman" w:eastAsia="仿宋_GB2312"/>
                <w:color w:val="auto"/>
                <w:kern w:val="0"/>
                <w:sz w:val="28"/>
                <w:szCs w:val="28"/>
              </w:rPr>
              <w:t>。</w:t>
            </w:r>
          </w:p>
        </w:tc>
      </w:tr>
    </w:tbl>
    <w:p>
      <w:pPr>
        <w:keepNext w:val="0"/>
        <w:keepLines w:val="0"/>
        <w:pageBreakBefore w:val="0"/>
        <w:widowControl w:val="0"/>
        <w:kinsoku/>
        <w:wordWrap/>
        <w:overflowPunct w:val="0"/>
        <w:topLinePunct w:val="0"/>
        <w:autoSpaceDN/>
        <w:bidi w:val="0"/>
        <w:adjustRightInd w:val="0"/>
        <w:snapToGrid w:val="0"/>
        <w:spacing w:line="500" w:lineRule="exact"/>
        <w:jc w:val="both"/>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注：</w:t>
      </w:r>
      <w:r>
        <w:rPr>
          <w:rFonts w:hint="eastAsia" w:ascii="Times New Roman" w:hAnsi="Times New Roman" w:eastAsia="仿宋_GB2312"/>
          <w:color w:val="auto"/>
          <w:sz w:val="24"/>
          <w:szCs w:val="24"/>
        </w:rPr>
        <w:t>1.</w:t>
      </w:r>
      <w:r>
        <w:rPr>
          <w:rFonts w:ascii="Times New Roman" w:hAnsi="Times New Roman" w:eastAsia="仿宋_GB2312"/>
          <w:color w:val="auto"/>
          <w:sz w:val="24"/>
          <w:szCs w:val="24"/>
        </w:rPr>
        <w:t>本产品的分类界定技术建议提出依据是《医疗器械监督管理条例》《医疗器械分类规则》《体外诊断试剂分类规则》《医疗器械分类目录》《第一类医疗器械产品目录》《体外诊断试剂分类子目录》及国家药品监督管理局发布的分类界定</w:t>
      </w:r>
      <w:r>
        <w:rPr>
          <w:rFonts w:hint="eastAsia" w:ascii="Times New Roman" w:hAnsi="Times New Roman" w:eastAsia="仿宋_GB2312"/>
          <w:color w:val="auto"/>
          <w:sz w:val="24"/>
          <w:szCs w:val="24"/>
        </w:rPr>
        <w:t>指导原则</w:t>
      </w:r>
      <w:r>
        <w:rPr>
          <w:rFonts w:ascii="Times New Roman" w:hAnsi="Times New Roman" w:eastAsia="仿宋_GB2312"/>
          <w:color w:val="auto"/>
          <w:sz w:val="24"/>
          <w:szCs w:val="24"/>
        </w:rPr>
        <w:t>等文件</w:t>
      </w:r>
      <w:r>
        <w:rPr>
          <w:rFonts w:hint="eastAsia" w:ascii="Times New Roman" w:hAnsi="Times New Roman" w:eastAsia="仿宋_GB2312"/>
          <w:color w:val="auto"/>
          <w:sz w:val="24"/>
          <w:szCs w:val="24"/>
        </w:rPr>
        <w:t>，如相应文件发生变化，应当及时调整</w:t>
      </w:r>
      <w:r>
        <w:rPr>
          <w:rFonts w:ascii="Times New Roman" w:hAnsi="Times New Roman" w:eastAsia="仿宋_GB2312"/>
          <w:color w:val="auto"/>
          <w:sz w:val="24"/>
          <w:szCs w:val="24"/>
        </w:rPr>
        <w:t>。</w:t>
      </w:r>
    </w:p>
    <w:p>
      <w:pPr>
        <w:keepNext w:val="0"/>
        <w:keepLines w:val="0"/>
        <w:pageBreakBefore w:val="0"/>
        <w:widowControl w:val="0"/>
        <w:kinsoku/>
        <w:wordWrap/>
        <w:overflowPunct w:val="0"/>
        <w:topLinePunct w:val="0"/>
        <w:autoSpaceDE w:val="0"/>
        <w:autoSpaceDN/>
        <w:bidi w:val="0"/>
        <w:adjustRightInd w:val="0"/>
        <w:snapToGrid w:val="0"/>
        <w:spacing w:line="500" w:lineRule="exact"/>
        <w:jc w:val="both"/>
        <w:textAlignment w:val="auto"/>
        <w:rPr>
          <w:rFonts w:ascii="Times New Roman" w:hAnsi="Times New Roman" w:eastAsia="仿宋_GB2312"/>
          <w:color w:val="auto"/>
          <w:sz w:val="24"/>
          <w:szCs w:val="24"/>
        </w:rPr>
      </w:pPr>
      <w:r>
        <w:rPr>
          <w:rFonts w:hint="eastAsia" w:ascii="Times New Roman" w:hAnsi="Times New Roman" w:eastAsia="仿宋_GB2312"/>
          <w:color w:val="auto"/>
          <w:sz w:val="24"/>
          <w:szCs w:val="24"/>
        </w:rPr>
        <w:t>2.</w:t>
      </w:r>
      <w:r>
        <w:rPr>
          <w:rFonts w:ascii="Times New Roman" w:hAnsi="Times New Roman" w:eastAsia="仿宋_GB2312"/>
          <w:color w:val="auto"/>
          <w:sz w:val="24"/>
          <w:szCs w:val="24"/>
        </w:rPr>
        <w:t>本告知书的结果是依据现有医疗器械管理政策，根据申请人提供的资料做出，作为技术审评和备案的参考，不作为其他用途。</w:t>
      </w:r>
    </w:p>
    <w:p>
      <w:pPr>
        <w:keepNext w:val="0"/>
        <w:keepLines w:val="0"/>
        <w:pageBreakBefore w:val="0"/>
        <w:widowControl w:val="0"/>
        <w:kinsoku/>
        <w:wordWrap/>
        <w:overflowPunct w:val="0"/>
        <w:topLinePunct w:val="0"/>
        <w:autoSpaceDN/>
        <w:bidi w:val="0"/>
        <w:adjustRightInd w:val="0"/>
        <w:snapToGrid w:val="0"/>
        <w:spacing w:line="500" w:lineRule="exact"/>
        <w:jc w:val="both"/>
        <w:textAlignment w:val="auto"/>
        <w:rPr>
          <w:rFonts w:ascii="Times New Roman" w:hAnsi="Times New Roman" w:eastAsia="仿宋_GB2312"/>
          <w:color w:val="auto"/>
          <w:sz w:val="24"/>
          <w:szCs w:val="24"/>
        </w:rPr>
      </w:pPr>
      <w:r>
        <w:rPr>
          <w:rFonts w:hint="eastAsia" w:ascii="Times New Roman" w:hAnsi="Times New Roman" w:eastAsia="仿宋_GB2312"/>
          <w:color w:val="auto"/>
          <w:sz w:val="24"/>
          <w:szCs w:val="24"/>
        </w:rPr>
        <w:t>3.</w:t>
      </w:r>
      <w:r>
        <w:rPr>
          <w:rFonts w:ascii="Times New Roman" w:hAnsi="Times New Roman" w:eastAsia="仿宋_GB2312"/>
          <w:color w:val="auto"/>
          <w:sz w:val="24"/>
          <w:szCs w:val="24"/>
        </w:rPr>
        <w:t>本告知书需</w:t>
      </w:r>
      <w:r>
        <w:rPr>
          <w:rFonts w:hint="eastAsia" w:ascii="Times New Roman" w:hAnsi="Times New Roman" w:eastAsia="仿宋_GB2312"/>
          <w:color w:val="auto"/>
          <w:sz w:val="24"/>
          <w:szCs w:val="24"/>
        </w:rPr>
        <w:t>要</w:t>
      </w:r>
      <w:r>
        <w:rPr>
          <w:rFonts w:ascii="Times New Roman" w:hAnsi="Times New Roman" w:eastAsia="仿宋_GB2312"/>
          <w:color w:val="auto"/>
          <w:sz w:val="24"/>
          <w:szCs w:val="24"/>
        </w:rPr>
        <w:t>配合分类界定信息系统内</w:t>
      </w:r>
      <w:r>
        <w:rPr>
          <w:rFonts w:hint="eastAsia" w:ascii="Times New Roman" w:hAnsi="Times New Roman" w:eastAsia="仿宋_GB2312"/>
          <w:color w:val="auto"/>
          <w:sz w:val="24"/>
          <w:szCs w:val="24"/>
        </w:rPr>
        <w:t>分类申请</w:t>
      </w:r>
      <w:r>
        <w:rPr>
          <w:rFonts w:ascii="Times New Roman" w:hAnsi="Times New Roman" w:eastAsia="仿宋_GB2312"/>
          <w:color w:val="auto"/>
          <w:sz w:val="24"/>
          <w:szCs w:val="24"/>
        </w:rPr>
        <w:t>资料信息使用。</w:t>
      </w:r>
    </w:p>
    <w:p>
      <w:pPr>
        <w:keepNext w:val="0"/>
        <w:keepLines w:val="0"/>
        <w:pageBreakBefore w:val="0"/>
        <w:widowControl w:val="0"/>
        <w:kinsoku/>
        <w:wordWrap/>
        <w:overflowPunct w:val="0"/>
        <w:topLinePunct w:val="0"/>
        <w:autoSpaceDE w:val="0"/>
        <w:autoSpaceDN/>
        <w:bidi w:val="0"/>
        <w:adjustRightInd w:val="0"/>
        <w:snapToGrid w:val="0"/>
        <w:spacing w:line="500" w:lineRule="exact"/>
        <w:jc w:val="both"/>
        <w:textAlignment w:val="auto"/>
        <w:rPr>
          <w:rFonts w:ascii="Times New Roman" w:hAnsi="Times New Roman" w:eastAsia="仿宋_GB2312"/>
          <w:color w:val="auto"/>
          <w:sz w:val="24"/>
          <w:szCs w:val="24"/>
        </w:rPr>
      </w:pPr>
      <w:r>
        <w:rPr>
          <w:rFonts w:hint="eastAsia" w:ascii="Times New Roman" w:hAnsi="Times New Roman" w:eastAsia="仿宋_GB2312"/>
          <w:color w:val="auto"/>
          <w:sz w:val="24"/>
          <w:szCs w:val="24"/>
        </w:rPr>
        <w:t>4.</w:t>
      </w:r>
      <w:r>
        <w:rPr>
          <w:rFonts w:ascii="Times New Roman" w:hAnsi="Times New Roman" w:eastAsia="仿宋_GB2312"/>
          <w:color w:val="auto"/>
          <w:sz w:val="24"/>
          <w:szCs w:val="24"/>
        </w:rPr>
        <w:t>本告知书所列的“产品类别”“分类代码”“产品名称”“产品描述”“预期用途”是在对</w:t>
      </w:r>
      <w:r>
        <w:rPr>
          <w:rFonts w:hint="eastAsia" w:ascii="Times New Roman" w:hAnsi="Times New Roman" w:eastAsia="仿宋_GB2312"/>
          <w:color w:val="auto"/>
          <w:sz w:val="24"/>
          <w:szCs w:val="24"/>
        </w:rPr>
        <w:t>申请人</w:t>
      </w:r>
      <w:r>
        <w:rPr>
          <w:rFonts w:ascii="Times New Roman" w:hAnsi="Times New Roman" w:eastAsia="仿宋_GB2312"/>
          <w:color w:val="auto"/>
          <w:sz w:val="24"/>
          <w:szCs w:val="24"/>
        </w:rPr>
        <w:t>提供资料进行研究的基础上归纳出的内容，不代表分类界定审</w:t>
      </w:r>
      <w:r>
        <w:rPr>
          <w:rFonts w:hint="eastAsia" w:ascii="Times New Roman" w:hAnsi="Times New Roman" w:eastAsia="仿宋_GB2312"/>
          <w:color w:val="auto"/>
          <w:sz w:val="24"/>
          <w:szCs w:val="24"/>
        </w:rPr>
        <w:t>查</w:t>
      </w:r>
      <w:r>
        <w:rPr>
          <w:rFonts w:ascii="Times New Roman" w:hAnsi="Times New Roman" w:eastAsia="仿宋_GB2312"/>
          <w:color w:val="auto"/>
          <w:sz w:val="24"/>
          <w:szCs w:val="24"/>
        </w:rPr>
        <w:t>部门认可相关产品的安全有效性。分类界定申请资料的</w:t>
      </w:r>
      <w:r>
        <w:rPr>
          <w:rFonts w:hint="eastAsia" w:ascii="Times New Roman" w:hAnsi="Times New Roman" w:eastAsia="仿宋_GB2312"/>
          <w:color w:val="auto"/>
          <w:sz w:val="24"/>
          <w:szCs w:val="24"/>
        </w:rPr>
        <w:t>合法性、真实性、准确性、完整性和可追溯性</w:t>
      </w:r>
      <w:r>
        <w:rPr>
          <w:rFonts w:ascii="Times New Roman" w:hAnsi="Times New Roman" w:eastAsia="仿宋_GB2312"/>
          <w:color w:val="auto"/>
          <w:sz w:val="24"/>
          <w:szCs w:val="24"/>
        </w:rPr>
        <w:t>由申请人负责。</w:t>
      </w:r>
    </w:p>
    <w:p>
      <w:pPr>
        <w:keepNext w:val="0"/>
        <w:keepLines w:val="0"/>
        <w:pageBreakBefore w:val="0"/>
        <w:widowControl w:val="0"/>
        <w:kinsoku/>
        <w:wordWrap/>
        <w:overflowPunct w:val="0"/>
        <w:topLinePunct w:val="0"/>
        <w:autoSpaceDN/>
        <w:bidi w:val="0"/>
        <w:adjustRightInd w:val="0"/>
        <w:snapToGrid w:val="0"/>
        <w:spacing w:line="500" w:lineRule="exact"/>
        <w:jc w:val="both"/>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br w:type="page"/>
      </w:r>
    </w:p>
    <w:p>
      <w:pPr>
        <w:keepNext w:val="0"/>
        <w:keepLines w:val="0"/>
        <w:pageBreakBefore w:val="0"/>
        <w:widowControl w:val="0"/>
        <w:kinsoku/>
        <w:wordWrap/>
        <w:overflowPunct w:val="0"/>
        <w:topLinePunct w:val="0"/>
        <w:autoSpaceDN/>
        <w:bidi w:val="0"/>
        <w:adjustRightInd w:val="0"/>
        <w:snapToGrid w:val="0"/>
        <w:spacing w:line="500" w:lineRule="exact"/>
        <w:jc w:val="left"/>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附</w:t>
      </w:r>
      <w:r>
        <w:rPr>
          <w:rFonts w:hint="eastAsia" w:ascii="黑体" w:hAnsi="黑体" w:eastAsia="黑体" w:cs="黑体"/>
          <w:color w:val="auto"/>
          <w:kern w:val="0"/>
          <w:sz w:val="32"/>
          <w:szCs w:val="32"/>
          <w:lang w:val="en-US" w:eastAsia="zh-CN"/>
        </w:rPr>
        <w:t>6</w:t>
      </w:r>
    </w:p>
    <w:p>
      <w:pPr>
        <w:keepNext w:val="0"/>
        <w:keepLines w:val="0"/>
        <w:pageBreakBefore w:val="0"/>
        <w:widowControl w:val="0"/>
        <w:kinsoku/>
        <w:wordWrap/>
        <w:overflowPunct w:val="0"/>
        <w:topLinePunct w:val="0"/>
        <w:autoSpaceDN/>
        <w:bidi w:val="0"/>
        <w:adjustRightInd w:val="0"/>
        <w:snapToGrid w:val="0"/>
        <w:spacing w:line="560" w:lineRule="exact"/>
        <w:textAlignment w:val="auto"/>
        <w:rPr>
          <w:rFonts w:ascii="Times New Roman" w:hAnsi="Times New Roman" w:eastAsia="黑体"/>
          <w:color w:val="auto"/>
          <w:kern w:val="0"/>
          <w:sz w:val="32"/>
          <w:szCs w:val="32"/>
        </w:rPr>
      </w:pPr>
    </w:p>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Times New Roman" w:hAnsi="Times New Roman" w:eastAsia="方正小标宋简体"/>
          <w:color w:val="auto"/>
          <w:sz w:val="44"/>
          <w:szCs w:val="44"/>
        </w:rPr>
      </w:pPr>
      <w:r>
        <w:rPr>
          <w:rFonts w:ascii="Times New Roman" w:hAnsi="Times New Roman" w:eastAsia="方正小标宋简体"/>
          <w:b/>
          <w:bCs/>
          <w:color w:val="auto"/>
          <w:kern w:val="0"/>
          <w:sz w:val="44"/>
          <w:szCs w:val="44"/>
        </w:rPr>
        <w:t>XX</w:t>
      </w:r>
      <w:r>
        <w:rPr>
          <w:rFonts w:ascii="Times New Roman" w:hAnsi="Times New Roman" w:eastAsia="方正小标宋简体"/>
          <w:color w:val="auto"/>
          <w:sz w:val="44"/>
          <w:szCs w:val="44"/>
        </w:rPr>
        <w:t>省（区、市）药品监督管理局</w:t>
      </w:r>
    </w:p>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Times New Roman" w:hAnsi="Times New Roman" w:eastAsia="方正小标宋简体"/>
          <w:color w:val="auto"/>
          <w:sz w:val="44"/>
          <w:szCs w:val="44"/>
        </w:rPr>
      </w:pPr>
      <w:r>
        <w:rPr>
          <w:rFonts w:ascii="Times New Roman" w:hAnsi="Times New Roman" w:eastAsia="方正小标宋简体"/>
          <w:color w:val="auto"/>
          <w:sz w:val="44"/>
          <w:szCs w:val="44"/>
        </w:rPr>
        <w:t>医疗器械产品分类界定申请告知书</w:t>
      </w:r>
    </w:p>
    <w:p>
      <w:pPr>
        <w:keepNext w:val="0"/>
        <w:keepLines w:val="0"/>
        <w:pageBreakBefore w:val="0"/>
        <w:widowControl w:val="0"/>
        <w:kinsoku/>
        <w:wordWrap/>
        <w:overflowPunct w:val="0"/>
        <w:topLinePunct w:val="0"/>
        <w:autoSpaceDN/>
        <w:bidi w:val="0"/>
        <w:adjustRightInd w:val="0"/>
        <w:snapToGrid w:val="0"/>
        <w:spacing w:line="560" w:lineRule="exact"/>
        <w:jc w:val="left"/>
        <w:textAlignment w:val="auto"/>
        <w:rPr>
          <w:rFonts w:ascii="楷体_GB2312" w:hAnsi="楷体_GB2312" w:eastAsia="楷体_GB2312" w:cs="楷体_GB2312"/>
          <w:color w:val="auto"/>
          <w:sz w:val="32"/>
          <w:szCs w:val="32"/>
        </w:rPr>
      </w:pPr>
    </w:p>
    <w:p>
      <w:pPr>
        <w:keepNext w:val="0"/>
        <w:keepLines w:val="0"/>
        <w:pageBreakBefore w:val="0"/>
        <w:widowControl w:val="0"/>
        <w:kinsoku/>
        <w:wordWrap/>
        <w:overflowPunct w:val="0"/>
        <w:topLinePunct w:val="0"/>
        <w:autoSpaceDN/>
        <w:bidi w:val="0"/>
        <w:adjustRightInd w:val="0"/>
        <w:snapToGrid w:val="0"/>
        <w:spacing w:line="560" w:lineRule="exact"/>
        <w:jc w:val="left"/>
        <w:textAlignment w:val="auto"/>
        <w:rPr>
          <w:rFonts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受理编号：                             告知号：</w:t>
      </w:r>
    </w:p>
    <w:tbl>
      <w:tblPr>
        <w:tblStyle w:val="6"/>
        <w:tblW w:w="9960" w:type="dxa"/>
        <w:tblInd w:w="-553" w:type="dxa"/>
        <w:tblLayout w:type="fixed"/>
        <w:tblCellMar>
          <w:top w:w="0" w:type="dxa"/>
          <w:left w:w="108" w:type="dxa"/>
          <w:bottom w:w="0" w:type="dxa"/>
          <w:right w:w="108" w:type="dxa"/>
        </w:tblCellMar>
      </w:tblPr>
      <w:tblGrid>
        <w:gridCol w:w="2805"/>
        <w:gridCol w:w="2148"/>
        <w:gridCol w:w="2078"/>
        <w:gridCol w:w="1532"/>
        <w:gridCol w:w="1397"/>
      </w:tblGrid>
      <w:tr>
        <w:tblPrEx>
          <w:tblCellMar>
            <w:top w:w="0" w:type="dxa"/>
            <w:left w:w="108" w:type="dxa"/>
            <w:bottom w:w="0" w:type="dxa"/>
            <w:right w:w="108" w:type="dxa"/>
          </w:tblCellMar>
        </w:tblPrEx>
        <w:trPr>
          <w:trHeight w:val="90" w:hRule="atLeast"/>
        </w:trPr>
        <w:tc>
          <w:tcPr>
            <w:tcW w:w="280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500" w:lineRule="atLeast"/>
              <w:jc w:val="center"/>
              <w:textAlignment w:val="auto"/>
              <w:rPr>
                <w:rFonts w:ascii="黑体" w:hAnsi="黑体" w:eastAsia="黑体" w:cs="黑体"/>
                <w:color w:val="auto"/>
                <w:sz w:val="28"/>
                <w:szCs w:val="28"/>
              </w:rPr>
            </w:pPr>
            <w:r>
              <w:rPr>
                <w:rFonts w:hint="eastAsia" w:ascii="黑体" w:hAnsi="黑体" w:eastAsia="黑体" w:cs="黑体"/>
                <w:color w:val="auto"/>
                <w:kern w:val="0"/>
                <w:sz w:val="28"/>
                <w:szCs w:val="28"/>
              </w:rPr>
              <w:t>申请分类的产品名称</w:t>
            </w:r>
          </w:p>
        </w:tc>
        <w:tc>
          <w:tcPr>
            <w:tcW w:w="7155" w:type="dxa"/>
            <w:gridSpan w:val="4"/>
            <w:tcBorders>
              <w:top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500" w:lineRule="atLeast"/>
              <w:jc w:val="left"/>
              <w:textAlignment w:val="auto"/>
              <w:rPr>
                <w:rFonts w:ascii="Times New Roman" w:hAnsi="Times New Roman" w:eastAsia="仿宋_GB2312"/>
                <w:color w:val="auto"/>
                <w:sz w:val="28"/>
                <w:szCs w:val="28"/>
              </w:rPr>
            </w:pPr>
          </w:p>
        </w:tc>
      </w:tr>
      <w:tr>
        <w:tblPrEx>
          <w:tblCellMar>
            <w:top w:w="0" w:type="dxa"/>
            <w:left w:w="108" w:type="dxa"/>
            <w:bottom w:w="0" w:type="dxa"/>
            <w:right w:w="108" w:type="dxa"/>
          </w:tblCellMar>
        </w:tblPrEx>
        <w:trPr>
          <w:trHeight w:val="559" w:hRule="atLeast"/>
        </w:trPr>
        <w:tc>
          <w:tcPr>
            <w:tcW w:w="2805" w:type="dxa"/>
            <w:vMerge w:val="restart"/>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00" w:lineRule="atLeast"/>
              <w:jc w:val="center"/>
              <w:textAlignment w:val="auto"/>
              <w:rPr>
                <w:rFonts w:ascii="黑体" w:hAnsi="黑体" w:eastAsia="黑体" w:cs="黑体"/>
                <w:color w:val="auto"/>
                <w:sz w:val="28"/>
                <w:szCs w:val="28"/>
              </w:rPr>
            </w:pPr>
            <w:r>
              <w:rPr>
                <w:rFonts w:hint="eastAsia" w:ascii="黑体" w:hAnsi="黑体" w:eastAsia="黑体" w:cs="黑体"/>
                <w:color w:val="auto"/>
                <w:kern w:val="0"/>
                <w:sz w:val="28"/>
                <w:szCs w:val="28"/>
              </w:rPr>
              <w:t>申请人信息</w:t>
            </w:r>
          </w:p>
        </w:tc>
        <w:tc>
          <w:tcPr>
            <w:tcW w:w="2148"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00" w:lineRule="atLeast"/>
              <w:jc w:val="left"/>
              <w:textAlignment w:val="auto"/>
              <w:rPr>
                <w:rFonts w:ascii="Times New Roman" w:hAnsi="Times New Roman" w:eastAsia="仿宋_GB2312"/>
                <w:color w:val="auto"/>
                <w:sz w:val="28"/>
                <w:szCs w:val="28"/>
              </w:rPr>
            </w:pPr>
            <w:r>
              <w:rPr>
                <w:rFonts w:ascii="Times New Roman" w:hAnsi="Times New Roman" w:eastAsia="仿宋_GB2312"/>
                <w:color w:val="auto"/>
                <w:kern w:val="0"/>
                <w:sz w:val="28"/>
                <w:szCs w:val="28"/>
              </w:rPr>
              <w:t>申请人名称</w:t>
            </w:r>
          </w:p>
        </w:tc>
        <w:tc>
          <w:tcPr>
            <w:tcW w:w="5007" w:type="dxa"/>
            <w:gridSpan w:val="3"/>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00" w:lineRule="atLeast"/>
              <w:jc w:val="left"/>
              <w:textAlignment w:val="auto"/>
              <w:rPr>
                <w:rFonts w:ascii="Times New Roman" w:hAnsi="Times New Roman" w:eastAsia="仿宋_GB2312"/>
                <w:color w:val="auto"/>
                <w:sz w:val="28"/>
                <w:szCs w:val="28"/>
              </w:rPr>
            </w:pPr>
          </w:p>
        </w:tc>
      </w:tr>
      <w:tr>
        <w:tblPrEx>
          <w:tblCellMar>
            <w:top w:w="0" w:type="dxa"/>
            <w:left w:w="108" w:type="dxa"/>
            <w:bottom w:w="0" w:type="dxa"/>
            <w:right w:w="108" w:type="dxa"/>
          </w:tblCellMar>
        </w:tblPrEx>
        <w:trPr>
          <w:trHeight w:val="559" w:hRule="atLeast"/>
        </w:trPr>
        <w:tc>
          <w:tcPr>
            <w:tcW w:w="280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00" w:lineRule="atLeast"/>
              <w:jc w:val="left"/>
              <w:textAlignment w:val="auto"/>
              <w:rPr>
                <w:rFonts w:ascii="黑体" w:hAnsi="黑体" w:eastAsia="黑体" w:cs="黑体"/>
                <w:color w:val="auto"/>
                <w:sz w:val="28"/>
                <w:szCs w:val="28"/>
              </w:rPr>
            </w:pPr>
          </w:p>
        </w:tc>
        <w:tc>
          <w:tcPr>
            <w:tcW w:w="2148"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00" w:lineRule="atLeast"/>
              <w:jc w:val="left"/>
              <w:textAlignment w:val="auto"/>
              <w:rPr>
                <w:rFonts w:ascii="Times New Roman" w:hAnsi="Times New Roman" w:eastAsia="仿宋_GB2312"/>
                <w:color w:val="auto"/>
                <w:sz w:val="28"/>
                <w:szCs w:val="28"/>
              </w:rPr>
            </w:pPr>
            <w:r>
              <w:rPr>
                <w:rFonts w:ascii="Times New Roman" w:hAnsi="Times New Roman" w:eastAsia="仿宋_GB2312"/>
                <w:color w:val="auto"/>
                <w:kern w:val="0"/>
                <w:sz w:val="28"/>
                <w:szCs w:val="28"/>
              </w:rPr>
              <w:t>申请人地址</w:t>
            </w:r>
          </w:p>
        </w:tc>
        <w:tc>
          <w:tcPr>
            <w:tcW w:w="5007" w:type="dxa"/>
            <w:gridSpan w:val="3"/>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00" w:lineRule="atLeast"/>
              <w:jc w:val="left"/>
              <w:textAlignment w:val="auto"/>
              <w:rPr>
                <w:rFonts w:ascii="Times New Roman" w:hAnsi="Times New Roman" w:eastAsia="仿宋_GB2312"/>
                <w:color w:val="auto"/>
                <w:sz w:val="28"/>
                <w:szCs w:val="28"/>
              </w:rPr>
            </w:pPr>
          </w:p>
        </w:tc>
      </w:tr>
      <w:tr>
        <w:tblPrEx>
          <w:tblCellMar>
            <w:top w:w="0" w:type="dxa"/>
            <w:left w:w="108" w:type="dxa"/>
            <w:bottom w:w="0" w:type="dxa"/>
            <w:right w:w="108" w:type="dxa"/>
          </w:tblCellMar>
        </w:tblPrEx>
        <w:trPr>
          <w:trHeight w:val="559" w:hRule="atLeast"/>
        </w:trPr>
        <w:tc>
          <w:tcPr>
            <w:tcW w:w="280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00" w:lineRule="atLeast"/>
              <w:jc w:val="left"/>
              <w:textAlignment w:val="auto"/>
              <w:rPr>
                <w:rFonts w:ascii="黑体" w:hAnsi="黑体" w:eastAsia="黑体" w:cs="黑体"/>
                <w:color w:val="auto"/>
                <w:sz w:val="28"/>
                <w:szCs w:val="28"/>
              </w:rPr>
            </w:pPr>
          </w:p>
        </w:tc>
        <w:tc>
          <w:tcPr>
            <w:tcW w:w="2148"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00" w:lineRule="atLeast"/>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联系人</w:t>
            </w:r>
          </w:p>
        </w:tc>
        <w:tc>
          <w:tcPr>
            <w:tcW w:w="2078"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00" w:lineRule="atLeast"/>
              <w:jc w:val="left"/>
              <w:textAlignment w:val="auto"/>
              <w:rPr>
                <w:rFonts w:ascii="Times New Roman" w:hAnsi="Times New Roman" w:eastAsia="仿宋_GB2312"/>
                <w:color w:val="auto"/>
                <w:kern w:val="0"/>
                <w:sz w:val="28"/>
                <w:szCs w:val="28"/>
              </w:rPr>
            </w:pPr>
          </w:p>
        </w:tc>
        <w:tc>
          <w:tcPr>
            <w:tcW w:w="1532"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00" w:lineRule="atLeast"/>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联系电话</w:t>
            </w:r>
          </w:p>
        </w:tc>
        <w:tc>
          <w:tcPr>
            <w:tcW w:w="1397"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00" w:lineRule="atLeast"/>
              <w:jc w:val="left"/>
              <w:textAlignment w:val="auto"/>
              <w:rPr>
                <w:rFonts w:ascii="Times New Roman" w:hAnsi="Times New Roman" w:eastAsia="仿宋_GB2312"/>
                <w:color w:val="auto"/>
                <w:kern w:val="0"/>
                <w:sz w:val="28"/>
                <w:szCs w:val="28"/>
              </w:rPr>
            </w:pPr>
          </w:p>
        </w:tc>
      </w:tr>
      <w:tr>
        <w:tblPrEx>
          <w:tblCellMar>
            <w:top w:w="0" w:type="dxa"/>
            <w:left w:w="108" w:type="dxa"/>
            <w:bottom w:w="0" w:type="dxa"/>
            <w:right w:w="108" w:type="dxa"/>
          </w:tblCellMar>
        </w:tblPrEx>
        <w:trPr>
          <w:trHeight w:val="559" w:hRule="atLeast"/>
        </w:trPr>
        <w:tc>
          <w:tcPr>
            <w:tcW w:w="280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00" w:lineRule="atLeast"/>
              <w:jc w:val="left"/>
              <w:textAlignment w:val="auto"/>
              <w:rPr>
                <w:rFonts w:ascii="黑体" w:hAnsi="黑体" w:eastAsia="黑体" w:cs="黑体"/>
                <w:color w:val="auto"/>
                <w:sz w:val="28"/>
                <w:szCs w:val="28"/>
              </w:rPr>
            </w:pPr>
          </w:p>
        </w:tc>
        <w:tc>
          <w:tcPr>
            <w:tcW w:w="2148"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00" w:lineRule="atLeast"/>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手机</w:t>
            </w:r>
          </w:p>
        </w:tc>
        <w:tc>
          <w:tcPr>
            <w:tcW w:w="2078"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00" w:lineRule="atLeast"/>
              <w:jc w:val="left"/>
              <w:textAlignment w:val="auto"/>
              <w:rPr>
                <w:rFonts w:ascii="Times New Roman" w:hAnsi="Times New Roman" w:eastAsia="仿宋_GB2312"/>
                <w:color w:val="auto"/>
                <w:kern w:val="0"/>
                <w:sz w:val="28"/>
                <w:szCs w:val="28"/>
              </w:rPr>
            </w:pPr>
          </w:p>
        </w:tc>
        <w:tc>
          <w:tcPr>
            <w:tcW w:w="1532"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00" w:lineRule="atLeast"/>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E-mail</w:t>
            </w:r>
          </w:p>
        </w:tc>
        <w:tc>
          <w:tcPr>
            <w:tcW w:w="1397"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00" w:lineRule="atLeast"/>
              <w:jc w:val="left"/>
              <w:textAlignment w:val="auto"/>
              <w:rPr>
                <w:rFonts w:ascii="Times New Roman" w:hAnsi="Times New Roman" w:eastAsia="仿宋_GB2312"/>
                <w:color w:val="auto"/>
                <w:kern w:val="0"/>
                <w:sz w:val="28"/>
                <w:szCs w:val="28"/>
              </w:rPr>
            </w:pPr>
          </w:p>
        </w:tc>
      </w:tr>
      <w:tr>
        <w:tblPrEx>
          <w:tblCellMar>
            <w:top w:w="0" w:type="dxa"/>
            <w:left w:w="108" w:type="dxa"/>
            <w:bottom w:w="0" w:type="dxa"/>
            <w:right w:w="108" w:type="dxa"/>
          </w:tblCellMar>
        </w:tblPrEx>
        <w:trPr>
          <w:trHeight w:val="559" w:hRule="atLeast"/>
        </w:trPr>
        <w:tc>
          <w:tcPr>
            <w:tcW w:w="280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00" w:lineRule="atLeast"/>
              <w:jc w:val="left"/>
              <w:textAlignment w:val="auto"/>
              <w:rPr>
                <w:rFonts w:ascii="黑体" w:hAnsi="黑体" w:eastAsia="黑体" w:cs="黑体"/>
                <w:color w:val="auto"/>
                <w:sz w:val="28"/>
                <w:szCs w:val="28"/>
              </w:rPr>
            </w:pPr>
          </w:p>
        </w:tc>
        <w:tc>
          <w:tcPr>
            <w:tcW w:w="2148"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00" w:lineRule="atLeast"/>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传真</w:t>
            </w:r>
          </w:p>
        </w:tc>
        <w:tc>
          <w:tcPr>
            <w:tcW w:w="2078"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00" w:lineRule="atLeast"/>
              <w:jc w:val="left"/>
              <w:textAlignment w:val="auto"/>
              <w:rPr>
                <w:rFonts w:ascii="Times New Roman" w:hAnsi="Times New Roman" w:eastAsia="仿宋_GB2312"/>
                <w:color w:val="auto"/>
                <w:kern w:val="0"/>
                <w:sz w:val="28"/>
                <w:szCs w:val="28"/>
              </w:rPr>
            </w:pPr>
          </w:p>
        </w:tc>
        <w:tc>
          <w:tcPr>
            <w:tcW w:w="1532"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00" w:lineRule="atLeast"/>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其他</w:t>
            </w:r>
          </w:p>
        </w:tc>
        <w:tc>
          <w:tcPr>
            <w:tcW w:w="1397"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00" w:lineRule="atLeast"/>
              <w:jc w:val="left"/>
              <w:textAlignment w:val="auto"/>
              <w:rPr>
                <w:rFonts w:ascii="Times New Roman" w:hAnsi="Times New Roman" w:eastAsia="仿宋_GB2312"/>
                <w:color w:val="auto"/>
                <w:kern w:val="0"/>
                <w:sz w:val="28"/>
                <w:szCs w:val="28"/>
              </w:rPr>
            </w:pPr>
          </w:p>
        </w:tc>
      </w:tr>
      <w:tr>
        <w:tblPrEx>
          <w:tblCellMar>
            <w:top w:w="0" w:type="dxa"/>
            <w:left w:w="108" w:type="dxa"/>
            <w:bottom w:w="0" w:type="dxa"/>
            <w:right w:w="108" w:type="dxa"/>
          </w:tblCellMar>
        </w:tblPrEx>
        <w:trPr>
          <w:trHeight w:val="559" w:hRule="atLeast"/>
        </w:trPr>
        <w:tc>
          <w:tcPr>
            <w:tcW w:w="2805" w:type="dxa"/>
            <w:vMerge w:val="restart"/>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00" w:lineRule="atLeast"/>
              <w:jc w:val="center"/>
              <w:textAlignment w:val="auto"/>
              <w:rPr>
                <w:rFonts w:ascii="黑体" w:hAnsi="黑体" w:eastAsia="黑体" w:cs="黑体"/>
                <w:color w:val="auto"/>
                <w:sz w:val="28"/>
                <w:szCs w:val="28"/>
              </w:rPr>
            </w:pPr>
            <w:r>
              <w:rPr>
                <w:rFonts w:hint="eastAsia" w:ascii="黑体" w:hAnsi="黑体" w:eastAsia="黑体" w:cs="黑体"/>
                <w:color w:val="auto"/>
                <w:kern w:val="0"/>
                <w:sz w:val="28"/>
                <w:szCs w:val="28"/>
              </w:rPr>
              <w:t>产品信息</w:t>
            </w:r>
          </w:p>
        </w:tc>
        <w:tc>
          <w:tcPr>
            <w:tcW w:w="7155" w:type="dxa"/>
            <w:gridSpan w:val="4"/>
            <w:tcBorders>
              <w:top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500" w:lineRule="atLeast"/>
              <w:jc w:val="left"/>
              <w:textAlignment w:val="auto"/>
              <w:rPr>
                <w:rFonts w:ascii="Times New Roman" w:hAnsi="Times New Roman" w:eastAsia="仿宋_GB2312"/>
                <w:color w:val="auto"/>
                <w:sz w:val="28"/>
                <w:szCs w:val="28"/>
              </w:rPr>
            </w:pPr>
            <w:r>
              <w:rPr>
                <w:rFonts w:ascii="Times New Roman" w:hAnsi="Times New Roman" w:eastAsia="仿宋_GB2312"/>
                <w:color w:val="auto"/>
                <w:kern w:val="0"/>
                <w:sz w:val="28"/>
                <w:szCs w:val="28"/>
              </w:rPr>
              <w:t>产品名称：</w:t>
            </w:r>
          </w:p>
        </w:tc>
      </w:tr>
      <w:tr>
        <w:tblPrEx>
          <w:tblCellMar>
            <w:top w:w="0" w:type="dxa"/>
            <w:left w:w="108" w:type="dxa"/>
            <w:bottom w:w="0" w:type="dxa"/>
            <w:right w:w="108" w:type="dxa"/>
          </w:tblCellMar>
        </w:tblPrEx>
        <w:trPr>
          <w:trHeight w:val="559" w:hRule="atLeast"/>
        </w:trPr>
        <w:tc>
          <w:tcPr>
            <w:tcW w:w="280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00" w:lineRule="atLeast"/>
              <w:jc w:val="left"/>
              <w:textAlignment w:val="auto"/>
              <w:rPr>
                <w:rFonts w:ascii="黑体" w:hAnsi="黑体" w:eastAsia="黑体" w:cs="黑体"/>
                <w:color w:val="auto"/>
                <w:sz w:val="28"/>
                <w:szCs w:val="28"/>
              </w:rPr>
            </w:pPr>
          </w:p>
        </w:tc>
        <w:tc>
          <w:tcPr>
            <w:tcW w:w="7155" w:type="dxa"/>
            <w:gridSpan w:val="4"/>
            <w:tcBorders>
              <w:top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500" w:lineRule="atLeast"/>
              <w:jc w:val="left"/>
              <w:textAlignment w:val="auto"/>
              <w:rPr>
                <w:rFonts w:ascii="Times New Roman" w:hAnsi="Times New Roman" w:eastAsia="仿宋_GB2312"/>
                <w:color w:val="auto"/>
                <w:sz w:val="28"/>
                <w:szCs w:val="28"/>
              </w:rPr>
            </w:pPr>
            <w:r>
              <w:rPr>
                <w:rFonts w:ascii="Times New Roman" w:hAnsi="Times New Roman" w:eastAsia="仿宋_GB2312"/>
                <w:color w:val="auto"/>
                <w:kern w:val="0"/>
                <w:sz w:val="28"/>
                <w:szCs w:val="28"/>
              </w:rPr>
              <w:t>产品描述：</w:t>
            </w:r>
          </w:p>
        </w:tc>
      </w:tr>
      <w:tr>
        <w:tblPrEx>
          <w:tblCellMar>
            <w:top w:w="0" w:type="dxa"/>
            <w:left w:w="108" w:type="dxa"/>
            <w:bottom w:w="0" w:type="dxa"/>
            <w:right w:w="108" w:type="dxa"/>
          </w:tblCellMar>
        </w:tblPrEx>
        <w:trPr>
          <w:trHeight w:val="559" w:hRule="atLeast"/>
        </w:trPr>
        <w:tc>
          <w:tcPr>
            <w:tcW w:w="280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00" w:lineRule="atLeast"/>
              <w:jc w:val="left"/>
              <w:textAlignment w:val="auto"/>
              <w:rPr>
                <w:rFonts w:ascii="黑体" w:hAnsi="黑体" w:eastAsia="黑体" w:cs="黑体"/>
                <w:color w:val="auto"/>
                <w:sz w:val="28"/>
                <w:szCs w:val="28"/>
              </w:rPr>
            </w:pPr>
          </w:p>
        </w:tc>
        <w:tc>
          <w:tcPr>
            <w:tcW w:w="7155" w:type="dxa"/>
            <w:gridSpan w:val="4"/>
            <w:tcBorders>
              <w:top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500" w:lineRule="atLeast"/>
              <w:jc w:val="left"/>
              <w:textAlignment w:val="auto"/>
              <w:rPr>
                <w:rFonts w:ascii="Times New Roman" w:hAnsi="Times New Roman" w:eastAsia="仿宋_GB2312"/>
                <w:color w:val="auto"/>
                <w:sz w:val="28"/>
                <w:szCs w:val="28"/>
              </w:rPr>
            </w:pPr>
            <w:r>
              <w:rPr>
                <w:rFonts w:ascii="Times New Roman" w:hAnsi="Times New Roman" w:eastAsia="仿宋_GB2312"/>
                <w:color w:val="auto"/>
                <w:kern w:val="0"/>
                <w:sz w:val="28"/>
                <w:szCs w:val="28"/>
              </w:rPr>
              <w:t>预期用途：</w:t>
            </w:r>
          </w:p>
        </w:tc>
      </w:tr>
      <w:tr>
        <w:tblPrEx>
          <w:tblCellMar>
            <w:top w:w="0" w:type="dxa"/>
            <w:left w:w="108" w:type="dxa"/>
            <w:bottom w:w="0" w:type="dxa"/>
            <w:right w:w="108" w:type="dxa"/>
          </w:tblCellMar>
        </w:tblPrEx>
        <w:trPr>
          <w:trHeight w:val="548" w:hRule="atLeast"/>
        </w:trPr>
        <w:tc>
          <w:tcPr>
            <w:tcW w:w="28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500" w:lineRule="atLeast"/>
              <w:jc w:val="center"/>
              <w:textAlignment w:val="auto"/>
              <w:rPr>
                <w:rFonts w:ascii="黑体" w:hAnsi="黑体" w:eastAsia="黑体" w:cs="黑体"/>
                <w:color w:val="auto"/>
                <w:sz w:val="28"/>
                <w:szCs w:val="28"/>
              </w:rPr>
            </w:pPr>
            <w:r>
              <w:rPr>
                <w:rFonts w:hint="eastAsia" w:ascii="黑体" w:hAnsi="黑体" w:eastAsia="黑体" w:cs="黑体"/>
                <w:color w:val="auto"/>
                <w:kern w:val="0"/>
                <w:sz w:val="28"/>
                <w:szCs w:val="28"/>
              </w:rPr>
              <w:t>告知内容</w:t>
            </w:r>
          </w:p>
        </w:tc>
        <w:tc>
          <w:tcPr>
            <w:tcW w:w="7155" w:type="dxa"/>
            <w:gridSpan w:val="4"/>
            <w:tcBorders>
              <w:top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500" w:lineRule="atLeast"/>
              <w:jc w:val="left"/>
              <w:textAlignment w:val="auto"/>
              <w:rPr>
                <w:rFonts w:ascii="Times New Roman" w:hAnsi="Times New Roman" w:eastAsia="仿宋_GB2312"/>
                <w:color w:val="auto"/>
                <w:sz w:val="28"/>
                <w:szCs w:val="28"/>
              </w:rPr>
            </w:pPr>
            <w:r>
              <w:rPr>
                <w:rFonts w:ascii="Times New Roman" w:hAnsi="Times New Roman" w:eastAsia="仿宋_GB2312"/>
                <w:color w:val="auto"/>
                <w:kern w:val="0"/>
                <w:sz w:val="28"/>
                <w:szCs w:val="28"/>
              </w:rPr>
              <w:t>根据你单位提交的分类界定申请资料，依据国家药品监督管理局相关文件，该产品按xx管理，类别为x x；分类编码为：x x- x x。</w:t>
            </w:r>
          </w:p>
        </w:tc>
      </w:tr>
    </w:tbl>
    <w:p>
      <w:pPr>
        <w:keepNext w:val="0"/>
        <w:keepLines w:val="0"/>
        <w:pageBreakBefore w:val="0"/>
        <w:widowControl w:val="0"/>
        <w:kinsoku/>
        <w:wordWrap/>
        <w:overflowPunct w:val="0"/>
        <w:topLinePunct w:val="0"/>
        <w:autoSpaceDN/>
        <w:bidi w:val="0"/>
        <w:adjustRightInd w:val="0"/>
        <w:snapToGrid w:val="0"/>
        <w:spacing w:line="500" w:lineRule="exact"/>
        <w:jc w:val="both"/>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注：</w:t>
      </w:r>
      <w:r>
        <w:rPr>
          <w:rFonts w:hint="eastAsia" w:ascii="Times New Roman" w:hAnsi="Times New Roman" w:eastAsia="仿宋_GB2312"/>
          <w:color w:val="auto"/>
          <w:sz w:val="24"/>
          <w:szCs w:val="24"/>
        </w:rPr>
        <w:t>1.本</w:t>
      </w:r>
      <w:r>
        <w:rPr>
          <w:rFonts w:ascii="Times New Roman" w:hAnsi="Times New Roman" w:eastAsia="仿宋_GB2312"/>
          <w:color w:val="auto"/>
          <w:sz w:val="24"/>
          <w:szCs w:val="24"/>
        </w:rPr>
        <w:t>产品的分类界定技术建议提出的依据是《医疗器械监督管理条例》《医疗器械分类规则》《体外诊断试剂分类规则》《医疗器械分类目录》《第一类医疗器械产品目录》《体外诊断试剂分类子目录》及国家药品监督管理局发布的分类界定</w:t>
      </w:r>
      <w:r>
        <w:rPr>
          <w:rFonts w:hint="eastAsia" w:ascii="Times New Roman" w:hAnsi="Times New Roman" w:eastAsia="仿宋_GB2312"/>
          <w:color w:val="auto"/>
          <w:sz w:val="24"/>
          <w:szCs w:val="24"/>
        </w:rPr>
        <w:t>指导原则</w:t>
      </w:r>
      <w:r>
        <w:rPr>
          <w:rFonts w:ascii="Times New Roman" w:hAnsi="Times New Roman" w:eastAsia="仿宋_GB2312"/>
          <w:color w:val="auto"/>
          <w:sz w:val="24"/>
          <w:szCs w:val="24"/>
        </w:rPr>
        <w:t>等文件。</w:t>
      </w:r>
    </w:p>
    <w:p>
      <w:pPr>
        <w:keepNext w:val="0"/>
        <w:keepLines w:val="0"/>
        <w:pageBreakBefore w:val="0"/>
        <w:widowControl w:val="0"/>
        <w:kinsoku/>
        <w:wordWrap/>
        <w:overflowPunct w:val="0"/>
        <w:topLinePunct w:val="0"/>
        <w:autoSpaceDE w:val="0"/>
        <w:autoSpaceDN/>
        <w:bidi w:val="0"/>
        <w:adjustRightInd w:val="0"/>
        <w:snapToGrid w:val="0"/>
        <w:spacing w:line="500" w:lineRule="exact"/>
        <w:jc w:val="both"/>
        <w:textAlignment w:val="auto"/>
        <w:rPr>
          <w:rFonts w:ascii="Times New Roman" w:hAnsi="Times New Roman" w:eastAsia="仿宋_GB2312"/>
          <w:color w:val="auto"/>
          <w:sz w:val="24"/>
          <w:szCs w:val="24"/>
        </w:rPr>
      </w:pPr>
      <w:r>
        <w:rPr>
          <w:rFonts w:hint="eastAsia" w:ascii="Times New Roman" w:hAnsi="Times New Roman" w:eastAsia="仿宋_GB2312"/>
          <w:color w:val="auto"/>
          <w:sz w:val="24"/>
          <w:szCs w:val="24"/>
        </w:rPr>
        <w:t>2.</w:t>
      </w:r>
      <w:r>
        <w:rPr>
          <w:rFonts w:ascii="Times New Roman" w:hAnsi="Times New Roman" w:eastAsia="仿宋_GB2312"/>
          <w:color w:val="auto"/>
          <w:sz w:val="24"/>
          <w:szCs w:val="24"/>
        </w:rPr>
        <w:t>本告知书的结果是依据现有医疗器械管理政策，根据申请人提供的资料做出，作为本产品技术审评和备案的参考，不作为其他用途。</w:t>
      </w:r>
    </w:p>
    <w:p>
      <w:pPr>
        <w:keepNext w:val="0"/>
        <w:keepLines w:val="0"/>
        <w:pageBreakBefore w:val="0"/>
        <w:widowControl w:val="0"/>
        <w:kinsoku/>
        <w:wordWrap/>
        <w:overflowPunct w:val="0"/>
        <w:topLinePunct w:val="0"/>
        <w:autoSpaceDN/>
        <w:bidi w:val="0"/>
        <w:adjustRightInd w:val="0"/>
        <w:snapToGrid w:val="0"/>
        <w:spacing w:line="500" w:lineRule="exact"/>
        <w:jc w:val="both"/>
        <w:textAlignment w:val="auto"/>
        <w:rPr>
          <w:rFonts w:ascii="Times New Roman" w:hAnsi="Times New Roman" w:eastAsia="仿宋_GB2312"/>
          <w:color w:val="auto"/>
          <w:sz w:val="24"/>
          <w:szCs w:val="24"/>
        </w:rPr>
      </w:pPr>
      <w:r>
        <w:rPr>
          <w:rFonts w:hint="eastAsia" w:ascii="Times New Roman" w:hAnsi="Times New Roman" w:eastAsia="仿宋_GB2312"/>
          <w:color w:val="auto"/>
          <w:sz w:val="24"/>
          <w:szCs w:val="24"/>
        </w:rPr>
        <w:t>3.</w:t>
      </w:r>
      <w:r>
        <w:rPr>
          <w:rFonts w:ascii="Times New Roman" w:hAnsi="Times New Roman" w:eastAsia="仿宋_GB2312"/>
          <w:color w:val="auto"/>
          <w:sz w:val="24"/>
          <w:szCs w:val="24"/>
        </w:rPr>
        <w:t>本告知书需配合分类界定信息系统内资料信息使用。</w:t>
      </w:r>
    </w:p>
    <w:p>
      <w:pPr>
        <w:keepNext w:val="0"/>
        <w:keepLines w:val="0"/>
        <w:pageBreakBefore w:val="0"/>
        <w:widowControl w:val="0"/>
        <w:kinsoku/>
        <w:wordWrap/>
        <w:overflowPunct w:val="0"/>
        <w:topLinePunct w:val="0"/>
        <w:autoSpaceDE w:val="0"/>
        <w:autoSpaceDN/>
        <w:bidi w:val="0"/>
        <w:adjustRightInd w:val="0"/>
        <w:snapToGrid w:val="0"/>
        <w:spacing w:line="500" w:lineRule="exact"/>
        <w:jc w:val="both"/>
        <w:textAlignment w:val="auto"/>
        <w:rPr>
          <w:rFonts w:ascii="Times New Roman" w:hAnsi="Times New Roman" w:eastAsia="仿宋_GB2312"/>
          <w:color w:val="auto"/>
          <w:sz w:val="24"/>
          <w:szCs w:val="24"/>
        </w:rPr>
      </w:pPr>
      <w:r>
        <w:rPr>
          <w:rFonts w:hint="eastAsia" w:ascii="Times New Roman" w:hAnsi="Times New Roman" w:eastAsia="仿宋_GB2312"/>
          <w:color w:val="auto"/>
          <w:sz w:val="24"/>
          <w:szCs w:val="24"/>
        </w:rPr>
        <w:t>4.</w:t>
      </w:r>
      <w:r>
        <w:rPr>
          <w:rFonts w:ascii="Times New Roman" w:hAnsi="Times New Roman" w:eastAsia="仿宋_GB2312"/>
          <w:color w:val="auto"/>
          <w:sz w:val="24"/>
          <w:szCs w:val="24"/>
        </w:rPr>
        <w:t>本告知书所列的“产品类别”“分类代码”“产品名称”“产品描述”“预期用途”是在对</w:t>
      </w:r>
      <w:r>
        <w:rPr>
          <w:rFonts w:hint="eastAsia" w:ascii="Times New Roman" w:hAnsi="Times New Roman" w:eastAsia="仿宋_GB2312"/>
          <w:color w:val="auto"/>
          <w:sz w:val="24"/>
          <w:szCs w:val="24"/>
        </w:rPr>
        <w:t>申请人</w:t>
      </w:r>
      <w:r>
        <w:rPr>
          <w:rFonts w:ascii="Times New Roman" w:hAnsi="Times New Roman" w:eastAsia="仿宋_GB2312"/>
          <w:color w:val="auto"/>
          <w:sz w:val="24"/>
          <w:szCs w:val="24"/>
        </w:rPr>
        <w:t>提供资料进行研究的基础上归纳出的内容，不代表分类界定告知部门认可相关产品的安全有效性。分类界定申请资料的</w:t>
      </w:r>
      <w:r>
        <w:rPr>
          <w:rFonts w:hint="eastAsia" w:ascii="Times New Roman" w:hAnsi="Times New Roman" w:eastAsia="仿宋_GB2312"/>
          <w:color w:val="auto"/>
          <w:sz w:val="24"/>
          <w:szCs w:val="24"/>
        </w:rPr>
        <w:t>合法性、真实性、准确性、完整性和可追溯性</w:t>
      </w:r>
      <w:r>
        <w:rPr>
          <w:rFonts w:ascii="Times New Roman" w:hAnsi="Times New Roman" w:eastAsia="仿宋_GB2312"/>
          <w:color w:val="auto"/>
          <w:sz w:val="24"/>
          <w:szCs w:val="24"/>
        </w:rPr>
        <w:t>由申请人负责。</w:t>
      </w:r>
    </w:p>
    <w:p>
      <w:pPr>
        <w:keepNext w:val="0"/>
        <w:keepLines w:val="0"/>
        <w:pageBreakBefore w:val="0"/>
        <w:widowControl w:val="0"/>
        <w:kinsoku/>
        <w:wordWrap/>
        <w:overflowPunct w:val="0"/>
        <w:topLinePunct w:val="0"/>
        <w:autoSpaceDE w:val="0"/>
        <w:autoSpaceDN/>
        <w:bidi w:val="0"/>
        <w:adjustRightInd w:val="0"/>
        <w:snapToGrid w:val="0"/>
        <w:spacing w:line="600" w:lineRule="exact"/>
        <w:jc w:val="left"/>
        <w:textAlignment w:val="auto"/>
        <w:rPr>
          <w:rFonts w:ascii="Times New Roman" w:hAnsi="Times New Roman" w:eastAsia="仿宋_GB2312"/>
          <w:color w:val="auto"/>
          <w:sz w:val="28"/>
          <w:szCs w:val="28"/>
        </w:rPr>
      </w:pPr>
      <w:r>
        <w:rPr>
          <w:rFonts w:ascii="Times New Roman" w:hAnsi="Times New Roman"/>
          <w:color w:val="auto"/>
        </w:rPr>
        <w:br w:type="page"/>
      </w:r>
    </w:p>
    <w:p>
      <w:pPr>
        <w:keepNext w:val="0"/>
        <w:keepLines w:val="0"/>
        <w:pageBreakBefore w:val="0"/>
        <w:widowControl w:val="0"/>
        <w:kinsoku/>
        <w:wordWrap/>
        <w:overflowPunct w:val="0"/>
        <w:topLinePunct w:val="0"/>
        <w:autoSpaceDN/>
        <w:bidi w:val="0"/>
        <w:adjustRightInd w:val="0"/>
        <w:snapToGrid w:val="0"/>
        <w:spacing w:line="500" w:lineRule="exact"/>
        <w:jc w:val="left"/>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rPr>
        <w:t>附</w:t>
      </w:r>
      <w:r>
        <w:rPr>
          <w:rFonts w:hint="eastAsia" w:ascii="黑体" w:hAnsi="黑体" w:eastAsia="黑体" w:cs="黑体"/>
          <w:color w:val="auto"/>
          <w:kern w:val="0"/>
          <w:sz w:val="32"/>
          <w:szCs w:val="32"/>
          <w:lang w:val="en-US" w:eastAsia="zh-CN"/>
        </w:rPr>
        <w:t>7</w:t>
      </w:r>
    </w:p>
    <w:p>
      <w:pPr>
        <w:keepNext w:val="0"/>
        <w:keepLines w:val="0"/>
        <w:pageBreakBefore w:val="0"/>
        <w:widowControl w:val="0"/>
        <w:kinsoku/>
        <w:wordWrap/>
        <w:overflowPunct w:val="0"/>
        <w:topLinePunct w:val="0"/>
        <w:autoSpaceDN/>
        <w:bidi w:val="0"/>
        <w:adjustRightInd w:val="0"/>
        <w:snapToGrid w:val="0"/>
        <w:spacing w:line="200" w:lineRule="exact"/>
        <w:jc w:val="left"/>
        <w:textAlignment w:val="auto"/>
        <w:rPr>
          <w:rFonts w:ascii="Times New Roman" w:hAnsi="Times New Roman" w:eastAsia="黑体"/>
          <w:color w:val="auto"/>
          <w:kern w:val="0"/>
          <w:sz w:val="28"/>
          <w:szCs w:val="28"/>
        </w:rPr>
      </w:pPr>
    </w:p>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Times New Roman" w:hAnsi="Times New Roman" w:eastAsia="方正小标宋简体"/>
          <w:color w:val="auto"/>
          <w:kern w:val="0"/>
          <w:sz w:val="44"/>
          <w:szCs w:val="44"/>
        </w:rPr>
      </w:pPr>
      <w:r>
        <w:rPr>
          <w:rFonts w:ascii="Times New Roman" w:hAnsi="Times New Roman" w:eastAsia="方正小标宋简体"/>
          <w:color w:val="auto"/>
          <w:kern w:val="0"/>
          <w:sz w:val="44"/>
          <w:szCs w:val="44"/>
        </w:rPr>
        <w:t>XX省（区、市）药品监督管理局</w:t>
      </w:r>
    </w:p>
    <w:p>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ascii="Times New Roman" w:hAnsi="Times New Roman" w:eastAsia="方正小标宋简体"/>
          <w:color w:val="auto"/>
          <w:kern w:val="0"/>
          <w:sz w:val="44"/>
          <w:szCs w:val="44"/>
        </w:rPr>
      </w:pPr>
      <w:r>
        <w:rPr>
          <w:rFonts w:ascii="Times New Roman" w:hAnsi="Times New Roman" w:eastAsia="方正小标宋简体"/>
          <w:color w:val="auto"/>
          <w:kern w:val="0"/>
          <w:sz w:val="44"/>
          <w:szCs w:val="44"/>
        </w:rPr>
        <w:t>医疗器械产品</w:t>
      </w:r>
      <w:r>
        <w:rPr>
          <w:rFonts w:hint="eastAsia" w:ascii="Times New Roman" w:hAnsi="Times New Roman" w:eastAsia="方正小标宋简体"/>
          <w:color w:val="auto"/>
          <w:kern w:val="0"/>
          <w:sz w:val="44"/>
          <w:szCs w:val="44"/>
          <w:lang w:eastAsia="zh-CN"/>
        </w:rPr>
        <w:t>预</w:t>
      </w:r>
      <w:r>
        <w:rPr>
          <w:rFonts w:ascii="Times New Roman" w:hAnsi="Times New Roman" w:eastAsia="方正小标宋简体"/>
          <w:color w:val="auto"/>
          <w:kern w:val="0"/>
          <w:sz w:val="44"/>
          <w:szCs w:val="44"/>
        </w:rPr>
        <w:t>分类界定</w:t>
      </w:r>
      <w:r>
        <w:rPr>
          <w:rFonts w:hint="eastAsia" w:ascii="Times New Roman" w:hAnsi="Times New Roman" w:eastAsia="方正小标宋简体"/>
          <w:color w:val="auto"/>
          <w:kern w:val="0"/>
          <w:sz w:val="44"/>
          <w:szCs w:val="44"/>
          <w:lang w:eastAsia="zh-CN"/>
        </w:rPr>
        <w:t>意见</w:t>
      </w:r>
      <w:r>
        <w:rPr>
          <w:rFonts w:ascii="Times New Roman" w:hAnsi="Times New Roman" w:eastAsia="方正小标宋简体"/>
          <w:color w:val="auto"/>
          <w:kern w:val="0"/>
          <w:sz w:val="44"/>
          <w:szCs w:val="44"/>
        </w:rPr>
        <w:t>书</w:t>
      </w:r>
    </w:p>
    <w:p>
      <w:pPr>
        <w:keepNext w:val="0"/>
        <w:keepLines w:val="0"/>
        <w:pageBreakBefore w:val="0"/>
        <w:widowControl w:val="0"/>
        <w:kinsoku/>
        <w:wordWrap/>
        <w:overflowPunct w:val="0"/>
        <w:topLinePunct w:val="0"/>
        <w:autoSpaceDN/>
        <w:bidi w:val="0"/>
        <w:adjustRightInd w:val="0"/>
        <w:snapToGrid w:val="0"/>
        <w:spacing w:line="200" w:lineRule="exact"/>
        <w:jc w:val="center"/>
        <w:textAlignment w:val="auto"/>
        <w:rPr>
          <w:rFonts w:ascii="Times New Roman" w:hAnsi="Times New Roman" w:eastAsia="方正小标宋简体"/>
          <w:color w:val="auto"/>
          <w:kern w:val="0"/>
          <w:sz w:val="44"/>
          <w:szCs w:val="44"/>
        </w:rPr>
      </w:pPr>
    </w:p>
    <w:tbl>
      <w:tblPr>
        <w:tblStyle w:val="6"/>
        <w:tblW w:w="9835" w:type="dxa"/>
        <w:tblInd w:w="-508" w:type="dxa"/>
        <w:tblLayout w:type="fixed"/>
        <w:tblCellMar>
          <w:top w:w="0" w:type="dxa"/>
          <w:left w:w="108" w:type="dxa"/>
          <w:bottom w:w="0" w:type="dxa"/>
          <w:right w:w="108" w:type="dxa"/>
        </w:tblCellMar>
      </w:tblPr>
      <w:tblGrid>
        <w:gridCol w:w="1425"/>
        <w:gridCol w:w="2475"/>
        <w:gridCol w:w="2444"/>
        <w:gridCol w:w="1421"/>
        <w:gridCol w:w="2070"/>
      </w:tblGrid>
      <w:tr>
        <w:tblPrEx>
          <w:tblCellMar>
            <w:top w:w="0" w:type="dxa"/>
            <w:left w:w="108" w:type="dxa"/>
            <w:bottom w:w="0" w:type="dxa"/>
            <w:right w:w="108" w:type="dxa"/>
          </w:tblCellMar>
        </w:tblPrEx>
        <w:trPr>
          <w:trHeight w:val="451" w:hRule="atLeast"/>
        </w:trPr>
        <w:tc>
          <w:tcPr>
            <w:tcW w:w="1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jc w:val="center"/>
              <w:textAlignment w:val="auto"/>
              <w:rPr>
                <w:rFonts w:ascii="黑体" w:hAnsi="黑体" w:eastAsia="黑体" w:cs="黑体"/>
                <w:color w:val="auto"/>
                <w:sz w:val="28"/>
                <w:szCs w:val="28"/>
              </w:rPr>
            </w:pPr>
            <w:r>
              <w:rPr>
                <w:rFonts w:hint="eastAsia" w:ascii="黑体" w:hAnsi="黑体" w:eastAsia="黑体" w:cs="黑体"/>
                <w:color w:val="auto"/>
                <w:sz w:val="28"/>
                <w:szCs w:val="28"/>
              </w:rPr>
              <w:t>受理编号</w:t>
            </w:r>
          </w:p>
        </w:tc>
        <w:tc>
          <w:tcPr>
            <w:tcW w:w="8410" w:type="dxa"/>
            <w:gridSpan w:val="4"/>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textAlignment w:val="auto"/>
              <w:rPr>
                <w:rFonts w:ascii="Times New Roman" w:hAnsi="Times New Roman" w:eastAsia="仿宋_GB2312"/>
                <w:color w:val="auto"/>
                <w:sz w:val="28"/>
                <w:szCs w:val="28"/>
              </w:rPr>
            </w:pPr>
          </w:p>
        </w:tc>
      </w:tr>
      <w:tr>
        <w:tblPrEx>
          <w:tblCellMar>
            <w:top w:w="0" w:type="dxa"/>
            <w:left w:w="108" w:type="dxa"/>
            <w:bottom w:w="0" w:type="dxa"/>
            <w:right w:w="108" w:type="dxa"/>
          </w:tblCellMar>
        </w:tblPrEx>
        <w:trPr>
          <w:trHeight w:val="286" w:hRule="atLeast"/>
        </w:trPr>
        <w:tc>
          <w:tcPr>
            <w:tcW w:w="1425" w:type="dxa"/>
            <w:vMerge w:val="restart"/>
            <w:tcBorders>
              <w:left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jc w:val="center"/>
              <w:textAlignment w:val="auto"/>
              <w:rPr>
                <w:rFonts w:ascii="黑体" w:hAnsi="黑体" w:eastAsia="黑体" w:cs="黑体"/>
                <w:color w:val="auto"/>
                <w:sz w:val="28"/>
                <w:szCs w:val="28"/>
              </w:rPr>
            </w:pPr>
            <w:r>
              <w:rPr>
                <w:rFonts w:hint="eastAsia" w:ascii="黑体" w:hAnsi="黑体" w:eastAsia="黑体" w:cs="黑体"/>
                <w:color w:val="auto"/>
                <w:sz w:val="28"/>
                <w:szCs w:val="28"/>
              </w:rPr>
              <w:t>产品名称</w:t>
            </w:r>
          </w:p>
          <w:p>
            <w:pPr>
              <w:keepNext w:val="0"/>
              <w:keepLines w:val="0"/>
              <w:pageBreakBefore w:val="0"/>
              <w:widowControl w:val="0"/>
              <w:kinsoku/>
              <w:wordWrap/>
              <w:overflowPunct w:val="0"/>
              <w:topLinePunct w:val="0"/>
              <w:autoSpaceDN/>
              <w:bidi w:val="0"/>
              <w:adjustRightInd w:val="0"/>
              <w:snapToGrid w:val="0"/>
              <w:spacing w:line="200" w:lineRule="atLeast"/>
              <w:jc w:val="center"/>
              <w:textAlignment w:val="auto"/>
              <w:rPr>
                <w:rFonts w:ascii="黑体" w:hAnsi="黑体" w:eastAsia="黑体" w:cs="黑体"/>
                <w:color w:val="auto"/>
                <w:sz w:val="28"/>
                <w:szCs w:val="28"/>
              </w:rPr>
            </w:pPr>
          </w:p>
        </w:tc>
        <w:tc>
          <w:tcPr>
            <w:tcW w:w="8410" w:type="dxa"/>
            <w:gridSpan w:val="4"/>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中文名称</w:t>
            </w:r>
          </w:p>
        </w:tc>
      </w:tr>
      <w:tr>
        <w:tblPrEx>
          <w:tblCellMar>
            <w:top w:w="0" w:type="dxa"/>
            <w:left w:w="108" w:type="dxa"/>
            <w:bottom w:w="0" w:type="dxa"/>
            <w:right w:w="108" w:type="dxa"/>
          </w:tblCellMar>
        </w:tblPrEx>
        <w:trPr>
          <w:trHeight w:val="64" w:hRule="atLeast"/>
        </w:trPr>
        <w:tc>
          <w:tcPr>
            <w:tcW w:w="142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jc w:val="left"/>
              <w:textAlignment w:val="auto"/>
              <w:rPr>
                <w:rFonts w:ascii="黑体" w:hAnsi="黑体" w:eastAsia="黑体" w:cs="黑体"/>
                <w:color w:val="auto"/>
                <w:sz w:val="28"/>
                <w:szCs w:val="28"/>
              </w:rPr>
            </w:pPr>
          </w:p>
        </w:tc>
        <w:tc>
          <w:tcPr>
            <w:tcW w:w="8410" w:type="dxa"/>
            <w:gridSpan w:val="4"/>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原文名称</w:t>
            </w:r>
          </w:p>
        </w:tc>
      </w:tr>
      <w:tr>
        <w:tblPrEx>
          <w:tblCellMar>
            <w:top w:w="0" w:type="dxa"/>
            <w:left w:w="108" w:type="dxa"/>
            <w:bottom w:w="0" w:type="dxa"/>
            <w:right w:w="108" w:type="dxa"/>
          </w:tblCellMar>
        </w:tblPrEx>
        <w:trPr>
          <w:trHeight w:val="90" w:hRule="atLeast"/>
        </w:trPr>
        <w:tc>
          <w:tcPr>
            <w:tcW w:w="142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jc w:val="left"/>
              <w:textAlignment w:val="auto"/>
              <w:rPr>
                <w:rFonts w:ascii="黑体" w:hAnsi="黑体" w:eastAsia="黑体" w:cs="黑体"/>
                <w:color w:val="auto"/>
                <w:sz w:val="28"/>
                <w:szCs w:val="28"/>
              </w:rPr>
            </w:pPr>
          </w:p>
        </w:tc>
        <w:tc>
          <w:tcPr>
            <w:tcW w:w="8410" w:type="dxa"/>
            <w:gridSpan w:val="4"/>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英文名称</w:t>
            </w:r>
          </w:p>
        </w:tc>
      </w:tr>
      <w:tr>
        <w:tblPrEx>
          <w:tblCellMar>
            <w:top w:w="0" w:type="dxa"/>
            <w:left w:w="108" w:type="dxa"/>
            <w:bottom w:w="0" w:type="dxa"/>
            <w:right w:w="108" w:type="dxa"/>
          </w:tblCellMar>
        </w:tblPrEx>
        <w:trPr>
          <w:trHeight w:val="64" w:hRule="atLeast"/>
        </w:trPr>
        <w:tc>
          <w:tcPr>
            <w:tcW w:w="1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jc w:val="center"/>
              <w:textAlignment w:val="auto"/>
              <w:rPr>
                <w:rFonts w:ascii="黑体" w:hAnsi="黑体" w:eastAsia="黑体" w:cs="黑体"/>
                <w:color w:val="auto"/>
                <w:sz w:val="28"/>
                <w:szCs w:val="28"/>
              </w:rPr>
            </w:pPr>
            <w:r>
              <w:rPr>
                <w:rFonts w:hint="eastAsia" w:ascii="黑体" w:hAnsi="黑体" w:eastAsia="黑体" w:cs="黑体"/>
                <w:color w:val="auto"/>
                <w:sz w:val="28"/>
                <w:szCs w:val="28"/>
              </w:rPr>
              <w:t>产品类型</w:t>
            </w:r>
          </w:p>
        </w:tc>
        <w:tc>
          <w:tcPr>
            <w:tcW w:w="8410" w:type="dxa"/>
            <w:gridSpan w:val="4"/>
            <w:tcBorders>
              <w:top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200" w:lineRule="atLeast"/>
              <w:textAlignment w:val="auto"/>
              <w:rPr>
                <w:rFonts w:ascii="Times New Roman" w:hAnsi="Times New Roman" w:eastAsia="仿宋_GB2312"/>
                <w:color w:val="auto"/>
                <w:sz w:val="28"/>
                <w:szCs w:val="28"/>
              </w:rPr>
            </w:pPr>
          </w:p>
        </w:tc>
      </w:tr>
      <w:tr>
        <w:tblPrEx>
          <w:tblCellMar>
            <w:top w:w="0" w:type="dxa"/>
            <w:left w:w="108" w:type="dxa"/>
            <w:bottom w:w="0" w:type="dxa"/>
            <w:right w:w="108" w:type="dxa"/>
          </w:tblCellMar>
        </w:tblPrEx>
        <w:trPr>
          <w:trHeight w:val="64" w:hRule="atLeast"/>
        </w:trPr>
        <w:tc>
          <w:tcPr>
            <w:tcW w:w="1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jc w:val="center"/>
              <w:textAlignment w:val="auto"/>
              <w:rPr>
                <w:rFonts w:ascii="黑体" w:hAnsi="黑体" w:eastAsia="黑体" w:cs="黑体"/>
                <w:color w:val="auto"/>
                <w:sz w:val="28"/>
                <w:szCs w:val="28"/>
              </w:rPr>
            </w:pPr>
            <w:r>
              <w:rPr>
                <w:rFonts w:hint="eastAsia" w:ascii="黑体" w:hAnsi="黑体" w:eastAsia="黑体" w:cs="黑体"/>
                <w:color w:val="auto"/>
                <w:sz w:val="28"/>
                <w:szCs w:val="28"/>
              </w:rPr>
              <w:t>国内外近似产品</w:t>
            </w:r>
          </w:p>
        </w:tc>
        <w:tc>
          <w:tcPr>
            <w:tcW w:w="8410" w:type="dxa"/>
            <w:gridSpan w:val="4"/>
            <w:tcBorders>
              <w:top w:val="single" w:color="000000" w:sz="4" w:space="0"/>
              <w:bottom w:val="single" w:color="000000" w:sz="4" w:space="0"/>
              <w:right w:val="single" w:color="000000" w:sz="4" w:space="0"/>
            </w:tcBorders>
          </w:tcPr>
          <w:p>
            <w:pPr>
              <w:keepNext w:val="0"/>
              <w:keepLines w:val="0"/>
              <w:pageBreakBefore w:val="0"/>
              <w:widowControl w:val="0"/>
              <w:kinsoku/>
              <w:wordWrap/>
              <w:overflowPunct w:val="0"/>
              <w:topLinePunct w:val="0"/>
              <w:autoSpaceDN/>
              <w:bidi w:val="0"/>
              <w:adjustRightInd w:val="0"/>
              <w:snapToGrid w:val="0"/>
              <w:spacing w:line="200" w:lineRule="atLeast"/>
              <w:textAlignment w:val="auto"/>
              <w:rPr>
                <w:rFonts w:ascii="Times New Roman" w:hAnsi="Times New Roman" w:eastAsia="仿宋_GB2312"/>
                <w:color w:val="auto"/>
                <w:sz w:val="28"/>
                <w:szCs w:val="28"/>
              </w:rPr>
            </w:pPr>
          </w:p>
        </w:tc>
      </w:tr>
      <w:tr>
        <w:tblPrEx>
          <w:tblCellMar>
            <w:top w:w="0" w:type="dxa"/>
            <w:left w:w="108" w:type="dxa"/>
            <w:bottom w:w="0" w:type="dxa"/>
            <w:right w:w="108" w:type="dxa"/>
          </w:tblCellMar>
        </w:tblPrEx>
        <w:trPr>
          <w:trHeight w:val="322" w:hRule="atLeast"/>
        </w:trPr>
        <w:tc>
          <w:tcPr>
            <w:tcW w:w="1425" w:type="dxa"/>
            <w:vMerge w:val="restart"/>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jc w:val="center"/>
              <w:textAlignment w:val="auto"/>
              <w:rPr>
                <w:rFonts w:ascii="黑体" w:hAnsi="黑体" w:eastAsia="黑体" w:cs="黑体"/>
                <w:color w:val="auto"/>
                <w:sz w:val="28"/>
                <w:szCs w:val="28"/>
              </w:rPr>
            </w:pPr>
            <w:r>
              <w:rPr>
                <w:rFonts w:hint="eastAsia" w:ascii="黑体" w:hAnsi="黑体" w:eastAsia="黑体" w:cs="黑体"/>
                <w:color w:val="auto"/>
                <w:sz w:val="28"/>
                <w:szCs w:val="28"/>
              </w:rPr>
              <w:t>申请人意见</w:t>
            </w:r>
          </w:p>
        </w:tc>
        <w:tc>
          <w:tcPr>
            <w:tcW w:w="2475"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产品类别</w:t>
            </w:r>
          </w:p>
        </w:tc>
        <w:tc>
          <w:tcPr>
            <w:tcW w:w="5935" w:type="dxa"/>
            <w:gridSpan w:val="3"/>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textAlignment w:val="auto"/>
              <w:rPr>
                <w:rFonts w:ascii="Times New Roman" w:hAnsi="Times New Roman" w:eastAsia="仿宋_GB2312"/>
                <w:color w:val="auto"/>
                <w:sz w:val="28"/>
                <w:szCs w:val="28"/>
              </w:rPr>
            </w:pPr>
          </w:p>
        </w:tc>
      </w:tr>
      <w:tr>
        <w:tblPrEx>
          <w:tblCellMar>
            <w:top w:w="0" w:type="dxa"/>
            <w:left w:w="108" w:type="dxa"/>
            <w:bottom w:w="0" w:type="dxa"/>
            <w:right w:w="108" w:type="dxa"/>
          </w:tblCellMar>
        </w:tblPrEx>
        <w:trPr>
          <w:trHeight w:val="200" w:hRule="atLeast"/>
        </w:trPr>
        <w:tc>
          <w:tcPr>
            <w:tcW w:w="142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jc w:val="left"/>
              <w:textAlignment w:val="auto"/>
              <w:rPr>
                <w:rFonts w:ascii="黑体" w:hAnsi="黑体" w:eastAsia="黑体" w:cs="黑体"/>
                <w:color w:val="auto"/>
                <w:sz w:val="28"/>
                <w:szCs w:val="28"/>
              </w:rPr>
            </w:pPr>
          </w:p>
        </w:tc>
        <w:tc>
          <w:tcPr>
            <w:tcW w:w="2475"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申请人主张及理由</w:t>
            </w:r>
          </w:p>
        </w:tc>
        <w:tc>
          <w:tcPr>
            <w:tcW w:w="5935" w:type="dxa"/>
            <w:gridSpan w:val="3"/>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textAlignment w:val="auto"/>
              <w:rPr>
                <w:rFonts w:ascii="Times New Roman" w:hAnsi="Times New Roman" w:eastAsia="仿宋_GB2312"/>
                <w:color w:val="auto"/>
                <w:sz w:val="28"/>
                <w:szCs w:val="28"/>
              </w:rPr>
            </w:pPr>
          </w:p>
        </w:tc>
      </w:tr>
      <w:tr>
        <w:tblPrEx>
          <w:tblCellMar>
            <w:top w:w="0" w:type="dxa"/>
            <w:left w:w="108" w:type="dxa"/>
            <w:bottom w:w="0" w:type="dxa"/>
            <w:right w:w="108" w:type="dxa"/>
          </w:tblCellMar>
        </w:tblPrEx>
        <w:trPr>
          <w:trHeight w:val="64" w:hRule="atLeast"/>
        </w:trPr>
        <w:tc>
          <w:tcPr>
            <w:tcW w:w="1425" w:type="dxa"/>
            <w:vMerge w:val="restart"/>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jc w:val="center"/>
              <w:textAlignment w:val="auto"/>
              <w:rPr>
                <w:rFonts w:ascii="黑体" w:hAnsi="黑体" w:eastAsia="黑体" w:cs="黑体"/>
                <w:color w:val="auto"/>
                <w:sz w:val="28"/>
                <w:szCs w:val="28"/>
              </w:rPr>
            </w:pPr>
            <w:r>
              <w:rPr>
                <w:rFonts w:hint="eastAsia" w:ascii="黑体" w:hAnsi="黑体" w:eastAsia="黑体" w:cs="黑体"/>
                <w:color w:val="auto"/>
                <w:sz w:val="28"/>
                <w:szCs w:val="28"/>
              </w:rPr>
              <w:t>申请人情况</w:t>
            </w:r>
          </w:p>
        </w:tc>
        <w:tc>
          <w:tcPr>
            <w:tcW w:w="2475"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申请人名称</w:t>
            </w:r>
          </w:p>
        </w:tc>
        <w:tc>
          <w:tcPr>
            <w:tcW w:w="5935" w:type="dxa"/>
            <w:gridSpan w:val="3"/>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textAlignment w:val="auto"/>
              <w:rPr>
                <w:rFonts w:ascii="Times New Roman" w:hAnsi="Times New Roman" w:eastAsia="仿宋_GB2312"/>
                <w:color w:val="auto"/>
                <w:sz w:val="28"/>
                <w:szCs w:val="28"/>
              </w:rPr>
            </w:pPr>
          </w:p>
        </w:tc>
      </w:tr>
      <w:tr>
        <w:tblPrEx>
          <w:tblCellMar>
            <w:top w:w="0" w:type="dxa"/>
            <w:left w:w="108" w:type="dxa"/>
            <w:bottom w:w="0" w:type="dxa"/>
            <w:right w:w="108" w:type="dxa"/>
          </w:tblCellMar>
        </w:tblPrEx>
        <w:trPr>
          <w:trHeight w:val="64" w:hRule="atLeast"/>
        </w:trPr>
        <w:tc>
          <w:tcPr>
            <w:tcW w:w="142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jc w:val="left"/>
              <w:textAlignment w:val="auto"/>
              <w:rPr>
                <w:rFonts w:ascii="黑体" w:hAnsi="黑体" w:eastAsia="黑体" w:cs="黑体"/>
                <w:color w:val="auto"/>
                <w:sz w:val="28"/>
                <w:szCs w:val="28"/>
              </w:rPr>
            </w:pPr>
          </w:p>
        </w:tc>
        <w:tc>
          <w:tcPr>
            <w:tcW w:w="2475"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申请人地址</w:t>
            </w:r>
          </w:p>
        </w:tc>
        <w:tc>
          <w:tcPr>
            <w:tcW w:w="5935" w:type="dxa"/>
            <w:gridSpan w:val="3"/>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textAlignment w:val="auto"/>
              <w:rPr>
                <w:rFonts w:ascii="Times New Roman" w:hAnsi="Times New Roman" w:eastAsia="仿宋_GB2312"/>
                <w:color w:val="auto"/>
                <w:sz w:val="28"/>
                <w:szCs w:val="28"/>
              </w:rPr>
            </w:pPr>
          </w:p>
        </w:tc>
      </w:tr>
      <w:tr>
        <w:tblPrEx>
          <w:tblCellMar>
            <w:top w:w="0" w:type="dxa"/>
            <w:left w:w="108" w:type="dxa"/>
            <w:bottom w:w="0" w:type="dxa"/>
            <w:right w:w="108" w:type="dxa"/>
          </w:tblCellMar>
        </w:tblPrEx>
        <w:trPr>
          <w:trHeight w:val="275" w:hRule="atLeast"/>
        </w:trPr>
        <w:tc>
          <w:tcPr>
            <w:tcW w:w="142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jc w:val="left"/>
              <w:textAlignment w:val="auto"/>
              <w:rPr>
                <w:rFonts w:ascii="黑体" w:hAnsi="黑体" w:eastAsia="黑体" w:cs="黑体"/>
                <w:color w:val="auto"/>
                <w:sz w:val="28"/>
                <w:szCs w:val="28"/>
              </w:rPr>
            </w:pPr>
          </w:p>
        </w:tc>
        <w:tc>
          <w:tcPr>
            <w:tcW w:w="2475"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联系人</w:t>
            </w:r>
          </w:p>
        </w:tc>
        <w:tc>
          <w:tcPr>
            <w:tcW w:w="2444"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textAlignment w:val="auto"/>
              <w:rPr>
                <w:rFonts w:ascii="Times New Roman" w:hAnsi="Times New Roman" w:eastAsia="仿宋_GB2312"/>
                <w:color w:val="auto"/>
                <w:sz w:val="28"/>
                <w:szCs w:val="28"/>
              </w:rPr>
            </w:pPr>
          </w:p>
        </w:tc>
        <w:tc>
          <w:tcPr>
            <w:tcW w:w="1421"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联系电话</w:t>
            </w:r>
          </w:p>
        </w:tc>
        <w:tc>
          <w:tcPr>
            <w:tcW w:w="2070"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textAlignment w:val="auto"/>
              <w:rPr>
                <w:rFonts w:ascii="Times New Roman" w:hAnsi="Times New Roman" w:eastAsia="仿宋_GB2312"/>
                <w:color w:val="auto"/>
                <w:sz w:val="28"/>
                <w:szCs w:val="28"/>
              </w:rPr>
            </w:pPr>
          </w:p>
        </w:tc>
      </w:tr>
      <w:tr>
        <w:tblPrEx>
          <w:tblCellMar>
            <w:top w:w="0" w:type="dxa"/>
            <w:left w:w="108" w:type="dxa"/>
            <w:bottom w:w="0" w:type="dxa"/>
            <w:right w:w="108" w:type="dxa"/>
          </w:tblCellMar>
        </w:tblPrEx>
        <w:trPr>
          <w:trHeight w:val="108" w:hRule="atLeast"/>
        </w:trPr>
        <w:tc>
          <w:tcPr>
            <w:tcW w:w="142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jc w:val="left"/>
              <w:textAlignment w:val="auto"/>
              <w:rPr>
                <w:rFonts w:ascii="黑体" w:hAnsi="黑体" w:eastAsia="黑体" w:cs="黑体"/>
                <w:color w:val="auto"/>
                <w:sz w:val="28"/>
                <w:szCs w:val="28"/>
              </w:rPr>
            </w:pPr>
          </w:p>
        </w:tc>
        <w:tc>
          <w:tcPr>
            <w:tcW w:w="2475"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E-mail</w:t>
            </w:r>
          </w:p>
        </w:tc>
        <w:tc>
          <w:tcPr>
            <w:tcW w:w="2444"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textAlignment w:val="auto"/>
              <w:rPr>
                <w:rFonts w:ascii="Times New Roman" w:hAnsi="Times New Roman" w:eastAsia="仿宋_GB2312"/>
                <w:color w:val="auto"/>
                <w:sz w:val="28"/>
                <w:szCs w:val="28"/>
              </w:rPr>
            </w:pPr>
          </w:p>
        </w:tc>
        <w:tc>
          <w:tcPr>
            <w:tcW w:w="1421"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jc w:val="center"/>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手机</w:t>
            </w:r>
          </w:p>
        </w:tc>
        <w:tc>
          <w:tcPr>
            <w:tcW w:w="2070"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textAlignment w:val="auto"/>
              <w:rPr>
                <w:rFonts w:ascii="Times New Roman" w:hAnsi="Times New Roman" w:eastAsia="仿宋_GB2312"/>
                <w:color w:val="auto"/>
                <w:sz w:val="28"/>
                <w:szCs w:val="28"/>
              </w:rPr>
            </w:pPr>
          </w:p>
        </w:tc>
      </w:tr>
      <w:tr>
        <w:tblPrEx>
          <w:tblCellMar>
            <w:top w:w="0" w:type="dxa"/>
            <w:left w:w="108" w:type="dxa"/>
            <w:bottom w:w="0" w:type="dxa"/>
            <w:right w:w="108" w:type="dxa"/>
          </w:tblCellMar>
        </w:tblPrEx>
        <w:trPr>
          <w:trHeight w:val="4054" w:hRule="atLeast"/>
        </w:trPr>
        <w:tc>
          <w:tcPr>
            <w:tcW w:w="1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N/>
              <w:bidi w:val="0"/>
              <w:adjustRightInd w:val="0"/>
              <w:snapToGrid w:val="0"/>
              <w:spacing w:line="200" w:lineRule="atLeast"/>
              <w:jc w:val="center"/>
              <w:textAlignment w:val="auto"/>
              <w:rPr>
                <w:rFonts w:ascii="黑体" w:hAnsi="黑体" w:eastAsia="黑体" w:cs="黑体"/>
                <w:color w:val="auto"/>
                <w:sz w:val="28"/>
                <w:szCs w:val="28"/>
              </w:rPr>
            </w:pPr>
            <w:r>
              <w:rPr>
                <w:rFonts w:hint="eastAsia" w:ascii="黑体" w:hAnsi="黑体" w:eastAsia="黑体" w:cs="黑体"/>
                <w:color w:val="auto"/>
                <w:sz w:val="28"/>
                <w:szCs w:val="28"/>
              </w:rPr>
              <w:t>省级药品监督管理部门</w:t>
            </w:r>
            <w:r>
              <w:rPr>
                <w:rFonts w:hint="eastAsia" w:ascii="黑体" w:hAnsi="黑体" w:eastAsia="黑体" w:cs="黑体"/>
                <w:color w:val="auto"/>
                <w:sz w:val="28"/>
                <w:szCs w:val="28"/>
                <w:lang w:eastAsia="zh-CN"/>
              </w:rPr>
              <w:t>预分类界定意见</w:t>
            </w:r>
            <w:r>
              <w:rPr>
                <w:rFonts w:hint="eastAsia" w:ascii="黑体" w:hAnsi="黑体" w:eastAsia="黑体" w:cs="黑体"/>
                <w:color w:val="auto"/>
                <w:sz w:val="28"/>
                <w:szCs w:val="28"/>
              </w:rPr>
              <w:t>和判定依据</w:t>
            </w:r>
          </w:p>
        </w:tc>
        <w:tc>
          <w:tcPr>
            <w:tcW w:w="8410" w:type="dxa"/>
            <w:gridSpan w:val="4"/>
            <w:tcBorders>
              <w:top w:val="single" w:color="000000" w:sz="4" w:space="0"/>
              <w:bottom w:val="single" w:color="000000" w:sz="4" w:space="0"/>
              <w:right w:val="single" w:color="000000" w:sz="4" w:space="0"/>
            </w:tcBorders>
            <w:vAlign w:val="center"/>
          </w:tcPr>
          <w:tbl>
            <w:tblPr>
              <w:tblStyle w:val="6"/>
              <w:tblW w:w="8076" w:type="dxa"/>
              <w:tblInd w:w="108" w:type="dxa"/>
              <w:tblLayout w:type="fixed"/>
              <w:tblCellMar>
                <w:top w:w="0" w:type="dxa"/>
                <w:left w:w="108" w:type="dxa"/>
                <w:bottom w:w="0" w:type="dxa"/>
                <w:right w:w="108" w:type="dxa"/>
              </w:tblCellMar>
            </w:tblPr>
            <w:tblGrid>
              <w:gridCol w:w="8076"/>
            </w:tblGrid>
            <w:tr>
              <w:tblPrEx>
                <w:tblCellMar>
                  <w:top w:w="0" w:type="dxa"/>
                  <w:left w:w="108" w:type="dxa"/>
                  <w:bottom w:w="0" w:type="dxa"/>
                  <w:right w:w="108" w:type="dxa"/>
                </w:tblCellMar>
              </w:tblPrEx>
              <w:trPr>
                <w:trHeight w:val="397" w:hRule="atLeast"/>
              </w:trPr>
              <w:tc>
                <w:tcPr>
                  <w:tcW w:w="8076" w:type="dxa"/>
                </w:tcPr>
                <w:p>
                  <w:pPr>
                    <w:keepNext w:val="0"/>
                    <w:keepLines w:val="0"/>
                    <w:pageBreakBefore w:val="0"/>
                    <w:widowControl w:val="0"/>
                    <w:kinsoku/>
                    <w:wordWrap/>
                    <w:overflowPunct w:val="0"/>
                    <w:topLinePunct w:val="0"/>
                    <w:autoSpaceDN/>
                    <w:bidi w:val="0"/>
                    <w:adjustRightInd w:val="0"/>
                    <w:snapToGrid w:val="0"/>
                    <w:spacing w:line="200" w:lineRule="atLeast"/>
                    <w:textAlignment w:val="auto"/>
                    <w:rPr>
                      <w:rFonts w:ascii="Times New Roman" w:hAnsi="Times New Roman" w:eastAsia="仿宋_GB2312"/>
                      <w:color w:val="auto"/>
                      <w:sz w:val="28"/>
                      <w:szCs w:val="28"/>
                    </w:rPr>
                  </w:pPr>
                  <w:bookmarkStart w:id="33" w:name="sjJdyijian"/>
                  <w:r>
                    <w:rPr>
                      <w:rFonts w:hint="eastAsia" w:ascii="Times New Roman" w:hAnsi="Times New Roman" w:eastAsia="仿宋_GB2312"/>
                      <w:color w:val="auto"/>
                      <w:sz w:val="28"/>
                      <w:szCs w:val="28"/>
                    </w:rPr>
                    <w:t>分类界定</w:t>
                  </w:r>
                  <w:bookmarkEnd w:id="33"/>
                  <w:r>
                    <w:rPr>
                      <w:rFonts w:ascii="Times New Roman" w:hAnsi="Times New Roman" w:eastAsia="仿宋_GB2312"/>
                      <w:color w:val="auto"/>
                      <w:sz w:val="28"/>
                      <w:szCs w:val="28"/>
                    </w:rPr>
                    <w:t>建议：建议按    管理;</w:t>
                  </w:r>
                </w:p>
                <w:p>
                  <w:pPr>
                    <w:keepNext w:val="0"/>
                    <w:keepLines w:val="0"/>
                    <w:pageBreakBefore w:val="0"/>
                    <w:widowControl w:val="0"/>
                    <w:kinsoku/>
                    <w:wordWrap/>
                    <w:overflowPunct w:val="0"/>
                    <w:topLinePunct w:val="0"/>
                    <w:autoSpaceDN/>
                    <w:bidi w:val="0"/>
                    <w:adjustRightInd w:val="0"/>
                    <w:snapToGrid w:val="0"/>
                    <w:spacing w:line="200" w:lineRule="atLeas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判定依据：</w:t>
                  </w:r>
                </w:p>
                <w:p>
                  <w:pPr>
                    <w:keepNext w:val="0"/>
                    <w:keepLines w:val="0"/>
                    <w:pageBreakBefore w:val="0"/>
                    <w:widowControl w:val="0"/>
                    <w:kinsoku/>
                    <w:wordWrap/>
                    <w:overflowPunct w:val="0"/>
                    <w:topLinePunct w:val="0"/>
                    <w:autoSpaceDN/>
                    <w:bidi w:val="0"/>
                    <w:adjustRightInd w:val="0"/>
                    <w:snapToGrid w:val="0"/>
                    <w:spacing w:line="200" w:lineRule="atLeas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是否与已注册/备案产品信息一致，·一致 ·不一致；</w:t>
                  </w:r>
                </w:p>
                <w:p>
                  <w:pPr>
                    <w:keepNext w:val="0"/>
                    <w:keepLines w:val="0"/>
                    <w:pageBreakBefore w:val="0"/>
                    <w:widowControl w:val="0"/>
                    <w:kinsoku/>
                    <w:wordWrap/>
                    <w:overflowPunct w:val="0"/>
                    <w:topLinePunct w:val="0"/>
                    <w:autoSpaceDN/>
                    <w:bidi w:val="0"/>
                    <w:adjustRightInd w:val="0"/>
                    <w:snapToGrid w:val="0"/>
                    <w:spacing w:line="200" w:lineRule="atLeas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是否与《分类目录》一致，·一致 ·不一致；</w:t>
                  </w:r>
                </w:p>
                <w:p>
                  <w:pPr>
                    <w:keepNext w:val="0"/>
                    <w:keepLines w:val="0"/>
                    <w:pageBreakBefore w:val="0"/>
                    <w:widowControl w:val="0"/>
                    <w:kinsoku/>
                    <w:wordWrap/>
                    <w:overflowPunct w:val="0"/>
                    <w:topLinePunct w:val="0"/>
                    <w:autoSpaceDN/>
                    <w:bidi w:val="0"/>
                    <w:adjustRightInd w:val="0"/>
                    <w:snapToGrid w:val="0"/>
                    <w:spacing w:line="200" w:lineRule="atLeas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是否与</w:t>
                  </w:r>
                  <w:r>
                    <w:rPr>
                      <w:rFonts w:hint="eastAsia" w:ascii="Times New Roman" w:hAnsi="Times New Roman" w:eastAsia="仿宋_GB2312"/>
                      <w:color w:val="auto"/>
                      <w:sz w:val="28"/>
                      <w:szCs w:val="28"/>
                      <w:lang w:eastAsia="zh-CN"/>
                    </w:rPr>
                    <w:t>已公布的</w:t>
                  </w:r>
                  <w:r>
                    <w:rPr>
                      <w:rFonts w:ascii="Times New Roman" w:hAnsi="Times New Roman" w:eastAsia="仿宋_GB2312"/>
                      <w:color w:val="auto"/>
                      <w:sz w:val="28"/>
                      <w:szCs w:val="28"/>
                    </w:rPr>
                    <w:t>分类界定信息一致，·一致 ·不一致；</w:t>
                  </w:r>
                </w:p>
                <w:p>
                  <w:pPr>
                    <w:keepNext w:val="0"/>
                    <w:keepLines w:val="0"/>
                    <w:pageBreakBefore w:val="0"/>
                    <w:widowControl w:val="0"/>
                    <w:kinsoku/>
                    <w:wordWrap/>
                    <w:overflowPunct w:val="0"/>
                    <w:topLinePunct w:val="0"/>
                    <w:autoSpaceDN/>
                    <w:bidi w:val="0"/>
                    <w:adjustRightInd w:val="0"/>
                    <w:snapToGrid w:val="0"/>
                    <w:spacing w:line="200" w:lineRule="atLeast"/>
                    <w:textAlignment w:val="auto"/>
                    <w:rPr>
                      <w:rFonts w:hint="eastAsia" w:ascii="Times New Roman" w:hAnsi="Times New Roman" w:eastAsia="仿宋_GB2312"/>
                      <w:color w:val="auto"/>
                      <w:sz w:val="28"/>
                      <w:szCs w:val="28"/>
                      <w:lang w:eastAsia="zh-CN"/>
                    </w:rPr>
                  </w:pPr>
                  <w:r>
                    <w:rPr>
                      <w:rFonts w:ascii="Times New Roman" w:hAnsi="Times New Roman" w:eastAsia="仿宋_GB2312"/>
                      <w:color w:val="auto"/>
                      <w:sz w:val="28"/>
                      <w:szCs w:val="28"/>
                    </w:rPr>
                    <w:t>已注册/备案产品</w:t>
                  </w:r>
                  <w:r>
                    <w:rPr>
                      <w:rFonts w:hint="eastAsia" w:ascii="Times New Roman" w:hAnsi="Times New Roman" w:eastAsia="仿宋_GB2312"/>
                      <w:color w:val="auto"/>
                      <w:sz w:val="28"/>
                      <w:szCs w:val="28"/>
                      <w:lang w:eastAsia="zh-CN"/>
                    </w:rPr>
                    <w:t>、</w:t>
                  </w:r>
                  <w:r>
                    <w:rPr>
                      <w:rFonts w:ascii="Times New Roman" w:hAnsi="Times New Roman" w:eastAsia="仿宋_GB2312"/>
                      <w:color w:val="auto"/>
                      <w:sz w:val="28"/>
                      <w:szCs w:val="28"/>
                    </w:rPr>
                    <w:t>《分类目录》</w:t>
                  </w:r>
                  <w:r>
                    <w:rPr>
                      <w:rFonts w:hint="eastAsia" w:ascii="Times New Roman" w:hAnsi="Times New Roman" w:eastAsia="仿宋_GB2312"/>
                      <w:color w:val="auto"/>
                      <w:sz w:val="28"/>
                      <w:szCs w:val="28"/>
                      <w:lang w:eastAsia="zh-CN"/>
                    </w:rPr>
                    <w:t>、已公布的</w:t>
                  </w:r>
                  <w:r>
                    <w:rPr>
                      <w:rFonts w:ascii="Times New Roman" w:hAnsi="Times New Roman" w:eastAsia="仿宋_GB2312"/>
                      <w:color w:val="auto"/>
                      <w:sz w:val="28"/>
                      <w:szCs w:val="28"/>
                    </w:rPr>
                    <w:t>分类界定信息</w:t>
                  </w:r>
                  <w:r>
                    <w:rPr>
                      <w:rFonts w:hint="eastAsia" w:ascii="Times New Roman" w:hAnsi="Times New Roman" w:eastAsia="仿宋_GB2312"/>
                      <w:color w:val="auto"/>
                      <w:sz w:val="28"/>
                      <w:szCs w:val="28"/>
                      <w:lang w:eastAsia="zh-CN"/>
                    </w:rPr>
                    <w:t>均无相关内容。</w:t>
                  </w:r>
                </w:p>
              </w:tc>
            </w:tr>
          </w:tbl>
          <w:p>
            <w:pPr>
              <w:keepNext w:val="0"/>
              <w:keepLines w:val="0"/>
              <w:pageBreakBefore w:val="0"/>
              <w:widowControl w:val="0"/>
              <w:kinsoku/>
              <w:wordWrap/>
              <w:overflowPunct w:val="0"/>
              <w:topLinePunct w:val="0"/>
              <w:autoSpaceDN/>
              <w:bidi w:val="0"/>
              <w:adjustRightInd w:val="0"/>
              <w:snapToGrid w:val="0"/>
              <w:spacing w:line="200" w:lineRule="atLeast"/>
              <w:ind w:firstLine="560" w:firstLineChars="200"/>
              <w:textAlignment w:val="auto"/>
              <w:rPr>
                <w:rFonts w:ascii="Times New Roman" w:hAnsi="Times New Roman" w:eastAsia="仿宋_GB2312"/>
                <w:color w:val="auto"/>
                <w:sz w:val="28"/>
                <w:szCs w:val="28"/>
              </w:rPr>
            </w:pPr>
          </w:p>
          <w:p>
            <w:pPr>
              <w:keepNext w:val="0"/>
              <w:keepLines w:val="0"/>
              <w:pageBreakBefore w:val="0"/>
              <w:widowControl w:val="0"/>
              <w:kinsoku/>
              <w:wordWrap/>
              <w:overflowPunct w:val="0"/>
              <w:topLinePunct w:val="0"/>
              <w:autoSpaceDN/>
              <w:bidi w:val="0"/>
              <w:adjustRightInd w:val="0"/>
              <w:snapToGrid w:val="0"/>
              <w:spacing w:line="200" w:lineRule="atLeast"/>
              <w:ind w:firstLine="560" w:firstLineChars="200"/>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已有医疗器械注册/备案的同类产品信息（若不一致，另附汇总表）以上若有不一致情形，请对已注册/备案产品提出转化过渡期的建议和政策。</w:t>
            </w:r>
          </w:p>
          <w:p>
            <w:pPr>
              <w:keepNext w:val="0"/>
              <w:keepLines w:val="0"/>
              <w:pageBreakBefore w:val="0"/>
              <w:widowControl w:val="0"/>
              <w:kinsoku/>
              <w:wordWrap/>
              <w:overflowPunct w:val="0"/>
              <w:topLinePunct w:val="0"/>
              <w:autoSpaceDN/>
              <w:bidi w:val="0"/>
              <w:adjustRightInd w:val="0"/>
              <w:snapToGrid w:val="0"/>
              <w:spacing w:line="200" w:lineRule="atLeas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 </w:t>
            </w:r>
            <w:r>
              <w:rPr>
                <w:rFonts w:ascii="Times New Roman" w:hAnsi="Times New Roman" w:eastAsia="仿宋_GB2312"/>
                <w:color w:val="auto"/>
                <w:sz w:val="28"/>
                <w:szCs w:val="28"/>
              </w:rPr>
              <w:tab/>
            </w:r>
            <w:r>
              <w:rPr>
                <w:rFonts w:ascii="Times New Roman" w:hAnsi="Times New Roman" w:eastAsia="仿宋_GB2312"/>
                <w:color w:val="auto"/>
                <w:sz w:val="28"/>
                <w:szCs w:val="28"/>
              </w:rPr>
              <w:tab/>
            </w:r>
            <w:r>
              <w:rPr>
                <w:rFonts w:ascii="Times New Roman" w:hAnsi="Times New Roman" w:eastAsia="仿宋_GB2312"/>
                <w:color w:val="auto"/>
                <w:sz w:val="28"/>
                <w:szCs w:val="28"/>
              </w:rPr>
              <w:tab/>
            </w:r>
            <w:r>
              <w:rPr>
                <w:rFonts w:ascii="Times New Roman" w:hAnsi="Times New Roman" w:eastAsia="仿宋_GB2312"/>
                <w:color w:val="auto"/>
                <w:sz w:val="28"/>
                <w:szCs w:val="28"/>
              </w:rPr>
              <w:tab/>
            </w:r>
            <w:r>
              <w:rPr>
                <w:rFonts w:ascii="Times New Roman" w:hAnsi="Times New Roman" w:eastAsia="仿宋_GB2312"/>
                <w:color w:val="auto"/>
                <w:sz w:val="28"/>
                <w:szCs w:val="28"/>
              </w:rPr>
              <w:tab/>
            </w:r>
            <w:r>
              <w:rPr>
                <w:rFonts w:ascii="Times New Roman" w:hAnsi="Times New Roman" w:eastAsia="仿宋_GB2312"/>
                <w:color w:val="auto"/>
                <w:sz w:val="28"/>
                <w:szCs w:val="28"/>
              </w:rPr>
              <w:tab/>
            </w:r>
            <w:r>
              <w:rPr>
                <w:rFonts w:ascii="Times New Roman" w:hAnsi="Times New Roman" w:eastAsia="仿宋_GB2312"/>
                <w:color w:val="auto"/>
                <w:sz w:val="28"/>
                <w:szCs w:val="28"/>
              </w:rPr>
              <w:tab/>
            </w:r>
            <w:r>
              <w:rPr>
                <w:rFonts w:ascii="Times New Roman" w:hAnsi="Times New Roman" w:eastAsia="仿宋_GB2312"/>
                <w:color w:val="auto"/>
                <w:sz w:val="28"/>
                <w:szCs w:val="28"/>
              </w:rPr>
              <w:t xml:space="preserve">      签  章</w:t>
            </w:r>
          </w:p>
          <w:p>
            <w:pPr>
              <w:keepNext w:val="0"/>
              <w:keepLines w:val="0"/>
              <w:pageBreakBefore w:val="0"/>
              <w:widowControl w:val="0"/>
              <w:kinsoku/>
              <w:wordWrap/>
              <w:overflowPunct w:val="0"/>
              <w:topLinePunct w:val="0"/>
              <w:autoSpaceDN/>
              <w:bidi w:val="0"/>
              <w:adjustRightInd w:val="0"/>
              <w:snapToGrid w:val="0"/>
              <w:spacing w:line="200" w:lineRule="atLeast"/>
              <w:textAlignment w:val="auto"/>
              <w:rPr>
                <w:rFonts w:ascii="Times New Roman" w:hAnsi="Times New Roman" w:eastAsia="仿宋_GB2312"/>
                <w:color w:val="auto"/>
                <w:sz w:val="28"/>
                <w:szCs w:val="28"/>
              </w:rPr>
            </w:pPr>
            <w:r>
              <w:rPr>
                <w:rFonts w:ascii="Times New Roman" w:hAnsi="Times New Roman" w:eastAsia="仿宋_GB2312"/>
                <w:color w:val="auto"/>
                <w:sz w:val="28"/>
                <w:szCs w:val="28"/>
              </w:rPr>
              <w:tab/>
            </w:r>
            <w:r>
              <w:rPr>
                <w:rFonts w:ascii="Times New Roman" w:hAnsi="Times New Roman" w:eastAsia="仿宋_GB2312"/>
                <w:color w:val="auto"/>
                <w:sz w:val="28"/>
                <w:szCs w:val="28"/>
              </w:rPr>
              <w:tab/>
            </w:r>
            <w:r>
              <w:rPr>
                <w:rFonts w:ascii="Times New Roman" w:hAnsi="Times New Roman" w:eastAsia="仿宋_GB2312"/>
                <w:color w:val="auto"/>
                <w:sz w:val="28"/>
                <w:szCs w:val="28"/>
              </w:rPr>
              <w:tab/>
            </w:r>
            <w:r>
              <w:rPr>
                <w:rFonts w:ascii="Times New Roman" w:hAnsi="Times New Roman" w:eastAsia="仿宋_GB2312"/>
                <w:color w:val="auto"/>
                <w:sz w:val="28"/>
                <w:szCs w:val="28"/>
              </w:rPr>
              <w:tab/>
            </w:r>
            <w:r>
              <w:rPr>
                <w:rFonts w:ascii="Times New Roman" w:hAnsi="Times New Roman" w:eastAsia="仿宋_GB2312"/>
                <w:color w:val="auto"/>
                <w:sz w:val="28"/>
                <w:szCs w:val="28"/>
              </w:rPr>
              <w:tab/>
            </w:r>
            <w:r>
              <w:rPr>
                <w:rFonts w:ascii="Times New Roman" w:hAnsi="Times New Roman" w:eastAsia="仿宋_GB2312"/>
                <w:color w:val="auto"/>
                <w:sz w:val="28"/>
                <w:szCs w:val="28"/>
              </w:rPr>
              <w:tab/>
            </w:r>
            <w:r>
              <w:rPr>
                <w:rFonts w:ascii="Times New Roman" w:hAnsi="Times New Roman" w:eastAsia="仿宋_GB2312"/>
                <w:color w:val="auto"/>
                <w:sz w:val="28"/>
                <w:szCs w:val="28"/>
              </w:rPr>
              <w:tab/>
            </w:r>
            <w:r>
              <w:rPr>
                <w:rFonts w:ascii="Times New Roman" w:hAnsi="Times New Roman" w:eastAsia="仿宋_GB2312"/>
                <w:color w:val="auto"/>
                <w:sz w:val="28"/>
                <w:szCs w:val="28"/>
              </w:rPr>
              <w:t xml:space="preserve">    年  月  日</w:t>
            </w:r>
          </w:p>
        </w:tc>
      </w:tr>
    </w:tbl>
    <w:p>
      <w:pPr>
        <w:keepNext w:val="0"/>
        <w:keepLines w:val="0"/>
        <w:pageBreakBefore w:val="0"/>
        <w:widowControl w:val="0"/>
        <w:kinsoku/>
        <w:wordWrap/>
        <w:overflowPunct w:val="0"/>
        <w:topLinePunct w:val="0"/>
        <w:autoSpaceDN/>
        <w:bidi w:val="0"/>
        <w:adjustRightInd w:val="0"/>
        <w:snapToGrid w:val="0"/>
        <w:spacing w:line="220" w:lineRule="atLeast"/>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省级药品监督管理部门联系电话：</w:t>
      </w:r>
    </w:p>
    <w:p>
      <w:pPr>
        <w:keepNext w:val="0"/>
        <w:keepLines w:val="0"/>
        <w:pageBreakBefore w:val="0"/>
        <w:widowControl w:val="0"/>
        <w:kinsoku/>
        <w:wordWrap/>
        <w:overflowPunct w:val="0"/>
        <w:topLinePunct w:val="0"/>
        <w:autoSpaceDN/>
        <w:bidi w:val="0"/>
        <w:adjustRightInd/>
        <w:snapToGrid/>
        <w:spacing w:line="240" w:lineRule="auto"/>
        <w:jc w:val="left"/>
        <w:textAlignment w:val="auto"/>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br w:type="page"/>
      </w:r>
    </w:p>
    <w:p>
      <w:pPr>
        <w:keepNext w:val="0"/>
        <w:keepLines w:val="0"/>
        <w:pageBreakBefore w:val="0"/>
        <w:widowControl w:val="0"/>
        <w:kinsoku/>
        <w:wordWrap/>
        <w:overflowPunct w:val="0"/>
        <w:topLinePunct w:val="0"/>
        <w:autoSpaceDE/>
        <w:autoSpaceDN/>
        <w:bidi w:val="0"/>
        <w:adjustRightInd w:val="0"/>
        <w:snapToGrid w:val="0"/>
        <w:spacing w:line="560" w:lineRule="exact"/>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w:t>
      </w: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同类</w:t>
      </w:r>
      <w:r>
        <w:rPr>
          <w:rFonts w:hint="eastAsia" w:ascii="方正小标宋简体" w:hAnsi="方正小标宋简体" w:eastAsia="方正小标宋简体" w:cs="方正小标宋简体"/>
          <w:color w:val="auto"/>
          <w:sz w:val="44"/>
          <w:szCs w:val="44"/>
        </w:rPr>
        <w:t>医疗器械注册/备案信息</w:t>
      </w:r>
      <w:r>
        <w:rPr>
          <w:rFonts w:hint="eastAsia" w:ascii="方正小标宋简体" w:hAnsi="方正小标宋简体" w:eastAsia="方正小标宋简体" w:cs="方正小标宋简体"/>
          <w:color w:val="auto"/>
          <w:sz w:val="44"/>
          <w:szCs w:val="44"/>
          <w:lang w:eastAsia="zh-CN"/>
        </w:rPr>
        <w:t>汇总表</w:t>
      </w: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36"/>
          <w:szCs w:val="36"/>
          <w:lang w:eastAsia="zh-CN"/>
        </w:rPr>
      </w:pP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677"/>
        <w:gridCol w:w="1050"/>
        <w:gridCol w:w="1173"/>
        <w:gridCol w:w="1831"/>
        <w:gridCol w:w="1295"/>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r>
              <w:rPr>
                <w:rFonts w:hint="eastAsia" w:ascii="黑体" w:hAnsi="黑体" w:eastAsia="黑体" w:cs="黑体"/>
                <w:color w:val="auto"/>
                <w:kern w:val="2"/>
                <w:sz w:val="24"/>
                <w:szCs w:val="24"/>
                <w:vertAlign w:val="baseline"/>
                <w:lang w:eastAsia="zh-CN"/>
              </w:rPr>
              <w:t>序号</w:t>
            </w:r>
          </w:p>
        </w:tc>
        <w:tc>
          <w:tcPr>
            <w:tcW w:w="1677"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default" w:ascii="黑体" w:hAnsi="黑体" w:eastAsia="黑体" w:cs="黑体"/>
                <w:color w:val="auto"/>
                <w:kern w:val="2"/>
                <w:sz w:val="24"/>
                <w:szCs w:val="24"/>
                <w:vertAlign w:val="baseline"/>
                <w:lang w:eastAsia="zh-CN"/>
              </w:rPr>
            </w:pPr>
            <w:r>
              <w:rPr>
                <w:rFonts w:hint="eastAsia" w:ascii="黑体" w:hAnsi="黑体" w:eastAsia="黑体" w:cs="黑体"/>
                <w:color w:val="auto"/>
                <w:kern w:val="2"/>
                <w:sz w:val="24"/>
                <w:szCs w:val="24"/>
                <w:vertAlign w:val="baseline"/>
                <w:lang w:eastAsia="zh-CN"/>
              </w:rPr>
              <w:t>产品名称</w:t>
            </w:r>
            <w:r>
              <w:rPr>
                <w:rFonts w:hint="eastAsia" w:ascii="黑体" w:hAnsi="黑体" w:eastAsia="黑体" w:cs="黑体"/>
                <w:color w:val="auto"/>
                <w:kern w:val="2"/>
                <w:sz w:val="24"/>
                <w:szCs w:val="24"/>
                <w:vertAlign w:val="baseline"/>
                <w:lang w:val="en-US" w:eastAsia="zh-CN"/>
              </w:rPr>
              <w:t>/产品分类名称</w:t>
            </w:r>
          </w:p>
        </w:tc>
        <w:tc>
          <w:tcPr>
            <w:tcW w:w="1050"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default" w:ascii="黑体" w:hAnsi="黑体" w:eastAsia="黑体" w:cs="黑体"/>
                <w:color w:val="auto"/>
                <w:kern w:val="2"/>
                <w:sz w:val="24"/>
                <w:szCs w:val="24"/>
                <w:vertAlign w:val="baseline"/>
                <w:lang w:eastAsia="zh-CN"/>
              </w:rPr>
            </w:pPr>
            <w:r>
              <w:rPr>
                <w:rFonts w:hint="eastAsia" w:ascii="黑体" w:hAnsi="黑体" w:eastAsia="黑体" w:cs="黑体"/>
                <w:color w:val="auto"/>
                <w:kern w:val="2"/>
                <w:sz w:val="24"/>
                <w:szCs w:val="24"/>
                <w:vertAlign w:val="baseline"/>
                <w:lang w:eastAsia="zh-CN"/>
              </w:rPr>
              <w:t>注册号</w:t>
            </w:r>
            <w:r>
              <w:rPr>
                <w:rFonts w:hint="eastAsia" w:ascii="黑体" w:hAnsi="黑体" w:eastAsia="黑体" w:cs="黑体"/>
                <w:color w:val="auto"/>
                <w:kern w:val="2"/>
                <w:sz w:val="24"/>
                <w:szCs w:val="24"/>
                <w:vertAlign w:val="baseline"/>
                <w:lang w:val="en-US" w:eastAsia="zh-CN"/>
              </w:rPr>
              <w:t>/备案号</w:t>
            </w:r>
          </w:p>
        </w:tc>
        <w:tc>
          <w:tcPr>
            <w:tcW w:w="1173"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default" w:ascii="黑体" w:hAnsi="黑体" w:eastAsia="黑体" w:cs="黑体"/>
                <w:color w:val="auto"/>
                <w:kern w:val="2"/>
                <w:sz w:val="24"/>
                <w:szCs w:val="24"/>
                <w:vertAlign w:val="baseline"/>
                <w:lang w:eastAsia="zh-CN"/>
              </w:rPr>
            </w:pPr>
            <w:r>
              <w:rPr>
                <w:rFonts w:hint="eastAsia" w:ascii="黑体" w:hAnsi="黑体" w:eastAsia="黑体" w:cs="黑体"/>
                <w:color w:val="auto"/>
                <w:kern w:val="2"/>
                <w:sz w:val="24"/>
                <w:szCs w:val="24"/>
                <w:vertAlign w:val="baseline"/>
                <w:lang w:eastAsia="zh-CN"/>
              </w:rPr>
              <w:t>注册人</w:t>
            </w:r>
            <w:r>
              <w:rPr>
                <w:rFonts w:hint="eastAsia" w:ascii="黑体" w:hAnsi="黑体" w:eastAsia="黑体" w:cs="黑体"/>
                <w:color w:val="auto"/>
                <w:kern w:val="2"/>
                <w:sz w:val="24"/>
                <w:szCs w:val="24"/>
                <w:vertAlign w:val="baseline"/>
                <w:lang w:val="en-US" w:eastAsia="zh-CN"/>
              </w:rPr>
              <w:t>/备案人名称</w:t>
            </w:r>
          </w:p>
        </w:tc>
        <w:tc>
          <w:tcPr>
            <w:tcW w:w="1831"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default" w:ascii="黑体" w:hAnsi="黑体" w:eastAsia="黑体" w:cs="黑体"/>
                <w:color w:val="auto"/>
                <w:kern w:val="2"/>
                <w:sz w:val="24"/>
                <w:szCs w:val="24"/>
                <w:vertAlign w:val="baseline"/>
                <w:lang w:eastAsia="zh-CN"/>
              </w:rPr>
            </w:pPr>
            <w:r>
              <w:rPr>
                <w:rFonts w:hint="eastAsia" w:ascii="黑体" w:hAnsi="黑体" w:eastAsia="黑体" w:cs="黑体"/>
                <w:color w:val="auto"/>
                <w:kern w:val="2"/>
                <w:sz w:val="24"/>
                <w:szCs w:val="24"/>
                <w:vertAlign w:val="baseline"/>
                <w:lang w:eastAsia="zh-CN"/>
              </w:rPr>
              <w:t>结构及组成/主要组成成分</w:t>
            </w:r>
            <w:r>
              <w:rPr>
                <w:rFonts w:hint="eastAsia" w:ascii="黑体" w:hAnsi="黑体" w:eastAsia="黑体" w:cs="黑体"/>
                <w:color w:val="auto"/>
                <w:kern w:val="2"/>
                <w:sz w:val="24"/>
                <w:szCs w:val="24"/>
                <w:vertAlign w:val="baseline"/>
                <w:lang w:val="en-US" w:eastAsia="zh-CN"/>
              </w:rPr>
              <w:t>/产品描述</w:t>
            </w:r>
          </w:p>
        </w:tc>
        <w:tc>
          <w:tcPr>
            <w:tcW w:w="1295"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default" w:ascii="黑体" w:hAnsi="黑体" w:eastAsia="黑体" w:cs="黑体"/>
                <w:color w:val="auto"/>
                <w:kern w:val="2"/>
                <w:sz w:val="24"/>
                <w:szCs w:val="24"/>
                <w:vertAlign w:val="baseline"/>
                <w:lang w:eastAsia="zh-CN"/>
              </w:rPr>
            </w:pPr>
            <w:r>
              <w:rPr>
                <w:rFonts w:hint="eastAsia" w:ascii="黑体" w:hAnsi="黑体" w:eastAsia="黑体" w:cs="黑体"/>
                <w:color w:val="auto"/>
                <w:kern w:val="2"/>
                <w:sz w:val="24"/>
                <w:szCs w:val="24"/>
                <w:vertAlign w:val="baseline"/>
                <w:lang w:eastAsia="zh-CN"/>
              </w:rPr>
              <w:t>规格型号</w:t>
            </w:r>
          </w:p>
        </w:tc>
        <w:tc>
          <w:tcPr>
            <w:tcW w:w="1295"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r>
              <w:rPr>
                <w:rFonts w:hint="eastAsia" w:ascii="黑体" w:hAnsi="黑体" w:eastAsia="黑体" w:cs="黑体"/>
                <w:color w:val="auto"/>
                <w:kern w:val="2"/>
                <w:sz w:val="24"/>
                <w:szCs w:val="24"/>
                <w:vertAlign w:val="baseline"/>
                <w:lang w:eastAsia="zh-CN"/>
              </w:rPr>
              <w:t>适用范围</w:t>
            </w:r>
            <w:r>
              <w:rPr>
                <w:rFonts w:hint="eastAsia" w:ascii="黑体" w:hAnsi="黑体" w:eastAsia="黑体" w:cs="黑体"/>
                <w:color w:val="auto"/>
                <w:kern w:val="2"/>
                <w:sz w:val="24"/>
                <w:szCs w:val="24"/>
                <w:vertAlign w:val="baseline"/>
                <w:lang w:val="en-US" w:eastAsia="zh-CN"/>
              </w:rPr>
              <w:t>/预期用途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677"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050"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173"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831"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295"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295"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677"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050"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173"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831"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295"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295"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9"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677"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050"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173"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831"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295"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295"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677"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050"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173"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831"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295"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295"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677"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050"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173"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831"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295"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295"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677"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050"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173"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831"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295"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c>
          <w:tcPr>
            <w:tcW w:w="1295" w:type="dxa"/>
            <w:vAlign w:val="center"/>
          </w:tcPr>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黑体" w:hAnsi="黑体" w:eastAsia="黑体" w:cs="黑体"/>
                <w:color w:val="auto"/>
                <w:kern w:val="2"/>
                <w:sz w:val="24"/>
                <w:szCs w:val="24"/>
                <w:vertAlign w:val="baseline"/>
                <w:lang w:eastAsia="zh-CN"/>
              </w:rPr>
            </w:pPr>
          </w:p>
        </w:tc>
      </w:tr>
    </w:tbl>
    <w:p>
      <w:pPr>
        <w:keepNext w:val="0"/>
        <w:keepLines w:val="0"/>
        <w:pageBreakBefore w:val="0"/>
        <w:widowControl w:val="0"/>
        <w:kinsoku/>
        <w:wordWrap/>
        <w:overflowPunct w:val="0"/>
        <w:topLinePunct w:val="0"/>
        <w:autoSpaceDN/>
        <w:bidi w:val="0"/>
        <w:adjustRightInd w:val="0"/>
        <w:snapToGrid w:val="0"/>
        <w:spacing w:line="220" w:lineRule="atLeast"/>
        <w:jc w:val="center"/>
        <w:textAlignment w:val="auto"/>
        <w:rPr>
          <w:rFonts w:hint="eastAsia" w:ascii="方正小标宋简体" w:hAnsi="方正小标宋简体" w:eastAsia="方正小标宋简体" w:cs="方正小标宋简体"/>
          <w:color w:val="auto"/>
          <w:kern w:val="2"/>
          <w:sz w:val="36"/>
          <w:szCs w:val="36"/>
          <w:lang w:eastAsia="zh-CN"/>
        </w:rPr>
      </w:pPr>
    </w:p>
    <w:p>
      <w:pPr>
        <w:keepNext w:val="0"/>
        <w:keepLines w:val="0"/>
        <w:pageBreakBefore w:val="0"/>
        <w:widowControl w:val="0"/>
        <w:kinsoku/>
        <w:wordWrap/>
        <w:overflowPunct w:val="0"/>
        <w:topLinePunct w:val="0"/>
        <w:autoSpaceDN/>
        <w:bidi w:val="0"/>
        <w:adjustRightInd/>
        <w:snapToGrid/>
        <w:spacing w:line="240" w:lineRule="auto"/>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br w:type="page"/>
      </w:r>
    </w:p>
    <w:p>
      <w:pPr>
        <w:keepNext w:val="0"/>
        <w:keepLines w:val="0"/>
        <w:pageBreakBefore w:val="0"/>
        <w:widowControl w:val="0"/>
        <w:kinsoku/>
        <w:wordWrap/>
        <w:overflowPunct w:val="0"/>
        <w:topLinePunct w:val="0"/>
        <w:autoSpaceDE/>
        <w:autoSpaceDN/>
        <w:bidi w:val="0"/>
        <w:adjustRightInd w:val="0"/>
        <w:snapToGrid w:val="0"/>
        <w:spacing w:line="590" w:lineRule="exact"/>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rPr>
        <w:t>附</w:t>
      </w:r>
      <w:r>
        <w:rPr>
          <w:rFonts w:hint="eastAsia" w:ascii="黑体" w:hAnsi="黑体" w:eastAsia="黑体" w:cs="黑体"/>
          <w:color w:val="auto"/>
          <w:kern w:val="0"/>
          <w:sz w:val="32"/>
          <w:szCs w:val="32"/>
          <w:lang w:val="en-US" w:eastAsia="zh-CN"/>
        </w:rPr>
        <w:t>8</w:t>
      </w:r>
    </w:p>
    <w:p>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ascii="Times New Roman" w:hAnsi="Times New Roman" w:eastAsia="仿宋_GB2312"/>
          <w:color w:val="auto"/>
          <w:sz w:val="44"/>
          <w:szCs w:val="44"/>
        </w:rPr>
      </w:pPr>
    </w:p>
    <w:p>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ascii="Times New Roman" w:hAnsi="Times New Roman" w:eastAsia="方正小标宋简体"/>
          <w:color w:val="auto"/>
          <w:sz w:val="44"/>
          <w:szCs w:val="44"/>
        </w:rPr>
      </w:pPr>
      <w:r>
        <w:rPr>
          <w:rFonts w:hint="eastAsia" w:ascii="Times New Roman" w:hAnsi="Times New Roman" w:eastAsia="方正小标宋简体"/>
          <w:color w:val="auto"/>
          <w:sz w:val="44"/>
          <w:szCs w:val="44"/>
        </w:rPr>
        <w:t>特殊情形分类界定程序</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auto"/>
        <w:rPr>
          <w:rFonts w:ascii="Times New Roman" w:hAnsi="Times New Roman" w:eastAsia="仿宋_GB2312"/>
          <w:color w:val="auto"/>
          <w:sz w:val="32"/>
          <w:szCs w:val="32"/>
        </w:rPr>
      </w:pP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一、</w:t>
      </w:r>
      <w:r>
        <w:rPr>
          <w:rFonts w:hint="eastAsia" w:ascii="Times New Roman" w:hAnsi="Times New Roman" w:eastAsia="黑体"/>
          <w:color w:val="auto"/>
          <w:kern w:val="0"/>
          <w:sz w:val="32"/>
          <w:szCs w:val="32"/>
        </w:rPr>
        <w:t>适用情形</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本程序适用于日常监管、稽查、投诉举报、信访、</w:t>
      </w:r>
      <w:r>
        <w:rPr>
          <w:rFonts w:hint="eastAsia" w:ascii="Times New Roman" w:hAnsi="Times New Roman" w:eastAsia="仿宋_GB2312"/>
          <w:color w:val="auto"/>
          <w:sz w:val="32"/>
          <w:szCs w:val="32"/>
          <w:lang w:eastAsia="zh-CN"/>
        </w:rPr>
        <w:t>行刑衔接、</w:t>
      </w:r>
      <w:r>
        <w:rPr>
          <w:rFonts w:hint="eastAsia" w:ascii="Times New Roman" w:hAnsi="Times New Roman" w:eastAsia="仿宋_GB2312"/>
          <w:color w:val="auto"/>
          <w:sz w:val="32"/>
          <w:szCs w:val="32"/>
        </w:rPr>
        <w:t>法院案件等工作中涉及需要确认产品管理属性或管理类别的特殊情形。特殊情形分类界定程序不在分类界定信息系统中办理。</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auto"/>
        <w:rPr>
          <w:rFonts w:ascii="Times New Roman" w:hAnsi="Times New Roman" w:eastAsia="黑体"/>
          <w:color w:val="auto"/>
          <w:kern w:val="0"/>
          <w:sz w:val="32"/>
          <w:szCs w:val="32"/>
        </w:rPr>
      </w:pPr>
      <w:r>
        <w:rPr>
          <w:rFonts w:hint="eastAsia" w:ascii="Times New Roman" w:hAnsi="Times New Roman" w:eastAsia="黑体"/>
          <w:color w:val="auto"/>
          <w:kern w:val="0"/>
          <w:sz w:val="32"/>
          <w:szCs w:val="32"/>
        </w:rPr>
        <w:t>二</w:t>
      </w:r>
      <w:r>
        <w:rPr>
          <w:rFonts w:ascii="Times New Roman" w:hAnsi="Times New Roman" w:eastAsia="黑体"/>
          <w:color w:val="auto"/>
          <w:kern w:val="0"/>
          <w:sz w:val="32"/>
          <w:szCs w:val="32"/>
        </w:rPr>
        <w:t>、办理</w:t>
      </w:r>
      <w:r>
        <w:rPr>
          <w:rFonts w:hint="eastAsia" w:ascii="Times New Roman" w:hAnsi="Times New Roman" w:eastAsia="黑体"/>
          <w:color w:val="auto"/>
          <w:kern w:val="0"/>
          <w:sz w:val="32"/>
          <w:szCs w:val="32"/>
        </w:rPr>
        <w:t>流程</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auto"/>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由所在地市级负责药品监督管理的部门或者</w:t>
      </w:r>
      <w:r>
        <w:rPr>
          <w:rFonts w:hint="eastAsia" w:ascii="Times New Roman" w:hAnsi="Times New Roman" w:eastAsia="仿宋_GB2312"/>
          <w:color w:val="auto"/>
          <w:kern w:val="0"/>
          <w:sz w:val="32"/>
          <w:szCs w:val="32"/>
          <w:lang w:eastAsia="zh-CN"/>
        </w:rPr>
        <w:t>省级</w:t>
      </w:r>
      <w:r>
        <w:rPr>
          <w:rFonts w:hint="eastAsia" w:ascii="Times New Roman" w:hAnsi="Times New Roman" w:eastAsia="仿宋_GB2312"/>
          <w:color w:val="auto"/>
          <w:kern w:val="0"/>
          <w:sz w:val="32"/>
          <w:szCs w:val="32"/>
        </w:rPr>
        <w:t>药品监督管理部门依据《条例》《分类规则》</w:t>
      </w:r>
      <w:r>
        <w:rPr>
          <w:rFonts w:hint="eastAsia" w:ascii="Times New Roman" w:hAnsi="Times New Roman" w:eastAsia="仿宋_GB2312"/>
          <w:color w:val="auto"/>
          <w:kern w:val="0"/>
          <w:sz w:val="32"/>
          <w:szCs w:val="32"/>
          <w:lang w:eastAsia="zh-CN"/>
        </w:rPr>
        <w:t>、相关产品分类界定指导原则及</w:t>
      </w:r>
      <w:r>
        <w:rPr>
          <w:rFonts w:hint="eastAsia" w:ascii="Times New Roman" w:hAnsi="Times New Roman" w:eastAsia="仿宋_GB2312"/>
          <w:color w:val="auto"/>
          <w:kern w:val="0"/>
          <w:sz w:val="32"/>
          <w:szCs w:val="32"/>
        </w:rPr>
        <w:t>《分类目录》等，结合产品实际情况作出判定。必要时，下级药品监督管理部门可</w:t>
      </w:r>
      <w:r>
        <w:rPr>
          <w:rFonts w:hint="eastAsia" w:ascii="Times New Roman" w:hAnsi="Times New Roman" w:eastAsia="仿宋_GB2312"/>
          <w:color w:val="auto"/>
          <w:kern w:val="0"/>
          <w:sz w:val="32"/>
          <w:szCs w:val="32"/>
          <w:lang w:eastAsia="zh-CN"/>
        </w:rPr>
        <w:t>以</w:t>
      </w:r>
      <w:r>
        <w:rPr>
          <w:rFonts w:hint="eastAsia" w:ascii="Times New Roman" w:hAnsi="Times New Roman" w:eastAsia="仿宋_GB2312"/>
          <w:color w:val="auto"/>
          <w:kern w:val="0"/>
          <w:sz w:val="32"/>
          <w:szCs w:val="32"/>
        </w:rPr>
        <w:t>向上一级药品监督管理部门提出请示，并提供用于支持产品属性判定及分类界定的相应资料及明确的管理属性及</w:t>
      </w:r>
      <w:r>
        <w:rPr>
          <w:rFonts w:hint="eastAsia" w:ascii="Times New Roman" w:hAnsi="Times New Roman" w:eastAsia="仿宋_GB2312"/>
          <w:color w:val="auto"/>
          <w:kern w:val="0"/>
          <w:sz w:val="32"/>
          <w:szCs w:val="32"/>
          <w:lang w:eastAsia="zh-CN"/>
        </w:rPr>
        <w:t>管理类别</w:t>
      </w:r>
      <w:r>
        <w:rPr>
          <w:rFonts w:hint="eastAsia" w:ascii="Times New Roman" w:hAnsi="Times New Roman" w:eastAsia="仿宋_GB2312"/>
          <w:color w:val="auto"/>
          <w:kern w:val="0"/>
          <w:sz w:val="32"/>
          <w:szCs w:val="32"/>
        </w:rPr>
        <w:t>意见。</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auto"/>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国家药监局遇有本程序所适用情形时，由相关司局组织器械标管中心研究确定。</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器械标管中心</w:t>
      </w:r>
      <w:r>
        <w:rPr>
          <w:rFonts w:hint="eastAsia" w:ascii="Times New Roman" w:hAnsi="Times New Roman" w:eastAsia="仿宋_GB2312"/>
          <w:color w:val="auto"/>
          <w:kern w:val="0"/>
          <w:sz w:val="32"/>
          <w:szCs w:val="32"/>
        </w:rPr>
        <w:t>根据来函及相应产品资料，研究确定产品管理属性和类别。对于所附资料过少、难以判断产品</w:t>
      </w:r>
      <w:r>
        <w:rPr>
          <w:rFonts w:ascii="Times New Roman" w:hAnsi="Times New Roman" w:eastAsia="仿宋_GB2312"/>
          <w:color w:val="auto"/>
          <w:kern w:val="0"/>
          <w:sz w:val="32"/>
          <w:szCs w:val="32"/>
        </w:rPr>
        <w:t>管理属</w:t>
      </w:r>
      <w:r>
        <w:rPr>
          <w:rFonts w:ascii="Times New Roman" w:hAnsi="Times New Roman" w:eastAsia="仿宋_GB2312"/>
          <w:color w:val="auto"/>
          <w:sz w:val="32"/>
          <w:szCs w:val="32"/>
        </w:rPr>
        <w:t>性和</w:t>
      </w:r>
      <w:r>
        <w:rPr>
          <w:rFonts w:hint="eastAsia" w:ascii="Times New Roman" w:hAnsi="Times New Roman" w:eastAsia="仿宋_GB2312"/>
          <w:color w:val="auto"/>
          <w:sz w:val="32"/>
          <w:szCs w:val="32"/>
        </w:rPr>
        <w:t>管理</w:t>
      </w:r>
      <w:r>
        <w:rPr>
          <w:rFonts w:ascii="Times New Roman" w:hAnsi="Times New Roman" w:eastAsia="仿宋_GB2312"/>
          <w:color w:val="auto"/>
          <w:sz w:val="32"/>
          <w:szCs w:val="32"/>
        </w:rPr>
        <w:t>类别</w:t>
      </w:r>
      <w:r>
        <w:rPr>
          <w:rFonts w:ascii="Times New Roman" w:hAnsi="Times New Roman" w:eastAsia="仿宋_GB2312"/>
          <w:color w:val="auto"/>
          <w:kern w:val="0"/>
          <w:sz w:val="32"/>
          <w:szCs w:val="32"/>
        </w:rPr>
        <w:t>的</w:t>
      </w:r>
      <w:r>
        <w:rPr>
          <w:rFonts w:hint="eastAsia" w:ascii="Times New Roman" w:hAnsi="Times New Roman" w:eastAsia="仿宋_GB2312"/>
          <w:color w:val="auto"/>
          <w:kern w:val="0"/>
          <w:sz w:val="32"/>
          <w:szCs w:val="32"/>
        </w:rPr>
        <w:t>，可请来函单位进一步提供</w:t>
      </w:r>
      <w:r>
        <w:rPr>
          <w:rFonts w:ascii="Times New Roman" w:hAnsi="Times New Roman" w:eastAsia="仿宋_GB2312"/>
          <w:color w:val="auto"/>
          <w:kern w:val="0"/>
          <w:sz w:val="32"/>
          <w:szCs w:val="32"/>
        </w:rPr>
        <w:t>资料</w:t>
      </w:r>
      <w:r>
        <w:rPr>
          <w:rFonts w:hint="eastAsia" w:ascii="Times New Roman" w:hAnsi="Times New Roman" w:eastAsia="仿宋_GB2312"/>
          <w:color w:val="auto"/>
          <w:kern w:val="0"/>
          <w:sz w:val="32"/>
          <w:szCs w:val="32"/>
        </w:rPr>
        <w:t>；</w:t>
      </w:r>
      <w:r>
        <w:rPr>
          <w:rFonts w:ascii="Times New Roman" w:hAnsi="Times New Roman" w:eastAsia="仿宋_GB2312"/>
          <w:color w:val="auto"/>
          <w:kern w:val="0"/>
          <w:sz w:val="32"/>
          <w:szCs w:val="32"/>
        </w:rPr>
        <w:t>对于分类界定难度大、技术复杂</w:t>
      </w:r>
      <w:r>
        <w:rPr>
          <w:rFonts w:hint="eastAsia" w:ascii="Times New Roman" w:hAnsi="Times New Roman" w:eastAsia="仿宋_GB2312"/>
          <w:color w:val="auto"/>
          <w:kern w:val="0"/>
          <w:sz w:val="32"/>
          <w:szCs w:val="32"/>
        </w:rPr>
        <w:t>、存在异议</w:t>
      </w:r>
      <w:r>
        <w:rPr>
          <w:rFonts w:ascii="Times New Roman" w:hAnsi="Times New Roman" w:eastAsia="仿宋_GB2312"/>
          <w:color w:val="auto"/>
          <w:kern w:val="0"/>
          <w:sz w:val="32"/>
          <w:szCs w:val="32"/>
        </w:rPr>
        <w:t>的产品，</w:t>
      </w:r>
      <w:bookmarkStart w:id="34" w:name="_GoBack"/>
      <w:bookmarkEnd w:id="34"/>
      <w:r>
        <w:rPr>
          <w:rFonts w:ascii="Times New Roman" w:hAnsi="Times New Roman" w:eastAsia="仿宋_GB2312"/>
          <w:color w:val="auto"/>
          <w:kern w:val="0"/>
          <w:sz w:val="32"/>
          <w:szCs w:val="32"/>
        </w:rPr>
        <w:t>器械标管中心可以组织专家会议</w:t>
      </w:r>
      <w:r>
        <w:rPr>
          <w:rFonts w:hint="eastAsia" w:ascii="Times New Roman" w:hAnsi="Times New Roman" w:eastAsia="仿宋_GB2312"/>
          <w:color w:val="auto"/>
          <w:kern w:val="0"/>
          <w:sz w:val="32"/>
          <w:szCs w:val="32"/>
        </w:rPr>
        <w:t>研究</w:t>
      </w:r>
      <w:r>
        <w:rPr>
          <w:rFonts w:ascii="Times New Roman" w:hAnsi="Times New Roman" w:eastAsia="仿宋_GB2312"/>
          <w:color w:val="auto"/>
          <w:kern w:val="0"/>
          <w:sz w:val="32"/>
          <w:szCs w:val="32"/>
        </w:rPr>
        <w:t>。</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rPr>
        <w:t>三、管理属性及分类意见</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auto"/>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由于上述事项通常提供的产品资料不全面，因此可以只提供该产品是否作为医疗器械管理、第一类或不低于二类的分类界定意见，或者提供相关</w:t>
      </w:r>
      <w:r>
        <w:rPr>
          <w:rFonts w:hint="eastAsia" w:ascii="Times New Roman" w:hAnsi="Times New Roman" w:eastAsia="仿宋_GB2312"/>
          <w:color w:val="auto"/>
          <w:kern w:val="0"/>
          <w:sz w:val="32"/>
          <w:szCs w:val="32"/>
          <w:lang w:eastAsia="zh-CN"/>
        </w:rPr>
        <w:t>产品</w:t>
      </w:r>
      <w:r>
        <w:rPr>
          <w:rFonts w:hint="eastAsia" w:ascii="Times New Roman" w:hAnsi="Times New Roman" w:eastAsia="仿宋_GB2312"/>
          <w:color w:val="auto"/>
          <w:kern w:val="0"/>
          <w:sz w:val="32"/>
          <w:szCs w:val="32"/>
        </w:rPr>
        <w:t>管理属性及</w:t>
      </w:r>
      <w:r>
        <w:rPr>
          <w:rFonts w:hint="eastAsia" w:ascii="Times New Roman" w:hAnsi="Times New Roman" w:eastAsia="仿宋_GB2312"/>
          <w:color w:val="auto"/>
          <w:kern w:val="0"/>
          <w:sz w:val="32"/>
          <w:szCs w:val="32"/>
          <w:lang w:eastAsia="zh-CN"/>
        </w:rPr>
        <w:t>分类</w:t>
      </w:r>
      <w:r>
        <w:rPr>
          <w:rFonts w:hint="eastAsia" w:ascii="Times New Roman" w:hAnsi="Times New Roman" w:eastAsia="仿宋_GB2312"/>
          <w:color w:val="auto"/>
          <w:kern w:val="0"/>
          <w:sz w:val="32"/>
          <w:szCs w:val="32"/>
        </w:rPr>
        <w:t>判定的原则。</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auto"/>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管理属性及分类意见</w:t>
      </w:r>
      <w:r>
        <w:rPr>
          <w:rFonts w:hint="eastAsia" w:ascii="Times New Roman" w:hAnsi="Times New Roman" w:eastAsia="仿宋_GB2312"/>
          <w:color w:val="auto"/>
          <w:kern w:val="0"/>
          <w:sz w:val="32"/>
          <w:szCs w:val="32"/>
          <w:lang w:eastAsia="zh-CN"/>
        </w:rPr>
        <w:t>系</w:t>
      </w:r>
      <w:r>
        <w:rPr>
          <w:rFonts w:hint="eastAsia" w:ascii="Times New Roman" w:hAnsi="Times New Roman" w:eastAsia="仿宋_GB2312"/>
          <w:color w:val="auto"/>
          <w:kern w:val="0"/>
          <w:sz w:val="32"/>
          <w:szCs w:val="32"/>
        </w:rPr>
        <w:t>依据来函所附产品资料作出，若后续提供的产品相关内容与来函所附产品资料不一致，则原管理属性及分类意见不适用。</w:t>
      </w:r>
    </w:p>
    <w:sectPr>
      <w:footerReference r:id="rId5" w:type="first"/>
      <w:footerReference r:id="rId3" w:type="default"/>
      <w:footerReference r:id="rId4" w:type="even"/>
      <w:pgSz w:w="11906" w:h="16838"/>
      <w:pgMar w:top="1928" w:right="1531" w:bottom="1814" w:left="1531" w:header="0" w:footer="1361" w:gutter="0"/>
      <w:pgNumType w:start="3"/>
      <w:cols w:space="0" w:num="1"/>
      <w:formProt w:val="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libri;DejaVu Sans">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宋体;方正书宋_GBK">
    <w:altName w:val="方正书宋_GBK"/>
    <w:panose1 w:val="00000000000000000000"/>
    <w:charset w:val="86"/>
    <w:family w:val="roman"/>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CAGKDB+CESI_FS_GB18030">
    <w:altName w:val="宋体"/>
    <w:panose1 w:val="02000500000000000000"/>
    <w:charset w:val="86"/>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方正书宋_GBK" w:hAnsi="宋体;方正书宋_GBK" w:cs="宋体;方正书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wordWrap w:val="0"/>
                            <w:jc w:val="right"/>
                            <w:rPr>
                              <w:rFonts w:hint="eastAsia" w:eastAsia="宋体;方正书宋_GBK"/>
                              <w:lang w:val="en-US" w:eastAsia="zh-CN"/>
                            </w:rPr>
                          </w:pPr>
                          <w:r>
                            <w:rPr>
                              <w:rFonts w:hint="eastAsia" w:ascii="宋体;方正书宋_GBK" w:hAnsi="宋体;方正书宋_GBK" w:cs="宋体;方正书宋_GBK"/>
                              <w:color w:val="FFFFFF" w:themeColor="background1"/>
                              <w:sz w:val="28"/>
                              <w:szCs w:val="28"/>
                              <w:lang w:eastAsia="zh-CN"/>
                              <w14:textFill>
                                <w14:solidFill>
                                  <w14:schemeClr w14:val="bg1"/>
                                </w14:solidFill>
                              </w14:textFill>
                            </w:rPr>
                            <w:t>—</w:t>
                          </w:r>
                          <w:r>
                            <w:rPr>
                              <w:rFonts w:hint="eastAsia" w:ascii="宋体;方正书宋_GBK" w:hAnsi="宋体;方正书宋_GBK" w:cs="宋体;方正书宋_GBK"/>
                              <w:sz w:val="28"/>
                              <w:szCs w:val="28"/>
                              <w:lang w:eastAsia="zh-CN"/>
                            </w:rPr>
                            <w:t>—</w:t>
                          </w:r>
                          <w:r>
                            <w:rPr>
                              <w:rFonts w:hint="eastAsia" w:ascii="宋体;方正书宋_GBK" w:hAnsi="宋体;方正书宋_GBK" w:cs="宋体;方正书宋_GBK"/>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25</w:t>
                          </w:r>
                          <w:r>
                            <w:rPr>
                              <w:rFonts w:hint="default" w:ascii="Times New Roman" w:hAnsi="Times New Roman" w:cs="Times New Roman"/>
                              <w:sz w:val="28"/>
                              <w:szCs w:val="28"/>
                            </w:rPr>
                            <w:fldChar w:fldCharType="end"/>
                          </w:r>
                          <w:r>
                            <w:rPr>
                              <w:rFonts w:hint="eastAsia" w:ascii="宋体;方正书宋_GBK" w:hAnsi="宋体;方正书宋_GBK" w:cs="宋体;方正书宋_GBK"/>
                              <w:sz w:val="28"/>
                              <w:szCs w:val="28"/>
                              <w:lang w:val="en-US" w:eastAsia="zh-CN"/>
                            </w:rPr>
                            <w:t xml:space="preserve"> —</w:t>
                          </w:r>
                          <w:r>
                            <w:rPr>
                              <w:rFonts w:hint="eastAsia" w:ascii="宋体;方正书宋_GBK" w:hAnsi="宋体;方正书宋_GBK" w:cs="宋体;方正书宋_GBK"/>
                              <w:color w:val="FFFFFF" w:themeColor="background1"/>
                              <w:sz w:val="28"/>
                              <w:szCs w:val="28"/>
                              <w:lang w:val="en-US" w:eastAsia="zh-CN"/>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wordWrap w:val="0"/>
                      <w:jc w:val="right"/>
                      <w:rPr>
                        <w:rFonts w:hint="eastAsia" w:eastAsia="宋体;方正书宋_GBK"/>
                        <w:lang w:val="en-US" w:eastAsia="zh-CN"/>
                      </w:rPr>
                    </w:pPr>
                    <w:r>
                      <w:rPr>
                        <w:rFonts w:hint="eastAsia" w:ascii="宋体;方正书宋_GBK" w:hAnsi="宋体;方正书宋_GBK" w:cs="宋体;方正书宋_GBK"/>
                        <w:color w:val="FFFFFF" w:themeColor="background1"/>
                        <w:sz w:val="28"/>
                        <w:szCs w:val="28"/>
                        <w:lang w:eastAsia="zh-CN"/>
                        <w14:textFill>
                          <w14:solidFill>
                            <w14:schemeClr w14:val="bg1"/>
                          </w14:solidFill>
                        </w14:textFill>
                      </w:rPr>
                      <w:t>—</w:t>
                    </w:r>
                    <w:r>
                      <w:rPr>
                        <w:rFonts w:hint="eastAsia" w:ascii="宋体;方正书宋_GBK" w:hAnsi="宋体;方正书宋_GBK" w:cs="宋体;方正书宋_GBK"/>
                        <w:sz w:val="28"/>
                        <w:szCs w:val="28"/>
                        <w:lang w:eastAsia="zh-CN"/>
                      </w:rPr>
                      <w:t>—</w:t>
                    </w:r>
                    <w:r>
                      <w:rPr>
                        <w:rFonts w:hint="eastAsia" w:ascii="宋体;方正书宋_GBK" w:hAnsi="宋体;方正书宋_GBK" w:cs="宋体;方正书宋_GBK"/>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25</w:t>
                    </w:r>
                    <w:r>
                      <w:rPr>
                        <w:rFonts w:hint="default" w:ascii="Times New Roman" w:hAnsi="Times New Roman" w:cs="Times New Roman"/>
                        <w:sz w:val="28"/>
                        <w:szCs w:val="28"/>
                      </w:rPr>
                      <w:fldChar w:fldCharType="end"/>
                    </w:r>
                    <w:r>
                      <w:rPr>
                        <w:rFonts w:hint="eastAsia" w:ascii="宋体;方正书宋_GBK" w:hAnsi="宋体;方正书宋_GBK" w:cs="宋体;方正书宋_GBK"/>
                        <w:sz w:val="28"/>
                        <w:szCs w:val="28"/>
                        <w:lang w:val="en-US" w:eastAsia="zh-CN"/>
                      </w:rPr>
                      <w:t xml:space="preserve"> —</w:t>
                    </w:r>
                    <w:r>
                      <w:rPr>
                        <w:rFonts w:hint="eastAsia" w:ascii="宋体;方正书宋_GBK" w:hAnsi="宋体;方正书宋_GBK" w:cs="宋体;方正书宋_GBK"/>
                        <w:color w:val="FFFFFF" w:themeColor="background1"/>
                        <w:sz w:val="28"/>
                        <w:szCs w:val="28"/>
                        <w:lang w:val="en-US" w:eastAsia="zh-CN"/>
                        <w14:textFill>
                          <w14:solidFill>
                            <w14:schemeClr w14:val="bg1"/>
                          </w14:solidFill>
                        </w14:textFill>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方正书宋_GBK" w:hAnsi="宋体;方正书宋_GBK" w:cs="宋体;方正书宋_GBK"/>
        <w:sz w:val="28"/>
        <w:szCs w:val="28"/>
      </w:rPr>
    </w:pPr>
    <w:r>
      <w:rPr>
        <w:rFonts w:ascii="宋体;方正书宋_GBK" w:hAnsi="宋体;方正书宋_GBK" w:cs="宋体;方正书宋_GBK"/>
        <w:sz w:val="28"/>
        <w:szCs w:val="28"/>
      </w:rPr>
      <w:fldChar w:fldCharType="begin"/>
    </w:r>
    <w:r>
      <w:rPr>
        <w:rFonts w:ascii="宋体;方正书宋_GBK" w:hAnsi="宋体;方正书宋_GBK" w:cs="宋体;方正书宋_GBK"/>
        <w:sz w:val="28"/>
        <w:szCs w:val="28"/>
      </w:rPr>
      <w:instrText xml:space="preserve">PAGE</w:instrText>
    </w:r>
    <w:r>
      <w:rPr>
        <w:rFonts w:ascii="宋体;方正书宋_GBK" w:hAnsi="宋体;方正书宋_GBK" w:cs="宋体;方正书宋_GBK"/>
        <w:sz w:val="28"/>
        <w:szCs w:val="28"/>
      </w:rPr>
      <w:fldChar w:fldCharType="separate"/>
    </w:r>
    <w:r>
      <w:rPr>
        <w:rFonts w:ascii="宋体;方正书宋_GBK" w:hAnsi="宋体;方正书宋_GBK" w:cs="宋体;方正书宋_GBK"/>
        <w:sz w:val="28"/>
        <w:szCs w:val="28"/>
      </w:rPr>
      <w:t>26</w:t>
    </w:r>
    <w:r>
      <w:rPr>
        <w:rFonts w:ascii="宋体;方正书宋_GBK" w:hAnsi="宋体;方正书宋_GBK" w:cs="宋体;方正书宋_GBK"/>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2076"/>
        <w:tab w:val="left" w:pos="4688"/>
        <w:tab w:val="left" w:pos="5976"/>
        <w:tab w:val="left" w:pos="6864"/>
        <w:tab w:val="right" w:pos="7725"/>
      </w:tabs>
      <w:ind w:right="1119" w:rightChars="533"/>
      <w:rPr>
        <w:rFonts w:ascii="宋体;方正书宋_GBK" w:hAnsi="宋体;方正书宋_GBK" w:cs="宋体;方正书宋_GBK"/>
        <w:sz w:val="28"/>
        <w:szCs w:val="28"/>
        <w:lang w:val="zh-CN"/>
      </w:rPr>
    </w:pPr>
    <w:r>
      <w:rPr>
        <w:rFonts w:ascii="宋体;方正书宋_GBK" w:hAnsi="宋体;方正书宋_GBK" w:cs="宋体;方正书宋_GBK"/>
        <w:sz w:val="28"/>
        <w:szCs w:val="28"/>
        <w:lang w:val="zh-CN"/>
      </w:rPr>
      <w:tab/>
    </w:r>
    <w:r>
      <w:rPr>
        <w:rFonts w:ascii="宋体;方正书宋_GBK" w:hAnsi="宋体;方正书宋_GBK" w:cs="宋体;方正书宋_GBK"/>
        <w:sz w:val="28"/>
        <w:szCs w:val="28"/>
        <w:lang w:val="zh-CN"/>
      </w:rPr>
      <w:tab/>
    </w:r>
    <w:r>
      <w:rPr>
        <w:rFonts w:ascii="宋体;方正书宋_GBK" w:hAnsi="宋体;方正书宋_GBK" w:cs="宋体;方正书宋_GBK"/>
        <w:sz w:val="28"/>
        <w:szCs w:val="28"/>
        <w:lang w:val="zh-CN"/>
      </w:rPr>
      <w:tab/>
    </w:r>
    <w:r>
      <w:rPr>
        <w:rFonts w:ascii="宋体;方正书宋_GBK" w:hAnsi="宋体;方正书宋_GBK" w:cs="宋体;方正书宋_GBK"/>
        <w:sz w:val="28"/>
        <w:szCs w:val="28"/>
        <w:lang w:val="zh-CN"/>
      </w:rPr>
      <w:tab/>
    </w:r>
    <w:r>
      <w:rPr>
        <w:rFonts w:ascii="宋体;方正书宋_GBK" w:hAnsi="宋体;方正书宋_GBK" w:cs="宋体;方正书宋_GBK"/>
        <w:sz w:val="28"/>
        <w:szCs w:val="28"/>
        <w:lang w:val="zh-CN"/>
      </w:rPr>
      <w:tab/>
    </w:r>
    <w:r>
      <w:rPr>
        <w:rFonts w:ascii="宋体;方正书宋_GBK" w:hAnsi="宋体;方正书宋_GBK" w:cs="宋体;方正书宋_GBK"/>
        <w:sz w:val="28"/>
        <w:szCs w:val="28"/>
        <w:lang w:val="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CA64F"/>
    <w:multiLevelType w:val="singleLevel"/>
    <w:tmpl w:val="C76CA64F"/>
    <w:lvl w:ilvl="0" w:tentative="0">
      <w:start w:val="14"/>
      <w:numFmt w:val="chineseCounting"/>
      <w:suff w:val="nothing"/>
      <w:lvlText w:val="（%1）"/>
      <w:lvlJc w:val="left"/>
      <w:rPr>
        <w:rFonts w:hint="eastAsia"/>
      </w:rPr>
    </w:lvl>
  </w:abstractNum>
  <w:abstractNum w:abstractNumId="1">
    <w:nsid w:val="FDFAF88B"/>
    <w:multiLevelType w:val="singleLevel"/>
    <w:tmpl w:val="FDFAF88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xMzBiZWE0MTE0NzgyZWE5YTNjZjc5OTYxN2M2NDMifQ=="/>
  </w:docVars>
  <w:rsids>
    <w:rsidRoot w:val="00DB28C1"/>
    <w:rsid w:val="00000CA6"/>
    <w:rsid w:val="0001035A"/>
    <w:rsid w:val="00045FE2"/>
    <w:rsid w:val="000959A5"/>
    <w:rsid w:val="000C1C82"/>
    <w:rsid w:val="000C1E34"/>
    <w:rsid w:val="000D2656"/>
    <w:rsid w:val="00132EDE"/>
    <w:rsid w:val="001507DC"/>
    <w:rsid w:val="00165178"/>
    <w:rsid w:val="0018064B"/>
    <w:rsid w:val="001B4BDE"/>
    <w:rsid w:val="001F05BA"/>
    <w:rsid w:val="001F3876"/>
    <w:rsid w:val="00256AF8"/>
    <w:rsid w:val="00273943"/>
    <w:rsid w:val="00297FF4"/>
    <w:rsid w:val="002A4667"/>
    <w:rsid w:val="002E3C84"/>
    <w:rsid w:val="00317294"/>
    <w:rsid w:val="00374A30"/>
    <w:rsid w:val="00380003"/>
    <w:rsid w:val="003850E2"/>
    <w:rsid w:val="00392731"/>
    <w:rsid w:val="003B1F17"/>
    <w:rsid w:val="003C6721"/>
    <w:rsid w:val="003E0EFC"/>
    <w:rsid w:val="003E2732"/>
    <w:rsid w:val="004437FC"/>
    <w:rsid w:val="00445355"/>
    <w:rsid w:val="004747D0"/>
    <w:rsid w:val="004834DF"/>
    <w:rsid w:val="004A1B6A"/>
    <w:rsid w:val="004A6965"/>
    <w:rsid w:val="004C713B"/>
    <w:rsid w:val="004F28A9"/>
    <w:rsid w:val="004F3FB8"/>
    <w:rsid w:val="00524C6D"/>
    <w:rsid w:val="005414B4"/>
    <w:rsid w:val="005745EE"/>
    <w:rsid w:val="0060644A"/>
    <w:rsid w:val="00641037"/>
    <w:rsid w:val="00645202"/>
    <w:rsid w:val="00655C63"/>
    <w:rsid w:val="006A2676"/>
    <w:rsid w:val="006B6DE7"/>
    <w:rsid w:val="006D481B"/>
    <w:rsid w:val="006E598B"/>
    <w:rsid w:val="006F60EA"/>
    <w:rsid w:val="0073118D"/>
    <w:rsid w:val="007321F2"/>
    <w:rsid w:val="007462B8"/>
    <w:rsid w:val="00784003"/>
    <w:rsid w:val="00786659"/>
    <w:rsid w:val="00816331"/>
    <w:rsid w:val="008222BB"/>
    <w:rsid w:val="00853134"/>
    <w:rsid w:val="00886AA9"/>
    <w:rsid w:val="008B6F7B"/>
    <w:rsid w:val="008D2D0D"/>
    <w:rsid w:val="008F6CAC"/>
    <w:rsid w:val="00907443"/>
    <w:rsid w:val="0092632A"/>
    <w:rsid w:val="00981FAE"/>
    <w:rsid w:val="009B0C55"/>
    <w:rsid w:val="009E0527"/>
    <w:rsid w:val="009F71C6"/>
    <w:rsid w:val="00A6209C"/>
    <w:rsid w:val="00A655B7"/>
    <w:rsid w:val="00A65DC1"/>
    <w:rsid w:val="00B059A2"/>
    <w:rsid w:val="00B1359B"/>
    <w:rsid w:val="00B73469"/>
    <w:rsid w:val="00B91C9F"/>
    <w:rsid w:val="00BA3FB6"/>
    <w:rsid w:val="00BA475E"/>
    <w:rsid w:val="00BD0B1A"/>
    <w:rsid w:val="00C55FCB"/>
    <w:rsid w:val="00C778A2"/>
    <w:rsid w:val="00CA396F"/>
    <w:rsid w:val="00CE14DF"/>
    <w:rsid w:val="00D020AA"/>
    <w:rsid w:val="00D343F1"/>
    <w:rsid w:val="00D356BE"/>
    <w:rsid w:val="00D44A38"/>
    <w:rsid w:val="00D6560D"/>
    <w:rsid w:val="00D66A0F"/>
    <w:rsid w:val="00D9279C"/>
    <w:rsid w:val="00D93D47"/>
    <w:rsid w:val="00DB28C1"/>
    <w:rsid w:val="00DF546E"/>
    <w:rsid w:val="00DF5782"/>
    <w:rsid w:val="00E07190"/>
    <w:rsid w:val="00E632D8"/>
    <w:rsid w:val="00E813A9"/>
    <w:rsid w:val="00ED0595"/>
    <w:rsid w:val="00EE2324"/>
    <w:rsid w:val="00EF3360"/>
    <w:rsid w:val="00F376D0"/>
    <w:rsid w:val="00FD40A2"/>
    <w:rsid w:val="00FE020E"/>
    <w:rsid w:val="00FE4859"/>
    <w:rsid w:val="00FF69B2"/>
    <w:rsid w:val="04142F47"/>
    <w:rsid w:val="0FC82A43"/>
    <w:rsid w:val="15E776F8"/>
    <w:rsid w:val="235F153C"/>
    <w:rsid w:val="274D1263"/>
    <w:rsid w:val="28014EA5"/>
    <w:rsid w:val="2BA12CED"/>
    <w:rsid w:val="2BAF73FA"/>
    <w:rsid w:val="315D3E0F"/>
    <w:rsid w:val="32B57F5B"/>
    <w:rsid w:val="37B6E77A"/>
    <w:rsid w:val="3860102D"/>
    <w:rsid w:val="3CC9B037"/>
    <w:rsid w:val="3D5F1944"/>
    <w:rsid w:val="3E4F5FF8"/>
    <w:rsid w:val="3EFF1586"/>
    <w:rsid w:val="4FE7D359"/>
    <w:rsid w:val="4FFAD18E"/>
    <w:rsid w:val="5C5CFC42"/>
    <w:rsid w:val="5C631667"/>
    <w:rsid w:val="5CAC7619"/>
    <w:rsid w:val="5FDA686A"/>
    <w:rsid w:val="6669132F"/>
    <w:rsid w:val="69B71EB2"/>
    <w:rsid w:val="6A872649"/>
    <w:rsid w:val="6BF4506F"/>
    <w:rsid w:val="6BFB7933"/>
    <w:rsid w:val="737AF599"/>
    <w:rsid w:val="73BDFE77"/>
    <w:rsid w:val="75FF8BFE"/>
    <w:rsid w:val="770D00E4"/>
    <w:rsid w:val="7BD92CEC"/>
    <w:rsid w:val="7D3F9FDC"/>
    <w:rsid w:val="7E5B3330"/>
    <w:rsid w:val="7F4BA49C"/>
    <w:rsid w:val="7F6CF4DE"/>
    <w:rsid w:val="7FB68D8B"/>
    <w:rsid w:val="7FCB9628"/>
    <w:rsid w:val="7FDFF106"/>
    <w:rsid w:val="7FE37B93"/>
    <w:rsid w:val="7FF5DCE4"/>
    <w:rsid w:val="7FFFEA79"/>
    <w:rsid w:val="8DDB0C21"/>
    <w:rsid w:val="8FFF3BDB"/>
    <w:rsid w:val="97ED5C58"/>
    <w:rsid w:val="97EEB35D"/>
    <w:rsid w:val="97F5043B"/>
    <w:rsid w:val="9CB14A5F"/>
    <w:rsid w:val="A9E17905"/>
    <w:rsid w:val="AABFBB87"/>
    <w:rsid w:val="BA752792"/>
    <w:rsid w:val="BDFFB0BB"/>
    <w:rsid w:val="BF5FE421"/>
    <w:rsid w:val="BFDFA39A"/>
    <w:rsid w:val="BFE792DF"/>
    <w:rsid w:val="BFF9778B"/>
    <w:rsid w:val="C818DA0A"/>
    <w:rsid w:val="DBD70FAD"/>
    <w:rsid w:val="DE960D2D"/>
    <w:rsid w:val="DFF12207"/>
    <w:rsid w:val="DFFA350E"/>
    <w:rsid w:val="DFFD47A9"/>
    <w:rsid w:val="EBF7B5C3"/>
    <w:rsid w:val="EDE9643C"/>
    <w:rsid w:val="EDFF4CF8"/>
    <w:rsid w:val="F57F3B0F"/>
    <w:rsid w:val="F5BFE5EB"/>
    <w:rsid w:val="F5FFB0D5"/>
    <w:rsid w:val="F76BE230"/>
    <w:rsid w:val="FDFDCDEB"/>
    <w:rsid w:val="FEDB61F4"/>
    <w:rsid w:val="FFF7070F"/>
    <w:rsid w:val="FFFD24E4"/>
    <w:rsid w:val="FFFF89B3"/>
    <w:rsid w:val="FFFFE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DejaVu Sans" w:hAnsi="Calibri;DejaVu Sans" w:eastAsia="宋体;方正书宋_GBK"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unhideWhenUsed/>
    <w:qFormat/>
    <w:uiPriority w:val="99"/>
    <w:pPr>
      <w:jc w:val="left"/>
    </w:p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sz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批注文字 字符"/>
    <w:basedOn w:val="8"/>
    <w:link w:val="2"/>
    <w:semiHidden/>
    <w:qFormat/>
    <w:uiPriority w:val="99"/>
    <w:rPr>
      <w:rFonts w:ascii="Calibri;DejaVu Sans" w:hAnsi="Calibri;DejaVu Sans" w:eastAsia="宋体;方正书宋_GBK"/>
      <w:kern w:val="2"/>
      <w:szCs w:val="22"/>
      <w:lang w:bidi="ar-SA"/>
    </w:rPr>
  </w:style>
  <w:style w:type="character" w:customStyle="1" w:styleId="11">
    <w:name w:val="页眉 字符"/>
    <w:basedOn w:val="8"/>
    <w:link w:val="4"/>
    <w:qFormat/>
    <w:uiPriority w:val="99"/>
    <w:rPr>
      <w:rFonts w:ascii="Calibri;DejaVu Sans" w:hAnsi="Calibri;DejaVu Sans" w:eastAsia="宋体;方正书宋_GBK"/>
      <w:kern w:val="2"/>
      <w:sz w:val="18"/>
      <w:szCs w:val="18"/>
      <w:lang w:bidi="ar-SA"/>
    </w:rPr>
  </w:style>
  <w:style w:type="paragraph" w:customStyle="1" w:styleId="12">
    <w:name w:val="修订1"/>
    <w:hidden/>
    <w:semiHidden/>
    <w:qFormat/>
    <w:uiPriority w:val="99"/>
    <w:rPr>
      <w:rFonts w:ascii="Calibri;DejaVu Sans" w:hAnsi="Calibri;DejaVu Sans" w:eastAsia="宋体;方正书宋_GBK" w:cs="Times New Roman"/>
      <w:kern w:val="2"/>
      <w:sz w:val="21"/>
      <w:szCs w:val="22"/>
      <w:lang w:val="en-US" w:eastAsia="zh-CN" w:bidi="ar-SA"/>
    </w:rPr>
  </w:style>
  <w:style w:type="paragraph" w:styleId="13">
    <w:name w:val="List Paragraph"/>
    <w:basedOn w:val="1"/>
    <w:qFormat/>
    <w:uiPriority w:val="34"/>
    <w:pPr>
      <w:ind w:firstLine="420" w:firstLineChars="200"/>
    </w:pPr>
  </w:style>
  <w:style w:type="character" w:customStyle="1" w:styleId="14">
    <w:name w:val="要点1"/>
    <w:qFormat/>
    <w:uiPriority w:val="0"/>
    <w:rPr>
      <w:b/>
    </w:rPr>
  </w:style>
  <w:style w:type="paragraph" w:customStyle="1" w:styleId="15">
    <w:name w:val="修订2"/>
    <w:hidden/>
    <w:semiHidden/>
    <w:qFormat/>
    <w:uiPriority w:val="99"/>
    <w:rPr>
      <w:rFonts w:ascii="Calibri;DejaVu Sans" w:hAnsi="Calibri;DejaVu Sans" w:eastAsia="宋体;方正书宋_GBK" w:cs="Times New Roman"/>
      <w:kern w:val="2"/>
      <w:sz w:val="21"/>
      <w:szCs w:val="22"/>
      <w:lang w:val="en-US" w:eastAsia="zh-CN" w:bidi="ar-SA"/>
    </w:rPr>
  </w:style>
  <w:style w:type="paragraph" w:customStyle="1" w:styleId="16">
    <w:name w:val="Revision"/>
    <w:hidden/>
    <w:semiHidden/>
    <w:qFormat/>
    <w:uiPriority w:val="99"/>
    <w:rPr>
      <w:rFonts w:ascii="Calibri;DejaVu Sans" w:hAnsi="Calibri;DejaVu Sans" w:eastAsia="宋体;方正书宋_GBK"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9409</Words>
  <Characters>9565</Characters>
  <Lines>73</Lines>
  <Paragraphs>20</Paragraphs>
  <TotalTime>4</TotalTime>
  <ScaleCrop>false</ScaleCrop>
  <LinksUpToDate>false</LinksUpToDate>
  <CharactersWithSpaces>9921</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2023-06-03T18:55:00Z</dcterms:created>
  <dc:creator>12102</dc:creator>
  <cp:lastModifiedBy>zhouww</cp:lastModifiedBy>
  <cp:lastPrinted>2023-05-19T18:06:00Z</cp:lastPrinted>
  <dcterms:modified xsi:type="dcterms:W3CDTF">2023-09-18T15:11:15Z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3E0A74CCC6D1988D82F50765D79F244D</vt:lpwstr>
  </property>
  <property fmtid="{D5CDD505-2E9C-101B-9397-08002B2CF9AE}" pid="3" name="KSOProductBuildVer">
    <vt:lpwstr>2052-11.8.2.11929</vt:lpwstr>
  </property>
  <property fmtid="{D5CDD505-2E9C-101B-9397-08002B2CF9AE}" pid="4" name="commondata">
    <vt:lpwstr>commondata</vt:lpwstr>
  </property>
</Properties>
</file>