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8A55F2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8A55F2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000000" w:rsidRDefault="008A55F2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8A55F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32"/>
        </w:rPr>
        <w:t>七叶皂苷钠搽剂说明书</w:t>
      </w:r>
    </w:p>
    <w:p w:rsidR="00000000" w:rsidRDefault="008A55F2">
      <w:pPr>
        <w:jc w:val="center"/>
        <w:rPr>
          <w:b/>
          <w:sz w:val="24"/>
        </w:rPr>
      </w:pPr>
      <w:r>
        <w:rPr>
          <w:rFonts w:ascii="宋体" w:hAnsi="宋体" w:hint="eastAsia"/>
          <w:b/>
          <w:sz w:val="24"/>
        </w:rPr>
        <w:t>请仔细阅读说明书并按说明使用或在药师指导下购买和使用</w:t>
      </w:r>
    </w:p>
    <w:p w:rsidR="00000000" w:rsidRDefault="008A55F2">
      <w:pPr>
        <w:jc w:val="center"/>
        <w:rPr>
          <w:b/>
          <w:sz w:val="24"/>
        </w:rPr>
      </w:pP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hyperlink r:id="rId6" w:tgtFrame="_blank" w:history="1">
        <w:r>
          <w:rPr>
            <w:rStyle w:val="a4"/>
            <w:rFonts w:ascii="宋体" w:hAnsi="宋体" w:hint="eastAsia"/>
            <w:sz w:val="24"/>
          </w:rPr>
          <w:t>药品</w:t>
        </w:r>
      </w:hyperlink>
      <w:r>
        <w:rPr>
          <w:rFonts w:ascii="宋体" w:hAnsi="宋体" w:hint="eastAsia"/>
          <w:sz w:val="24"/>
        </w:rPr>
        <w:t>名称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通用名称：七叶皂苷钠搽剂</w:t>
      </w:r>
      <w:r>
        <w:rPr>
          <w:rFonts w:ascii="宋体" w:hAnsi="宋体" w:hint="eastAsia"/>
          <w:sz w:val="24"/>
        </w:rPr>
        <w:t xml:space="preserve">   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商品名称：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英文名称：</w:t>
      </w:r>
    </w:p>
    <w:p w:rsidR="00000000" w:rsidRDefault="008A55F2">
      <w:pPr>
        <w:rPr>
          <w:sz w:val="24"/>
        </w:rPr>
      </w:pPr>
      <w:r>
        <w:rPr>
          <w:rFonts w:ascii="宋体" w:hAnsi="宋体" w:hint="eastAsia"/>
          <w:sz w:val="24"/>
        </w:rPr>
        <w:t>汉语拼音：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成份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/>
          <w:sz w:val="24"/>
        </w:rPr>
        <w:t xml:space="preserve"> </w:t>
      </w:r>
    </w:p>
    <w:p w:rsidR="00000000" w:rsidRDefault="008A55F2">
      <w:pPr>
        <w:tabs>
          <w:tab w:val="left" w:pos="144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性状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作用类别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 w:hint="eastAsia"/>
          <w:sz w:val="24"/>
        </w:rPr>
        <w:t>本品为镇痛类非处方药药品。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适应症</w:t>
      </w:r>
      <w:r>
        <w:rPr>
          <w:rFonts w:ascii="宋体" w:hAnsi="宋体" w:hint="eastAsia"/>
          <w:sz w:val="24"/>
        </w:rPr>
        <w:t>]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>用于急性闭合性的软组织损伤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如肌腱、韧带、肌肉和关节部位的扭伤、压伤和瘀斑等。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规格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1%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用法用量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取本品适量涂搽于患处。每次搽两遍，以不溢出为度。每天</w:t>
      </w:r>
      <w:r>
        <w:rPr>
          <w:rFonts w:ascii="宋体" w:hAnsi="宋体" w:hint="eastAsia"/>
          <w:sz w:val="24"/>
        </w:rPr>
        <w:t>2-4</w:t>
      </w:r>
      <w:r>
        <w:rPr>
          <w:rFonts w:ascii="宋体" w:hAnsi="宋体" w:hint="eastAsia"/>
          <w:sz w:val="24"/>
        </w:rPr>
        <w:t>次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疗程为一周。</w:t>
      </w: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不良反应</w:t>
      </w:r>
      <w:r>
        <w:rPr>
          <w:rFonts w:ascii="宋体" w:hAnsi="宋体" w:hint="eastAsia"/>
          <w:sz w:val="24"/>
        </w:rPr>
        <w:t>]</w:t>
      </w:r>
      <w:r>
        <w:rPr>
          <w:rFonts w:ascii="宋体" w:hAnsi="宋体" w:hint="eastAsia"/>
          <w:sz w:val="24"/>
        </w:rPr>
        <w:t>国外有使用七叶皂苷外用制剂发生接触性荨麻疹的个例报道。</w:t>
      </w:r>
    </w:p>
    <w:p w:rsidR="00000000" w:rsidRDefault="008A55F2">
      <w:pPr>
        <w:rPr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禁</w:t>
      </w:r>
      <w:r>
        <w:rPr>
          <w:sz w:val="24"/>
        </w:rPr>
        <w:t>忌</w:t>
      </w:r>
      <w:r>
        <w:rPr>
          <w:sz w:val="24"/>
        </w:rPr>
        <w:t>]</w:t>
      </w:r>
    </w:p>
    <w:p w:rsidR="00000000" w:rsidRDefault="008A55F2">
      <w:pPr>
        <w:pStyle w:val="a5"/>
        <w:ind w:left="480" w:firstLineChars="0" w:firstLine="0"/>
        <w:rPr>
          <w:sz w:val="24"/>
        </w:rPr>
      </w:pPr>
      <w:r>
        <w:rPr>
          <w:sz w:val="24"/>
          <w:lang w:val="en"/>
        </w:rPr>
        <w:t xml:space="preserve">1. </w:t>
      </w:r>
      <w:r>
        <w:rPr>
          <w:sz w:val="24"/>
        </w:rPr>
        <w:t>禁用于破损皮肤及黏膜。</w:t>
      </w:r>
    </w:p>
    <w:p w:rsidR="00000000" w:rsidRDefault="008A55F2">
      <w:pPr>
        <w:pStyle w:val="a5"/>
        <w:ind w:left="480" w:firstLineChars="0" w:firstLine="0"/>
        <w:rPr>
          <w:sz w:val="24"/>
        </w:rPr>
      </w:pPr>
      <w:r>
        <w:rPr>
          <w:sz w:val="24"/>
          <w:lang w:val="en"/>
        </w:rPr>
        <w:t xml:space="preserve">2. </w:t>
      </w:r>
      <w:r>
        <w:rPr>
          <w:sz w:val="24"/>
        </w:rPr>
        <w:t>孕妇禁用。</w:t>
      </w:r>
    </w:p>
    <w:p w:rsidR="00000000" w:rsidRDefault="008A55F2">
      <w:pPr>
        <w:pStyle w:val="a5"/>
        <w:ind w:left="480" w:firstLineChars="0" w:firstLine="0"/>
        <w:rPr>
          <w:sz w:val="24"/>
        </w:rPr>
      </w:pPr>
      <w:r>
        <w:rPr>
          <w:sz w:val="24"/>
          <w:lang w:val="en"/>
        </w:rPr>
        <w:t xml:space="preserve">3. </w:t>
      </w:r>
      <w:r>
        <w:rPr>
          <w:sz w:val="24"/>
        </w:rPr>
        <w:t>肾损伤、肾衰竭、肾功能不全患者禁用。</w:t>
      </w:r>
    </w:p>
    <w:p w:rsidR="00000000" w:rsidRDefault="008A55F2">
      <w:pPr>
        <w:rPr>
          <w:sz w:val="24"/>
        </w:rPr>
      </w:pPr>
      <w:r>
        <w:rPr>
          <w:sz w:val="24"/>
        </w:rPr>
        <w:t>[</w:t>
      </w:r>
      <w:r>
        <w:rPr>
          <w:sz w:val="24"/>
        </w:rPr>
        <w:t>注意事项</w:t>
      </w:r>
      <w:r>
        <w:rPr>
          <w:sz w:val="24"/>
        </w:rPr>
        <w:t>]</w:t>
      </w:r>
    </w:p>
    <w:p w:rsidR="00000000" w:rsidRDefault="008A55F2">
      <w:pPr>
        <w:pStyle w:val="a5"/>
        <w:ind w:leftChars="200" w:left="420" w:firstLineChars="0" w:firstLine="0"/>
        <w:rPr>
          <w:sz w:val="24"/>
        </w:rPr>
      </w:pPr>
      <w:r>
        <w:rPr>
          <w:sz w:val="24"/>
          <w:lang w:val="en"/>
        </w:rPr>
        <w:t xml:space="preserve">1. </w:t>
      </w:r>
      <w:r>
        <w:rPr>
          <w:sz w:val="24"/>
        </w:rPr>
        <w:t>本品不适用于慢性软组织损伤、骨折、肌腱、韧带断裂的疾患。</w:t>
      </w:r>
    </w:p>
    <w:p w:rsidR="00000000" w:rsidRDefault="008A55F2">
      <w:pPr>
        <w:pStyle w:val="a5"/>
        <w:ind w:leftChars="200" w:left="420" w:firstLineChars="0" w:firstLine="0"/>
        <w:rPr>
          <w:sz w:val="24"/>
        </w:rPr>
      </w:pPr>
      <w:r>
        <w:rPr>
          <w:sz w:val="24"/>
          <w:lang w:val="en"/>
        </w:rPr>
        <w:t xml:space="preserve">2. </w:t>
      </w:r>
      <w:r>
        <w:rPr>
          <w:sz w:val="24"/>
        </w:rPr>
        <w:t>对本品过敏者禁用，过敏体质者慎用。</w:t>
      </w:r>
    </w:p>
    <w:p w:rsidR="00000000" w:rsidRDefault="008A55F2">
      <w:pPr>
        <w:pStyle w:val="a5"/>
        <w:ind w:leftChars="200" w:left="420" w:firstLineChars="0" w:firstLine="0"/>
        <w:rPr>
          <w:sz w:val="24"/>
        </w:rPr>
      </w:pPr>
      <w:r>
        <w:rPr>
          <w:sz w:val="24"/>
          <w:lang w:val="en"/>
        </w:rPr>
        <w:t xml:space="preserve">3. </w:t>
      </w:r>
      <w:r>
        <w:rPr>
          <w:sz w:val="24"/>
        </w:rPr>
        <w:t>哺乳期妇女应在医师指导下使用。</w:t>
      </w:r>
    </w:p>
    <w:p w:rsidR="00000000" w:rsidRDefault="008A55F2">
      <w:pPr>
        <w:pStyle w:val="a5"/>
        <w:ind w:leftChars="200" w:left="420" w:firstLineChars="0" w:firstLine="0"/>
        <w:rPr>
          <w:sz w:val="24"/>
        </w:rPr>
      </w:pPr>
      <w:r>
        <w:rPr>
          <w:sz w:val="24"/>
          <w:lang w:val="en"/>
        </w:rPr>
        <w:t xml:space="preserve">4. </w:t>
      </w:r>
      <w:r>
        <w:rPr>
          <w:sz w:val="24"/>
        </w:rPr>
        <w:t>本品性状发生改变时禁止使用。</w:t>
      </w:r>
    </w:p>
    <w:p w:rsidR="00000000" w:rsidRDefault="008A55F2">
      <w:pPr>
        <w:pStyle w:val="a5"/>
        <w:ind w:leftChars="200" w:left="420" w:firstLineChars="0" w:firstLine="0"/>
        <w:rPr>
          <w:sz w:val="24"/>
        </w:rPr>
      </w:pPr>
      <w:r>
        <w:rPr>
          <w:sz w:val="24"/>
          <w:lang w:val="en"/>
        </w:rPr>
        <w:t xml:space="preserve">5. </w:t>
      </w:r>
      <w:r>
        <w:rPr>
          <w:sz w:val="24"/>
        </w:rPr>
        <w:t>请将本品放在儿童不能接触的地方。</w:t>
      </w:r>
    </w:p>
    <w:p w:rsidR="00000000" w:rsidRDefault="008A55F2">
      <w:pPr>
        <w:pStyle w:val="a5"/>
        <w:ind w:leftChars="200" w:left="420" w:firstLineChars="0" w:firstLine="0"/>
        <w:rPr>
          <w:sz w:val="24"/>
        </w:rPr>
      </w:pPr>
      <w:r>
        <w:rPr>
          <w:sz w:val="24"/>
          <w:lang w:val="en"/>
        </w:rPr>
        <w:t xml:space="preserve">6. </w:t>
      </w:r>
      <w:r>
        <w:rPr>
          <w:sz w:val="24"/>
        </w:rPr>
        <w:t>儿童必须在成人监护下使</w:t>
      </w:r>
      <w:r>
        <w:rPr>
          <w:sz w:val="24"/>
        </w:rPr>
        <w:t>用。</w:t>
      </w:r>
    </w:p>
    <w:p w:rsidR="00000000" w:rsidRDefault="008A55F2">
      <w:pPr>
        <w:pStyle w:val="a5"/>
        <w:ind w:leftChars="200" w:left="420" w:firstLineChars="0" w:firstLine="0"/>
        <w:rPr>
          <w:sz w:val="24"/>
        </w:rPr>
      </w:pPr>
      <w:r>
        <w:rPr>
          <w:sz w:val="24"/>
          <w:lang w:val="en"/>
        </w:rPr>
        <w:t xml:space="preserve">7. </w:t>
      </w:r>
      <w:r>
        <w:rPr>
          <w:sz w:val="24"/>
        </w:rPr>
        <w:t>如正在使用其他药品，使用本品前请咨询医师或药师。</w:t>
      </w:r>
    </w:p>
    <w:p w:rsidR="00000000" w:rsidRDefault="008A55F2">
      <w:pPr>
        <w:rPr>
          <w:rFonts w:ascii="宋体" w:hAnsi="宋体"/>
          <w:sz w:val="24"/>
        </w:rPr>
      </w:pPr>
      <w:r>
        <w:rPr>
          <w:sz w:val="24"/>
        </w:rPr>
        <w:t>[</w:t>
      </w:r>
      <w:r>
        <w:rPr>
          <w:sz w:val="24"/>
        </w:rPr>
        <w:t>药物相互作用</w:t>
      </w:r>
      <w:r>
        <w:rPr>
          <w:sz w:val="24"/>
        </w:rPr>
        <w:t>]</w:t>
      </w:r>
      <w:r>
        <w:rPr>
          <w:sz w:val="24"/>
        </w:rPr>
        <w:t>如与其他药物同时</w:t>
      </w:r>
      <w:r>
        <w:rPr>
          <w:rFonts w:ascii="宋体" w:hAnsi="宋体"/>
          <w:sz w:val="24"/>
        </w:rPr>
        <w:t>使用可能会发生药物相互作用，详情请咨询医师或药师。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药理作用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本品能降低病理性毛细血管通透性增高，增加静脉张力，减少炎性物质渗出，具</w:t>
      </w:r>
      <w:r>
        <w:rPr>
          <w:rFonts w:ascii="宋体" w:hAnsi="宋体" w:hint="eastAsia"/>
          <w:sz w:val="24"/>
        </w:rPr>
        <w:lastRenderedPageBreak/>
        <w:t>有抗炎、消肿、止痛、改善血液循环、促进急性闭合性软组织损伤恢复的作用。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贮藏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包装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有效期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执行标准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批准文号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说明书修订日期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药品上市许可持有人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称：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注册地址：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电话号码：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传真号码：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网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址：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生产企业</w:t>
      </w:r>
      <w:r>
        <w:rPr>
          <w:rFonts w:ascii="宋体" w:hAnsi="宋体" w:hint="eastAsia"/>
          <w:sz w:val="24"/>
        </w:rPr>
        <w:t>]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企业名称：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生产地址：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电话号码：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传真号码：</w:t>
      </w:r>
    </w:p>
    <w:p w:rsidR="00000000" w:rsidRDefault="008A55F2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网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址：</w:t>
      </w:r>
    </w:p>
    <w:p w:rsidR="00000000" w:rsidRDefault="008A55F2">
      <w:pPr>
        <w:spacing w:line="360" w:lineRule="exact"/>
        <w:rPr>
          <w:szCs w:val="21"/>
        </w:rPr>
      </w:pPr>
      <w:r>
        <w:rPr>
          <w:rFonts w:ascii="宋体" w:hAnsi="宋体" w:hint="eastAsia"/>
          <w:sz w:val="24"/>
        </w:rPr>
        <w:t>如有问题可与药品上市许可持有人联系</w:t>
      </w:r>
    </w:p>
    <w:p w:rsidR="00000000" w:rsidRDefault="008A55F2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8A55F2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8A55F2">
      <w:pPr>
        <w:rPr>
          <w:rFonts w:ascii="仿宋_GB2312" w:eastAsia="仿宋_GB2312" w:hAnsi="华文仿宋" w:hint="eastAsia"/>
          <w:sz w:val="32"/>
          <w:szCs w:val="32"/>
        </w:rPr>
      </w:pPr>
    </w:p>
    <w:p w:rsidR="008A55F2" w:rsidRDefault="008A55F2">
      <w:pPr>
        <w:rPr>
          <w:rFonts w:ascii="仿宋_GB2312" w:eastAsia="仿宋_GB2312" w:hAnsi="华文仿宋" w:hint="eastAsia"/>
          <w:sz w:val="32"/>
          <w:szCs w:val="32"/>
        </w:rPr>
      </w:pPr>
    </w:p>
    <w:sectPr w:rsidR="008A55F2">
      <w:footerReference w:type="even" r:id="rId7"/>
      <w:footerReference w:type="default" r:id="rId8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F2" w:rsidRDefault="008A55F2">
      <w:r>
        <w:separator/>
      </w:r>
    </w:p>
  </w:endnote>
  <w:endnote w:type="continuationSeparator" w:id="0">
    <w:p w:rsidR="008A55F2" w:rsidRDefault="008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926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A55F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8A55F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926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A55F2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6AE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8A55F2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</w:instrText>
                    </w:r>
                    <w:r>
                      <w:rPr>
                        <w:sz w:val="28"/>
                        <w:szCs w:val="28"/>
                      </w:rPr>
                      <w:instrText xml:space="preserve">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66AE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F2" w:rsidRDefault="008A55F2">
      <w:r>
        <w:separator/>
      </w:r>
    </w:p>
  </w:footnote>
  <w:footnote w:type="continuationSeparator" w:id="0">
    <w:p w:rsidR="008A55F2" w:rsidRDefault="008A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F452A"/>
    <w:rsid w:val="7F7F452A"/>
    <w:rsid w:val="BFBE0B73"/>
    <w:rsid w:val="00466AE4"/>
    <w:rsid w:val="00592660"/>
    <w:rsid w:val="00686346"/>
    <w:rsid w:val="008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91BE8F-D945-436D-8A7D-C94BC14A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qFormat/>
    <w:rPr>
      <w:color w:val="552C55"/>
      <w:u w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llw.com/pro/link.asp?id=385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2</cp:revision>
  <dcterms:created xsi:type="dcterms:W3CDTF">2024-03-26T01:41:00Z</dcterms:created>
  <dcterms:modified xsi:type="dcterms:W3CDTF">2024-03-26T01:41:00Z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EEA70BEB5954D054C9D30066F1EB72DA</vt:lpwstr>
  </property>
</Properties>
</file>