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89F" w:rsidRDefault="00153495">
      <w:pPr>
        <w:spacing w:line="540" w:lineRule="exact"/>
        <w:rPr>
          <w:rFonts w:ascii="黑体" w:eastAsia="黑体" w:hAnsi="黑体" w:cs="黑体"/>
          <w:sz w:val="32"/>
          <w:szCs w:val="32"/>
        </w:rPr>
      </w:pPr>
      <w:r>
        <w:rPr>
          <w:rFonts w:ascii="黑体" w:eastAsia="黑体" w:hAnsi="黑体" w:cs="黑体" w:hint="eastAsia"/>
          <w:sz w:val="32"/>
          <w:szCs w:val="32"/>
          <w:lang w:val="en"/>
        </w:rPr>
        <w:t>附件</w:t>
      </w:r>
      <w:r>
        <w:rPr>
          <w:rFonts w:ascii="黑体" w:eastAsia="黑体" w:hAnsi="黑体" w:cs="黑体" w:hint="eastAsia"/>
          <w:sz w:val="32"/>
          <w:szCs w:val="32"/>
        </w:rPr>
        <w:t>2</w:t>
      </w:r>
    </w:p>
    <w:p w:rsidR="0072789F" w:rsidRDefault="0072789F">
      <w:pPr>
        <w:spacing w:line="540" w:lineRule="exact"/>
        <w:ind w:firstLineChars="200" w:firstLine="880"/>
        <w:rPr>
          <w:rFonts w:eastAsia="方正小标宋_GBK"/>
          <w:sz w:val="44"/>
          <w:szCs w:val="44"/>
        </w:rPr>
      </w:pPr>
    </w:p>
    <w:p w:rsidR="0072789F" w:rsidRPr="008D5905" w:rsidRDefault="00153495">
      <w:pPr>
        <w:adjustRightInd w:val="0"/>
        <w:snapToGrid w:val="0"/>
        <w:spacing w:line="540" w:lineRule="exact"/>
        <w:jc w:val="center"/>
        <w:rPr>
          <w:rFonts w:ascii="方正小标宋简体" w:eastAsia="方正小标宋简体" w:hint="eastAsia"/>
          <w:sz w:val="44"/>
          <w:szCs w:val="44"/>
        </w:rPr>
      </w:pPr>
      <w:r w:rsidRPr="008D5905">
        <w:rPr>
          <w:rFonts w:ascii="方正小标宋简体" w:eastAsia="方正小标宋简体" w:hint="eastAsia"/>
          <w:sz w:val="44"/>
          <w:szCs w:val="44"/>
        </w:rPr>
        <w:t>《关于简化港澳已上市传统口服中成药内地</w:t>
      </w:r>
    </w:p>
    <w:p w:rsidR="0072789F" w:rsidRPr="008D5905" w:rsidRDefault="00153495">
      <w:pPr>
        <w:adjustRightInd w:val="0"/>
        <w:snapToGrid w:val="0"/>
        <w:spacing w:line="540" w:lineRule="exact"/>
        <w:jc w:val="center"/>
        <w:rPr>
          <w:rFonts w:ascii="方正小标宋简体" w:eastAsia="方正小标宋简体" w:hint="eastAsia"/>
          <w:sz w:val="44"/>
          <w:szCs w:val="44"/>
        </w:rPr>
      </w:pPr>
      <w:r w:rsidRPr="008D5905">
        <w:rPr>
          <w:rFonts w:ascii="方正小标宋简体" w:eastAsia="方正小标宋简体" w:hint="eastAsia"/>
          <w:sz w:val="44"/>
          <w:szCs w:val="44"/>
        </w:rPr>
        <w:t>上市注册审批的公告（征求意见稿）》</w:t>
      </w:r>
    </w:p>
    <w:p w:rsidR="0072789F" w:rsidRPr="008D5905" w:rsidRDefault="00153495">
      <w:pPr>
        <w:adjustRightInd w:val="0"/>
        <w:snapToGrid w:val="0"/>
        <w:spacing w:line="540" w:lineRule="exact"/>
        <w:jc w:val="center"/>
        <w:rPr>
          <w:rFonts w:ascii="方正小标宋简体" w:eastAsia="方正小标宋简体" w:hint="eastAsia"/>
          <w:sz w:val="44"/>
          <w:szCs w:val="44"/>
        </w:rPr>
      </w:pPr>
      <w:r w:rsidRPr="008D5905">
        <w:rPr>
          <w:rFonts w:ascii="方正小标宋简体" w:eastAsia="方正小标宋简体" w:hint="eastAsia"/>
          <w:sz w:val="44"/>
          <w:szCs w:val="44"/>
        </w:rPr>
        <w:t>起草说明</w:t>
      </w:r>
    </w:p>
    <w:p w:rsidR="0072789F" w:rsidRDefault="0072789F">
      <w:pPr>
        <w:widowControl/>
        <w:spacing w:line="540" w:lineRule="exact"/>
        <w:ind w:firstLineChars="200" w:firstLine="640"/>
        <w:rPr>
          <w:rFonts w:eastAsia="仿宋_GB2312"/>
          <w:sz w:val="32"/>
          <w:szCs w:val="30"/>
        </w:rPr>
      </w:pPr>
    </w:p>
    <w:p w:rsidR="0072789F" w:rsidRDefault="00153495">
      <w:pPr>
        <w:widowControl/>
        <w:spacing w:line="540" w:lineRule="exact"/>
        <w:ind w:firstLineChars="200" w:firstLine="640"/>
        <w:rPr>
          <w:rFonts w:ascii="仿宋_GB2312" w:eastAsia="仿宋_GB2312" w:hAnsi="仿宋_GB2312" w:cs="仿宋_GB2312"/>
          <w:sz w:val="32"/>
          <w:szCs w:val="32"/>
        </w:rPr>
      </w:pPr>
      <w:r>
        <w:rPr>
          <w:rFonts w:eastAsia="仿宋_GB2312"/>
          <w:color w:val="000000"/>
          <w:sz w:val="32"/>
          <w:szCs w:val="32"/>
        </w:rPr>
        <w:t>为贯彻落实国家建设粤港澳大湾区战略部署，进一步支持香港特别行政区、澳门特别行政区中医药发展，更好融入国家发展大局，</w:t>
      </w:r>
      <w:r>
        <w:rPr>
          <w:rFonts w:ascii="仿宋_GB2312" w:eastAsia="仿宋_GB2312" w:hAnsi="仿宋_GB2312" w:cs="仿宋_GB2312" w:hint="eastAsia"/>
          <w:sz w:val="32"/>
          <w:szCs w:val="32"/>
        </w:rPr>
        <w:t>国家药监局积极推进《关于简化港澳已上市传统口服中成药内地上市注册审批的公告（征求意见稿）》（以下简称《公告》）及相关配套方案的起草工作。现将情况说明如下：</w:t>
      </w:r>
    </w:p>
    <w:p w:rsidR="0072789F" w:rsidRDefault="00153495">
      <w:pPr>
        <w:widowControl/>
        <w:numPr>
          <w:ilvl w:val="0"/>
          <w:numId w:val="2"/>
        </w:numPr>
        <w:spacing w:line="540" w:lineRule="exact"/>
        <w:ind w:left="0" w:firstLineChars="200" w:firstLine="640"/>
        <w:rPr>
          <w:rFonts w:ascii="黑体" w:eastAsia="黑体" w:hAnsi="黑体" w:cs="黑体"/>
          <w:sz w:val="32"/>
          <w:szCs w:val="32"/>
        </w:rPr>
      </w:pPr>
      <w:r>
        <w:rPr>
          <w:rFonts w:ascii="黑体" w:eastAsia="黑体" w:hAnsi="黑体" w:cs="黑体" w:hint="eastAsia"/>
          <w:sz w:val="32"/>
          <w:szCs w:val="32"/>
        </w:rPr>
        <w:t>背景情况及起草经过</w:t>
      </w:r>
    </w:p>
    <w:p w:rsidR="0072789F" w:rsidRDefault="00153495">
      <w:pPr>
        <w:widowControl/>
        <w:spacing w:line="540" w:lineRule="exact"/>
        <w:ind w:firstLineChars="200" w:firstLine="640"/>
        <w:rPr>
          <w:rFonts w:eastAsia="仿宋_GB2312"/>
          <w:sz w:val="32"/>
          <w:szCs w:val="32"/>
        </w:rPr>
      </w:pPr>
      <w:r>
        <w:rPr>
          <w:rFonts w:ascii="仿宋_GB2312" w:eastAsia="仿宋_GB2312" w:hAnsi="仿宋_GB2312" w:cs="仿宋_GB2312" w:hint="eastAsia"/>
          <w:sz w:val="32"/>
          <w:szCs w:val="32"/>
        </w:rPr>
        <w:t>按照党中央、国务院决策部署，推进粤港澳大湾区药品医疗器械监管创新发展，</w:t>
      </w:r>
      <w:r>
        <w:rPr>
          <w:rFonts w:eastAsia="仿宋_GB2312"/>
          <w:sz w:val="32"/>
          <w:szCs w:val="32"/>
        </w:rPr>
        <w:t>2020</w:t>
      </w:r>
      <w:r>
        <w:rPr>
          <w:rFonts w:eastAsia="仿宋_GB2312"/>
          <w:sz w:val="32"/>
          <w:szCs w:val="32"/>
        </w:rPr>
        <w:t>年</w:t>
      </w:r>
      <w:r>
        <w:rPr>
          <w:rFonts w:eastAsia="仿宋_GB2312"/>
          <w:sz w:val="32"/>
          <w:szCs w:val="32"/>
        </w:rPr>
        <w:t>9</w:t>
      </w:r>
      <w:r>
        <w:rPr>
          <w:rFonts w:eastAsia="仿宋_GB2312"/>
          <w:sz w:val="32"/>
          <w:szCs w:val="32"/>
        </w:rPr>
        <w:t>月</w:t>
      </w:r>
      <w:r>
        <w:rPr>
          <w:rFonts w:eastAsia="仿宋_GB2312"/>
          <w:sz w:val="32"/>
          <w:szCs w:val="32"/>
        </w:rPr>
        <w:t>29</w:t>
      </w:r>
      <w:r>
        <w:rPr>
          <w:rFonts w:eastAsia="仿宋_GB2312"/>
          <w:sz w:val="32"/>
          <w:szCs w:val="32"/>
        </w:rPr>
        <w:t>日，经请示国务院同意，市场监管总局、国家药监局等八部门联合印发《粤港澳大湾区药品医疗器械监管创新发展工作方案》（</w:t>
      </w:r>
      <w:r>
        <w:rPr>
          <w:rFonts w:eastAsia="仿宋_GB2312"/>
          <w:sz w:val="32"/>
          <w:szCs w:val="32"/>
          <w:lang w:val="en"/>
        </w:rPr>
        <w:t>国市监药〔</w:t>
      </w:r>
      <w:r>
        <w:rPr>
          <w:rFonts w:eastAsia="仿宋_GB2312"/>
          <w:sz w:val="32"/>
          <w:szCs w:val="32"/>
          <w:lang w:val="en"/>
        </w:rPr>
        <w:t>2020</w:t>
      </w:r>
      <w:r>
        <w:rPr>
          <w:rFonts w:eastAsia="仿宋_GB2312"/>
          <w:sz w:val="32"/>
          <w:szCs w:val="32"/>
          <w:lang w:val="en"/>
        </w:rPr>
        <w:t>〕</w:t>
      </w:r>
      <w:r>
        <w:rPr>
          <w:rFonts w:eastAsia="仿宋_GB2312"/>
          <w:sz w:val="32"/>
          <w:szCs w:val="32"/>
          <w:lang w:val="en"/>
        </w:rPr>
        <w:t>159</w:t>
      </w:r>
      <w:r>
        <w:rPr>
          <w:rFonts w:eastAsia="仿宋_GB2312"/>
          <w:sz w:val="32"/>
          <w:szCs w:val="32"/>
          <w:lang w:val="en"/>
        </w:rPr>
        <w:t>号</w:t>
      </w:r>
      <w:r>
        <w:rPr>
          <w:rFonts w:eastAsia="仿宋_GB2312"/>
          <w:sz w:val="32"/>
          <w:szCs w:val="32"/>
        </w:rPr>
        <w:t>），明确要求简化在港澳已上市传统外用中成药注册审批，</w:t>
      </w:r>
      <w:r>
        <w:rPr>
          <w:rFonts w:eastAsia="仿宋_GB2312"/>
          <w:sz w:val="32"/>
          <w:szCs w:val="32"/>
          <w:lang w:val="en"/>
        </w:rPr>
        <w:t>具体由国家药监局委托</w:t>
      </w:r>
      <w:r>
        <w:rPr>
          <w:rFonts w:eastAsia="仿宋_GB2312" w:hint="eastAsia"/>
          <w:sz w:val="32"/>
          <w:szCs w:val="32"/>
          <w:lang w:val="en"/>
        </w:rPr>
        <w:t>广东省药监局</w:t>
      </w:r>
      <w:r>
        <w:rPr>
          <w:rFonts w:eastAsia="仿宋_GB2312"/>
          <w:sz w:val="32"/>
          <w:szCs w:val="32"/>
          <w:lang w:val="en"/>
        </w:rPr>
        <w:t>实施审批。截至目前，共有</w:t>
      </w:r>
      <w:r>
        <w:rPr>
          <w:rFonts w:eastAsia="仿宋_GB2312"/>
          <w:sz w:val="32"/>
          <w:szCs w:val="32"/>
        </w:rPr>
        <w:t>15</w:t>
      </w:r>
      <w:r>
        <w:rPr>
          <w:rFonts w:eastAsia="仿宋_GB2312"/>
          <w:sz w:val="32"/>
          <w:szCs w:val="32"/>
        </w:rPr>
        <w:t>个品种</w:t>
      </w:r>
      <w:r>
        <w:rPr>
          <w:rFonts w:eastAsia="仿宋_GB2312"/>
          <w:sz w:val="32"/>
          <w:szCs w:val="32"/>
          <w:lang w:val="en"/>
        </w:rPr>
        <w:t>通过该途径</w:t>
      </w:r>
      <w:r>
        <w:rPr>
          <w:rFonts w:eastAsia="仿宋_GB2312"/>
          <w:sz w:val="32"/>
          <w:szCs w:val="32"/>
        </w:rPr>
        <w:t>在</w:t>
      </w:r>
      <w:r>
        <w:rPr>
          <w:rFonts w:eastAsia="仿宋_GB2312" w:hint="eastAsia"/>
          <w:sz w:val="32"/>
          <w:szCs w:val="32"/>
        </w:rPr>
        <w:t>内地</w:t>
      </w:r>
      <w:r>
        <w:rPr>
          <w:rFonts w:eastAsia="仿宋_GB2312"/>
          <w:sz w:val="32"/>
          <w:szCs w:val="32"/>
        </w:rPr>
        <w:t>获批上市。</w:t>
      </w:r>
    </w:p>
    <w:p w:rsidR="0072789F" w:rsidRDefault="00153495">
      <w:pPr>
        <w:widowControl/>
        <w:spacing w:line="540" w:lineRule="exact"/>
        <w:ind w:firstLineChars="200" w:firstLine="640"/>
        <w:rPr>
          <w:rFonts w:eastAsia="仿宋_GB2312"/>
          <w:sz w:val="32"/>
          <w:szCs w:val="32"/>
        </w:rPr>
      </w:pPr>
      <w:r>
        <w:rPr>
          <w:rFonts w:eastAsia="仿宋_GB2312" w:hint="eastAsia"/>
          <w:sz w:val="32"/>
          <w:szCs w:val="32"/>
          <w:lang w:val="en"/>
        </w:rPr>
        <w:t>在</w:t>
      </w:r>
      <w:r>
        <w:rPr>
          <w:rFonts w:eastAsia="仿宋_GB2312"/>
          <w:sz w:val="32"/>
          <w:szCs w:val="32"/>
          <w:lang w:val="en"/>
        </w:rPr>
        <w:t>上述政策实施</w:t>
      </w:r>
      <w:r>
        <w:rPr>
          <w:rFonts w:eastAsia="仿宋_GB2312" w:hint="eastAsia"/>
          <w:sz w:val="32"/>
          <w:szCs w:val="32"/>
          <w:lang w:val="en"/>
        </w:rPr>
        <w:t>取得成效的基础上，为</w:t>
      </w:r>
      <w:r>
        <w:rPr>
          <w:rFonts w:eastAsia="仿宋_GB2312"/>
          <w:sz w:val="32"/>
          <w:szCs w:val="32"/>
          <w:lang w:val="en"/>
        </w:rPr>
        <w:t>进一步支持港澳中药</w:t>
      </w:r>
      <w:r>
        <w:rPr>
          <w:rFonts w:eastAsia="仿宋_GB2312" w:hint="eastAsia"/>
          <w:sz w:val="32"/>
          <w:szCs w:val="32"/>
          <w:lang w:val="en"/>
        </w:rPr>
        <w:t>产业</w:t>
      </w:r>
      <w:r>
        <w:rPr>
          <w:rFonts w:eastAsia="仿宋_GB2312"/>
          <w:sz w:val="32"/>
          <w:szCs w:val="32"/>
          <w:lang w:val="en"/>
        </w:rPr>
        <w:t>发展，</w:t>
      </w:r>
      <w:r>
        <w:rPr>
          <w:rFonts w:eastAsia="仿宋_GB2312" w:hint="eastAsia"/>
          <w:sz w:val="32"/>
          <w:szCs w:val="32"/>
          <w:lang w:val="en"/>
        </w:rPr>
        <w:t>国家药监局按照有关工作部署，组织深入研究论证，研究制定</w:t>
      </w:r>
      <w:r>
        <w:rPr>
          <w:rFonts w:eastAsia="仿宋_GB2312"/>
          <w:sz w:val="32"/>
          <w:szCs w:val="32"/>
          <w:lang w:val="en"/>
        </w:rPr>
        <w:t>具体的</w:t>
      </w:r>
      <w:r>
        <w:rPr>
          <w:rFonts w:eastAsia="仿宋_GB2312" w:hint="eastAsia"/>
          <w:sz w:val="32"/>
          <w:szCs w:val="32"/>
          <w:lang w:val="en"/>
        </w:rPr>
        <w:t>工作</w:t>
      </w:r>
      <w:r>
        <w:rPr>
          <w:rFonts w:eastAsia="仿宋_GB2312"/>
          <w:sz w:val="32"/>
          <w:szCs w:val="32"/>
          <w:lang w:val="en"/>
        </w:rPr>
        <w:t>方案</w:t>
      </w:r>
      <w:r>
        <w:rPr>
          <w:rFonts w:eastAsia="仿宋_GB2312" w:hint="eastAsia"/>
          <w:sz w:val="32"/>
          <w:szCs w:val="32"/>
          <w:lang w:val="en"/>
        </w:rPr>
        <w:t>，并广泛</w:t>
      </w:r>
      <w:r>
        <w:rPr>
          <w:rFonts w:eastAsia="仿宋_GB2312"/>
          <w:sz w:val="32"/>
          <w:szCs w:val="32"/>
          <w:lang w:val="en"/>
        </w:rPr>
        <w:t>征求意见。</w:t>
      </w:r>
    </w:p>
    <w:p w:rsidR="0072789F" w:rsidRDefault="00153495">
      <w:pPr>
        <w:widowControl/>
        <w:numPr>
          <w:ilvl w:val="0"/>
          <w:numId w:val="2"/>
        </w:numPr>
        <w:spacing w:line="540" w:lineRule="exact"/>
        <w:ind w:left="0" w:firstLineChars="200" w:firstLine="640"/>
        <w:rPr>
          <w:rFonts w:eastAsia="黑体"/>
          <w:sz w:val="32"/>
          <w:szCs w:val="32"/>
          <w:lang w:val="en"/>
        </w:rPr>
      </w:pPr>
      <w:r>
        <w:rPr>
          <w:rFonts w:eastAsia="黑体"/>
          <w:sz w:val="32"/>
          <w:szCs w:val="32"/>
          <w:lang w:val="en"/>
        </w:rPr>
        <w:t>主要内容</w:t>
      </w:r>
    </w:p>
    <w:p w:rsidR="0072789F" w:rsidRDefault="00153495">
      <w:pPr>
        <w:adjustRightInd w:val="0"/>
        <w:snapToGrid w:val="0"/>
        <w:spacing w:line="540" w:lineRule="exact"/>
        <w:ind w:firstLineChars="200" w:firstLine="640"/>
        <w:outlineLvl w:val="1"/>
        <w:rPr>
          <w:rFonts w:eastAsia="仿宋_GB2312"/>
          <w:sz w:val="32"/>
          <w:szCs w:val="32"/>
          <w:lang w:val="en"/>
        </w:rPr>
      </w:pPr>
      <w:r>
        <w:rPr>
          <w:rFonts w:eastAsia="仿宋_GB2312"/>
          <w:bCs/>
          <w:kern w:val="0"/>
          <w:sz w:val="32"/>
          <w:szCs w:val="32"/>
        </w:rPr>
        <w:t>公告共六条，主要包括适用范围、职责分工、</w:t>
      </w:r>
      <w:r>
        <w:rPr>
          <w:rFonts w:eastAsia="仿宋_GB2312" w:hint="eastAsia"/>
          <w:bCs/>
          <w:kern w:val="0"/>
          <w:sz w:val="32"/>
          <w:szCs w:val="32"/>
        </w:rPr>
        <w:t>上市申请和</w:t>
      </w:r>
      <w:r>
        <w:rPr>
          <w:rFonts w:eastAsia="仿宋_GB2312"/>
          <w:bCs/>
          <w:kern w:val="0"/>
          <w:sz w:val="32"/>
          <w:szCs w:val="32"/>
        </w:rPr>
        <w:t>申</w:t>
      </w:r>
      <w:r>
        <w:rPr>
          <w:rFonts w:eastAsia="仿宋_GB2312"/>
          <w:sz w:val="32"/>
          <w:szCs w:val="32"/>
          <w:lang w:val="en"/>
        </w:rPr>
        <w:lastRenderedPageBreak/>
        <w:t>报资料要求、审评要求、上市后要求及与其他文件的衔接等内容。主要内容如下：</w:t>
      </w:r>
    </w:p>
    <w:p w:rsidR="0072789F" w:rsidRDefault="00153495">
      <w:pPr>
        <w:adjustRightInd w:val="0"/>
        <w:snapToGrid w:val="0"/>
        <w:spacing w:line="540" w:lineRule="exact"/>
        <w:ind w:firstLineChars="200" w:firstLine="640"/>
        <w:outlineLvl w:val="1"/>
        <w:rPr>
          <w:rFonts w:eastAsia="仿宋_GB2312"/>
          <w:sz w:val="32"/>
          <w:szCs w:val="32"/>
          <w:lang w:val="en"/>
        </w:rPr>
      </w:pPr>
      <w:r>
        <w:rPr>
          <w:rFonts w:eastAsia="仿宋_GB2312"/>
          <w:sz w:val="32"/>
          <w:szCs w:val="32"/>
          <w:lang w:val="en"/>
        </w:rPr>
        <w:t>一是适用范围。综合考虑口服中成药的用药风险以及实施简化后对整个中药注册管理制度的影响，适用品种有三方面限定，一是由港澳本地登记的生产企业持有，二是经当地监管部门批准上市且在当地使用</w:t>
      </w:r>
      <w:r>
        <w:rPr>
          <w:rFonts w:eastAsia="仿宋_GB2312"/>
          <w:sz w:val="32"/>
          <w:szCs w:val="32"/>
          <w:lang w:val="en"/>
        </w:rPr>
        <w:t>15</w:t>
      </w:r>
      <w:r>
        <w:rPr>
          <w:rFonts w:eastAsia="仿宋_GB2312"/>
          <w:sz w:val="32"/>
          <w:szCs w:val="32"/>
          <w:lang w:val="en"/>
        </w:rPr>
        <w:t>年以上的口服中成药，三是生产过程符合</w:t>
      </w:r>
      <w:r>
        <w:rPr>
          <w:rFonts w:eastAsia="仿宋_GB2312"/>
          <w:sz w:val="32"/>
          <w:szCs w:val="32"/>
          <w:lang w:val="en"/>
        </w:rPr>
        <w:t>GMP</w:t>
      </w:r>
      <w:r>
        <w:rPr>
          <w:rFonts w:eastAsia="仿宋_GB2312"/>
          <w:sz w:val="32"/>
          <w:szCs w:val="32"/>
          <w:lang w:val="en"/>
        </w:rPr>
        <w:t>要求。</w:t>
      </w:r>
    </w:p>
    <w:p w:rsidR="0072789F" w:rsidRDefault="00153495">
      <w:pPr>
        <w:adjustRightInd w:val="0"/>
        <w:snapToGrid w:val="0"/>
        <w:spacing w:line="540" w:lineRule="exact"/>
        <w:ind w:firstLineChars="200" w:firstLine="640"/>
        <w:outlineLvl w:val="1"/>
        <w:rPr>
          <w:rFonts w:eastAsia="仿宋_GB2312"/>
          <w:sz w:val="32"/>
          <w:szCs w:val="32"/>
          <w:lang w:val="en"/>
        </w:rPr>
      </w:pPr>
      <w:r>
        <w:rPr>
          <w:rFonts w:eastAsia="仿宋_GB2312"/>
          <w:sz w:val="32"/>
          <w:szCs w:val="32"/>
          <w:lang w:val="en"/>
        </w:rPr>
        <w:t>二是职责分工。围绕</w:t>
      </w:r>
      <w:r>
        <w:rPr>
          <w:rFonts w:eastAsia="仿宋_GB2312" w:hint="eastAsia"/>
          <w:sz w:val="32"/>
          <w:szCs w:val="32"/>
          <w:lang w:val="en"/>
        </w:rPr>
        <w:t>简化</w:t>
      </w:r>
      <w:r>
        <w:rPr>
          <w:rFonts w:eastAsia="仿宋_GB2312"/>
          <w:sz w:val="32"/>
          <w:szCs w:val="32"/>
          <w:lang w:val="en"/>
        </w:rPr>
        <w:t>审评审批全流程涉及的受理、审评、审批、制</w:t>
      </w:r>
      <w:r>
        <w:rPr>
          <w:rFonts w:eastAsia="仿宋_GB2312" w:hint="eastAsia"/>
          <w:sz w:val="32"/>
          <w:szCs w:val="32"/>
          <w:lang w:val="en"/>
        </w:rPr>
        <w:t>证</w:t>
      </w:r>
      <w:r>
        <w:rPr>
          <w:rFonts w:eastAsia="仿宋_GB2312"/>
          <w:sz w:val="32"/>
          <w:szCs w:val="32"/>
          <w:lang w:val="en"/>
        </w:rPr>
        <w:t>送达依次明确相关单位，并明确了信息系统构建的承担单位。同时，根据药品注册上市、再注册、补充申请等类型明确了相应的单位。</w:t>
      </w:r>
    </w:p>
    <w:p w:rsidR="0072789F" w:rsidRDefault="00153495">
      <w:pPr>
        <w:adjustRightInd w:val="0"/>
        <w:snapToGrid w:val="0"/>
        <w:spacing w:line="540" w:lineRule="exact"/>
        <w:ind w:firstLineChars="200" w:firstLine="640"/>
        <w:outlineLvl w:val="1"/>
        <w:rPr>
          <w:rFonts w:eastAsia="仿宋_GB2312"/>
          <w:sz w:val="32"/>
          <w:szCs w:val="32"/>
          <w:lang w:val="en"/>
        </w:rPr>
      </w:pPr>
      <w:r>
        <w:rPr>
          <w:rFonts w:eastAsia="仿宋_GB2312"/>
          <w:sz w:val="32"/>
          <w:szCs w:val="32"/>
          <w:lang w:val="en"/>
        </w:rPr>
        <w:t>三是上市申请和申报资料要求。</w:t>
      </w:r>
      <w:r>
        <w:rPr>
          <w:rFonts w:eastAsia="仿宋_GB2312" w:hint="eastAsia"/>
          <w:sz w:val="32"/>
          <w:szCs w:val="32"/>
          <w:lang w:val="en"/>
        </w:rPr>
        <w:t>明确应指定内地的企业法人办理相关药品注册事项。</w:t>
      </w:r>
      <w:r>
        <w:rPr>
          <w:rFonts w:eastAsia="仿宋_GB2312"/>
          <w:sz w:val="32"/>
          <w:szCs w:val="32"/>
          <w:lang w:val="en"/>
        </w:rPr>
        <w:t>对现有的申报资料要求进行了简化，申请人可根据品种情况，提供其已上市使用</w:t>
      </w:r>
      <w:r>
        <w:rPr>
          <w:rFonts w:eastAsia="仿宋_GB2312"/>
          <w:sz w:val="32"/>
          <w:szCs w:val="32"/>
          <w:lang w:val="en"/>
        </w:rPr>
        <w:t>15</w:t>
      </w:r>
      <w:r>
        <w:rPr>
          <w:rFonts w:eastAsia="仿宋_GB2312"/>
          <w:sz w:val="32"/>
          <w:szCs w:val="32"/>
          <w:lang w:val="en"/>
        </w:rPr>
        <w:t>年的人用经验总结资料，如有已获得港澳药品监管部门认可的药物临床试验资料和非临床安全性试验资料也一并提供。</w:t>
      </w:r>
    </w:p>
    <w:p w:rsidR="0072789F" w:rsidRDefault="00153495">
      <w:pPr>
        <w:snapToGrid w:val="0"/>
        <w:spacing w:line="540" w:lineRule="exact"/>
        <w:ind w:firstLineChars="200" w:firstLine="640"/>
        <w:textAlignment w:val="baseline"/>
        <w:rPr>
          <w:rFonts w:eastAsia="仿宋_GB2312"/>
          <w:sz w:val="32"/>
          <w:szCs w:val="32"/>
        </w:rPr>
      </w:pPr>
      <w:r>
        <w:rPr>
          <w:rFonts w:eastAsia="仿宋_GB2312"/>
          <w:sz w:val="32"/>
          <w:szCs w:val="32"/>
          <w:lang w:val="en"/>
        </w:rPr>
        <w:t>四是审评要求。将技术审评时限</w:t>
      </w:r>
      <w:r>
        <w:rPr>
          <w:rFonts w:eastAsia="仿宋_GB2312"/>
          <w:sz w:val="32"/>
          <w:szCs w:val="32"/>
        </w:rPr>
        <w:t>缩短为</w:t>
      </w:r>
      <w:r>
        <w:rPr>
          <w:rFonts w:eastAsia="仿宋_GB2312"/>
          <w:sz w:val="32"/>
          <w:szCs w:val="32"/>
        </w:rPr>
        <w:t>80</w:t>
      </w:r>
      <w:r>
        <w:rPr>
          <w:rFonts w:eastAsia="仿宋_GB2312"/>
          <w:sz w:val="32"/>
          <w:szCs w:val="32"/>
        </w:rPr>
        <w:t>个工作日。</w:t>
      </w:r>
      <w:r>
        <w:rPr>
          <w:rFonts w:eastAsia="仿宋_GB2312"/>
          <w:color w:val="000000"/>
          <w:sz w:val="32"/>
          <w:szCs w:val="32"/>
        </w:rPr>
        <w:t>经审评，认为获益大于风险的品种，将结合品种情况，在药品注册证书审批结论中明确申请人在下次再注册申请前需完成的上市后研究和评价工作。对未按期完成的，将不予再注册。</w:t>
      </w:r>
    </w:p>
    <w:p w:rsidR="0072789F" w:rsidRDefault="00153495">
      <w:pPr>
        <w:widowControl/>
        <w:numPr>
          <w:ilvl w:val="0"/>
          <w:numId w:val="2"/>
        </w:numPr>
        <w:spacing w:line="540" w:lineRule="exact"/>
        <w:ind w:left="0" w:firstLineChars="200" w:firstLine="640"/>
        <w:rPr>
          <w:rFonts w:eastAsia="黑体"/>
          <w:sz w:val="32"/>
          <w:szCs w:val="32"/>
          <w:lang w:val="en"/>
        </w:rPr>
      </w:pPr>
      <w:r>
        <w:rPr>
          <w:rFonts w:eastAsia="黑体" w:hint="eastAsia"/>
          <w:sz w:val="32"/>
          <w:szCs w:val="32"/>
          <w:lang w:val="en"/>
        </w:rPr>
        <w:t>有关情况说明</w:t>
      </w:r>
    </w:p>
    <w:p w:rsidR="0072789F" w:rsidRDefault="00153495">
      <w:pPr>
        <w:adjustRightInd w:val="0"/>
        <w:snapToGrid w:val="0"/>
        <w:spacing w:line="540" w:lineRule="exact"/>
        <w:ind w:firstLineChars="200" w:firstLine="640"/>
        <w:rPr>
          <w:rFonts w:eastAsia="仿宋_GB2312"/>
          <w:sz w:val="32"/>
          <w:szCs w:val="32"/>
          <w:lang w:val="en"/>
        </w:rPr>
      </w:pPr>
      <w:r>
        <w:rPr>
          <w:rFonts w:eastAsia="仿宋_GB2312"/>
          <w:sz w:val="32"/>
          <w:szCs w:val="32"/>
          <w:lang w:val="en"/>
        </w:rPr>
        <w:t>对港澳已上市传统口服中成药的简化审批，主要集中在程序、审评审批时限方面，</w:t>
      </w:r>
      <w:r>
        <w:rPr>
          <w:rFonts w:eastAsia="仿宋_GB2312" w:hint="eastAsia"/>
          <w:sz w:val="32"/>
          <w:szCs w:val="32"/>
          <w:lang w:val="en"/>
        </w:rPr>
        <w:t>根据品种的具体情况，在</w:t>
      </w:r>
      <w:r>
        <w:rPr>
          <w:rFonts w:eastAsia="仿宋_GB2312"/>
          <w:sz w:val="32"/>
          <w:szCs w:val="32"/>
          <w:lang w:val="en"/>
        </w:rPr>
        <w:t>技术要求</w:t>
      </w:r>
      <w:r>
        <w:rPr>
          <w:rFonts w:eastAsia="仿宋_GB2312" w:hint="eastAsia"/>
          <w:sz w:val="32"/>
          <w:szCs w:val="32"/>
          <w:lang w:val="en"/>
        </w:rPr>
        <w:t>方面采取相应的</w:t>
      </w:r>
      <w:r>
        <w:rPr>
          <w:rFonts w:eastAsia="仿宋_GB2312"/>
          <w:sz w:val="32"/>
          <w:szCs w:val="32"/>
          <w:lang w:val="en"/>
        </w:rPr>
        <w:t>审评</w:t>
      </w:r>
      <w:r>
        <w:rPr>
          <w:rFonts w:eastAsia="仿宋_GB2312" w:hint="eastAsia"/>
          <w:sz w:val="32"/>
          <w:szCs w:val="32"/>
          <w:lang w:val="en"/>
        </w:rPr>
        <w:t>策略</w:t>
      </w:r>
      <w:r>
        <w:rPr>
          <w:rFonts w:eastAsia="仿宋_GB2312"/>
          <w:sz w:val="32"/>
          <w:szCs w:val="32"/>
          <w:lang w:val="en"/>
        </w:rPr>
        <w:t>。总</w:t>
      </w:r>
      <w:r>
        <w:rPr>
          <w:rFonts w:eastAsia="仿宋_GB2312" w:hint="eastAsia"/>
          <w:sz w:val="32"/>
          <w:szCs w:val="32"/>
          <w:lang w:val="en"/>
        </w:rPr>
        <w:t>体</w:t>
      </w:r>
      <w:r>
        <w:rPr>
          <w:rFonts w:eastAsia="仿宋_GB2312"/>
          <w:sz w:val="32"/>
          <w:szCs w:val="32"/>
          <w:lang w:val="en"/>
        </w:rPr>
        <w:t>考虑如下：</w:t>
      </w:r>
    </w:p>
    <w:p w:rsidR="0072789F" w:rsidRDefault="00153495">
      <w:pPr>
        <w:adjustRightInd w:val="0"/>
        <w:snapToGrid w:val="0"/>
        <w:spacing w:line="540" w:lineRule="exact"/>
        <w:ind w:firstLineChars="200" w:firstLine="640"/>
        <w:rPr>
          <w:rFonts w:eastAsia="仿宋_GB2312"/>
          <w:sz w:val="32"/>
          <w:szCs w:val="32"/>
          <w:lang w:val="en"/>
        </w:rPr>
      </w:pPr>
      <w:r>
        <w:rPr>
          <w:rFonts w:eastAsia="仿宋_GB2312"/>
          <w:sz w:val="32"/>
          <w:szCs w:val="32"/>
          <w:lang w:val="en"/>
        </w:rPr>
        <w:lastRenderedPageBreak/>
        <w:t>（一）严格限定品种范围。为确保港澳已上市传统口服中成药简化审批工作稳妥开展，且不影响内地中药注册管理，在总结参考前期开展外用中成药简化审批要求的基础上，立足</w:t>
      </w:r>
      <w:r>
        <w:rPr>
          <w:rFonts w:eastAsia="仿宋_GB2312"/>
          <w:sz w:val="32"/>
          <w:szCs w:val="32"/>
          <w:lang w:val="en"/>
        </w:rPr>
        <w:t>“</w:t>
      </w:r>
      <w:r>
        <w:rPr>
          <w:rFonts w:eastAsia="仿宋_GB2312"/>
          <w:sz w:val="32"/>
          <w:szCs w:val="32"/>
          <w:lang w:val="en"/>
        </w:rPr>
        <w:t>已上市</w:t>
      </w:r>
      <w:r>
        <w:rPr>
          <w:rFonts w:eastAsia="仿宋_GB2312"/>
          <w:sz w:val="32"/>
          <w:szCs w:val="32"/>
          <w:lang w:val="en"/>
        </w:rPr>
        <w:t>”“</w:t>
      </w:r>
      <w:r>
        <w:rPr>
          <w:rFonts w:eastAsia="仿宋_GB2312"/>
          <w:sz w:val="32"/>
          <w:szCs w:val="32"/>
          <w:lang w:val="en"/>
        </w:rPr>
        <w:t>传统</w:t>
      </w:r>
      <w:r>
        <w:rPr>
          <w:rFonts w:eastAsia="仿宋_GB2312"/>
          <w:sz w:val="32"/>
          <w:szCs w:val="32"/>
          <w:lang w:val="en"/>
        </w:rPr>
        <w:t>”“</w:t>
      </w:r>
      <w:r>
        <w:rPr>
          <w:rFonts w:eastAsia="仿宋_GB2312"/>
          <w:sz w:val="32"/>
          <w:szCs w:val="32"/>
          <w:lang w:val="en"/>
        </w:rPr>
        <w:t>口服</w:t>
      </w:r>
      <w:r>
        <w:rPr>
          <w:rFonts w:eastAsia="仿宋_GB2312"/>
          <w:sz w:val="32"/>
          <w:szCs w:val="32"/>
          <w:lang w:val="en"/>
        </w:rPr>
        <w:t>”</w:t>
      </w:r>
      <w:r>
        <w:rPr>
          <w:rFonts w:eastAsia="仿宋_GB2312"/>
          <w:sz w:val="32"/>
          <w:szCs w:val="32"/>
          <w:lang w:val="en"/>
        </w:rPr>
        <w:t>特点，对适用的品种作三方面限定：一是由港澳本地登记的生产企业持有，二是经当地监管部门批准上市且在当地使用</w:t>
      </w:r>
      <w:r>
        <w:rPr>
          <w:rFonts w:eastAsia="仿宋_GB2312"/>
          <w:sz w:val="32"/>
          <w:szCs w:val="32"/>
          <w:lang w:val="en"/>
        </w:rPr>
        <w:t>15</w:t>
      </w:r>
      <w:r>
        <w:rPr>
          <w:rFonts w:eastAsia="仿宋_GB2312"/>
          <w:sz w:val="32"/>
          <w:szCs w:val="32"/>
          <w:lang w:val="en"/>
        </w:rPr>
        <w:t>年以上的口服中成药，三是生产过程符合</w:t>
      </w:r>
      <w:r>
        <w:rPr>
          <w:rFonts w:eastAsia="仿宋_GB2312"/>
          <w:sz w:val="32"/>
          <w:szCs w:val="32"/>
          <w:lang w:val="en"/>
        </w:rPr>
        <w:t>GMP</w:t>
      </w:r>
      <w:r>
        <w:rPr>
          <w:rFonts w:eastAsia="仿宋_GB2312"/>
          <w:sz w:val="32"/>
          <w:szCs w:val="32"/>
          <w:lang w:val="en"/>
        </w:rPr>
        <w:t>要求。除</w:t>
      </w:r>
      <w:r>
        <w:rPr>
          <w:rFonts w:eastAsia="仿宋_GB2312"/>
          <w:sz w:val="32"/>
          <w:szCs w:val="32"/>
          <w:lang w:val="en"/>
        </w:rPr>
        <w:t>“</w:t>
      </w:r>
      <w:r>
        <w:rPr>
          <w:rFonts w:eastAsia="仿宋_GB2312"/>
          <w:sz w:val="32"/>
          <w:szCs w:val="32"/>
          <w:lang w:val="en"/>
        </w:rPr>
        <w:t>在当地使用年限</w:t>
      </w:r>
      <w:r>
        <w:rPr>
          <w:rFonts w:eastAsia="仿宋_GB2312"/>
          <w:sz w:val="32"/>
          <w:szCs w:val="32"/>
          <w:lang w:val="en"/>
        </w:rPr>
        <w:t>”</w:t>
      </w:r>
      <w:r>
        <w:rPr>
          <w:rFonts w:eastAsia="仿宋_GB2312"/>
          <w:sz w:val="32"/>
          <w:szCs w:val="32"/>
          <w:lang w:val="en"/>
        </w:rPr>
        <w:t>外（外用中成药为</w:t>
      </w:r>
      <w:r>
        <w:rPr>
          <w:rFonts w:eastAsia="仿宋_GB2312"/>
          <w:sz w:val="32"/>
          <w:szCs w:val="32"/>
          <w:lang w:val="en"/>
        </w:rPr>
        <w:t>5</w:t>
      </w:r>
      <w:r>
        <w:rPr>
          <w:rFonts w:eastAsia="仿宋_GB2312"/>
          <w:sz w:val="32"/>
          <w:szCs w:val="32"/>
          <w:lang w:val="en"/>
        </w:rPr>
        <w:t>年），其他两点与外用中成药的简化审批要求均一致。使用年限之所以要求为</w:t>
      </w:r>
      <w:r>
        <w:rPr>
          <w:rFonts w:eastAsia="仿宋_GB2312"/>
          <w:sz w:val="32"/>
          <w:szCs w:val="32"/>
          <w:lang w:val="en"/>
        </w:rPr>
        <w:t>15</w:t>
      </w:r>
      <w:r>
        <w:rPr>
          <w:rFonts w:eastAsia="仿宋_GB2312"/>
          <w:sz w:val="32"/>
          <w:szCs w:val="32"/>
          <w:lang w:val="en"/>
        </w:rPr>
        <w:t>年，主要考虑口服中成药的安全风险，并参考</w:t>
      </w:r>
      <w:r>
        <w:rPr>
          <w:rFonts w:eastAsia="仿宋_GB2312" w:hint="eastAsia"/>
          <w:sz w:val="32"/>
          <w:szCs w:val="32"/>
          <w:lang w:val="en"/>
        </w:rPr>
        <w:t>国际上其他国家和地区</w:t>
      </w:r>
      <w:r>
        <w:rPr>
          <w:rFonts w:eastAsia="仿宋_GB2312"/>
          <w:sz w:val="32"/>
          <w:szCs w:val="32"/>
          <w:lang w:val="en"/>
        </w:rPr>
        <w:t>关于简化传统草药审批上市的人用历史规定。</w:t>
      </w:r>
    </w:p>
    <w:p w:rsidR="0072789F" w:rsidRDefault="00153495">
      <w:pPr>
        <w:adjustRightInd w:val="0"/>
        <w:snapToGrid w:val="0"/>
        <w:spacing w:line="540" w:lineRule="exact"/>
        <w:ind w:firstLineChars="200" w:firstLine="640"/>
        <w:rPr>
          <w:rFonts w:eastAsia="仿宋_GB2312"/>
          <w:sz w:val="32"/>
          <w:szCs w:val="32"/>
        </w:rPr>
      </w:pPr>
      <w:r>
        <w:rPr>
          <w:rFonts w:eastAsia="仿宋_GB2312"/>
          <w:sz w:val="32"/>
          <w:szCs w:val="32"/>
          <w:lang w:val="en"/>
        </w:rPr>
        <w:t>（二）</w:t>
      </w:r>
      <w:r>
        <w:rPr>
          <w:rFonts w:eastAsia="仿宋_GB2312" w:hint="eastAsia"/>
          <w:sz w:val="32"/>
          <w:szCs w:val="32"/>
          <w:lang w:val="en"/>
        </w:rPr>
        <w:t>调整</w:t>
      </w:r>
      <w:r>
        <w:rPr>
          <w:rFonts w:eastAsia="仿宋_GB2312"/>
          <w:sz w:val="32"/>
          <w:szCs w:val="32"/>
          <w:lang w:val="en"/>
        </w:rPr>
        <w:t>审评技术要求和</w:t>
      </w:r>
      <w:r>
        <w:rPr>
          <w:rFonts w:eastAsia="仿宋_GB2312" w:hint="eastAsia"/>
          <w:sz w:val="32"/>
          <w:szCs w:val="32"/>
          <w:lang w:val="en"/>
        </w:rPr>
        <w:t>压缩</w:t>
      </w:r>
      <w:r>
        <w:rPr>
          <w:rFonts w:eastAsia="仿宋_GB2312"/>
          <w:sz w:val="32"/>
          <w:szCs w:val="32"/>
          <w:lang w:val="en"/>
        </w:rPr>
        <w:t>时限。</w:t>
      </w:r>
      <w:r>
        <w:rPr>
          <w:rFonts w:eastAsia="仿宋_GB2312"/>
          <w:sz w:val="32"/>
          <w:szCs w:val="32"/>
        </w:rPr>
        <w:t>根据《中药注册分类与申报资料要求》《中药注册管理专门规定》，境外中药申请在境内上市需按创新药提交申报材料。其原在香港、澳门特区上市注册时提交的试验研究资料可作为相应的申报资料。申请人可根据品种情况，提供其已上市使用</w:t>
      </w:r>
      <w:r>
        <w:rPr>
          <w:rFonts w:eastAsia="仿宋_GB2312"/>
          <w:sz w:val="32"/>
          <w:szCs w:val="32"/>
        </w:rPr>
        <w:t>15</w:t>
      </w:r>
      <w:r>
        <w:rPr>
          <w:rFonts w:eastAsia="仿宋_GB2312"/>
          <w:sz w:val="32"/>
          <w:szCs w:val="32"/>
        </w:rPr>
        <w:t>年的人用经验总结资料</w:t>
      </w:r>
      <w:r>
        <w:rPr>
          <w:rFonts w:eastAsia="仿宋_GB2312" w:hint="eastAsia"/>
          <w:sz w:val="32"/>
          <w:szCs w:val="32"/>
        </w:rPr>
        <w:t>，</w:t>
      </w:r>
      <w:r>
        <w:rPr>
          <w:rFonts w:eastAsia="仿宋_GB2312"/>
          <w:sz w:val="32"/>
          <w:szCs w:val="32"/>
        </w:rPr>
        <w:t>如有已获得港澳药品监管</w:t>
      </w:r>
      <w:r>
        <w:rPr>
          <w:rFonts w:eastAsia="仿宋_GB2312" w:hint="eastAsia"/>
          <w:sz w:val="32"/>
          <w:szCs w:val="32"/>
        </w:rPr>
        <w:t>部门</w:t>
      </w:r>
      <w:r>
        <w:rPr>
          <w:rFonts w:eastAsia="仿宋_GB2312"/>
          <w:sz w:val="32"/>
          <w:szCs w:val="32"/>
        </w:rPr>
        <w:t>认可的药物临床试验资料和非临床安全性试验资料也一并提供。审评部门参照现行技术要求开展审评，将根据品种情况，在药品注册证书审批结论中明确申请人在下次再注册申请前需完成的上市后研究和评价工作，对未按期完成的，不予再注册。基于上述技术要求，调整审评时限从</w:t>
      </w:r>
      <w:r>
        <w:rPr>
          <w:rFonts w:eastAsia="仿宋_GB2312"/>
          <w:sz w:val="32"/>
          <w:szCs w:val="32"/>
        </w:rPr>
        <w:t>200</w:t>
      </w:r>
      <w:r>
        <w:rPr>
          <w:rFonts w:eastAsia="仿宋_GB2312"/>
          <w:sz w:val="32"/>
          <w:szCs w:val="32"/>
        </w:rPr>
        <w:t>日到</w:t>
      </w:r>
      <w:r>
        <w:rPr>
          <w:rFonts w:eastAsia="仿宋_GB2312"/>
          <w:sz w:val="32"/>
          <w:szCs w:val="32"/>
        </w:rPr>
        <w:t>80</w:t>
      </w:r>
      <w:r>
        <w:rPr>
          <w:rFonts w:eastAsia="仿宋_GB2312"/>
          <w:sz w:val="32"/>
          <w:szCs w:val="32"/>
        </w:rPr>
        <w:t>日。</w:t>
      </w:r>
    </w:p>
    <w:p w:rsidR="0072789F" w:rsidRDefault="00153495">
      <w:pPr>
        <w:adjustRightInd w:val="0"/>
        <w:snapToGrid w:val="0"/>
        <w:spacing w:line="540" w:lineRule="exact"/>
        <w:ind w:firstLineChars="200" w:firstLine="640"/>
        <w:rPr>
          <w:rFonts w:eastAsia="仿宋_GB2312"/>
          <w:sz w:val="32"/>
          <w:szCs w:val="32"/>
        </w:rPr>
      </w:pPr>
      <w:r>
        <w:rPr>
          <w:rFonts w:eastAsia="仿宋_GB2312"/>
          <w:sz w:val="32"/>
          <w:szCs w:val="32"/>
        </w:rPr>
        <w:t>（三）</w:t>
      </w:r>
      <w:r>
        <w:rPr>
          <w:rFonts w:eastAsia="仿宋_GB2312"/>
          <w:sz w:val="32"/>
          <w:szCs w:val="32"/>
          <w:lang w:val="en"/>
        </w:rPr>
        <w:t>充分发挥药审中心、药品大湾区分中心</w:t>
      </w:r>
      <w:r>
        <w:rPr>
          <w:rFonts w:eastAsia="仿宋_GB2312"/>
          <w:sz w:val="32"/>
          <w:szCs w:val="32"/>
        </w:rPr>
        <w:t>和广东省</w:t>
      </w:r>
      <w:r>
        <w:rPr>
          <w:rFonts w:eastAsia="仿宋_GB2312" w:hint="eastAsia"/>
          <w:sz w:val="32"/>
          <w:szCs w:val="32"/>
        </w:rPr>
        <w:t>药监</w:t>
      </w:r>
      <w:r>
        <w:rPr>
          <w:rFonts w:eastAsia="仿宋_GB2312"/>
          <w:sz w:val="32"/>
          <w:szCs w:val="32"/>
        </w:rPr>
        <w:t>局的</w:t>
      </w:r>
      <w:r>
        <w:rPr>
          <w:rFonts w:eastAsia="仿宋_GB2312"/>
          <w:sz w:val="32"/>
          <w:szCs w:val="32"/>
          <w:lang w:val="en"/>
        </w:rPr>
        <w:t>力量。</w:t>
      </w:r>
      <w:r>
        <w:rPr>
          <w:rFonts w:eastAsia="仿宋_GB2312"/>
          <w:sz w:val="32"/>
          <w:szCs w:val="32"/>
        </w:rPr>
        <w:t>近年来，大湾区分中心在药审中心指导下积极承担片区内的药品注册受理、检查核查、沟通交流等工作，能力有了明</w:t>
      </w:r>
      <w:r>
        <w:rPr>
          <w:rFonts w:eastAsia="仿宋_GB2312"/>
          <w:sz w:val="32"/>
          <w:szCs w:val="32"/>
        </w:rPr>
        <w:lastRenderedPageBreak/>
        <w:t>显提升。大湾区分中心也表示，可开展受理及审评工作。同时，为压实属地监管责任和调动</w:t>
      </w:r>
      <w:r>
        <w:rPr>
          <w:rFonts w:eastAsia="仿宋_GB2312" w:hint="eastAsia"/>
          <w:sz w:val="32"/>
          <w:szCs w:val="32"/>
        </w:rPr>
        <w:t>广东省药监局</w:t>
      </w:r>
      <w:r>
        <w:rPr>
          <w:rFonts w:eastAsia="仿宋_GB2312"/>
          <w:sz w:val="32"/>
          <w:szCs w:val="32"/>
        </w:rPr>
        <w:t>积极性，由广东省</w:t>
      </w:r>
      <w:r>
        <w:rPr>
          <w:rFonts w:eastAsia="仿宋_GB2312" w:hint="eastAsia"/>
          <w:sz w:val="32"/>
          <w:szCs w:val="32"/>
        </w:rPr>
        <w:t>药监</w:t>
      </w:r>
      <w:r>
        <w:rPr>
          <w:rFonts w:eastAsia="仿宋_GB2312"/>
          <w:sz w:val="32"/>
          <w:szCs w:val="32"/>
        </w:rPr>
        <w:t>局组织开展药品注册检验，并按照境外检查有关规定开展药品注册核查、</w:t>
      </w:r>
      <w:r>
        <w:rPr>
          <w:rFonts w:eastAsia="仿宋_GB2312"/>
          <w:sz w:val="32"/>
          <w:szCs w:val="32"/>
        </w:rPr>
        <w:t>GMP</w:t>
      </w:r>
      <w:r>
        <w:rPr>
          <w:rFonts w:eastAsia="仿宋_GB2312"/>
          <w:sz w:val="32"/>
          <w:szCs w:val="32"/>
        </w:rPr>
        <w:t>符合性检查。</w:t>
      </w:r>
      <w:bookmarkStart w:id="0" w:name="_GoBack"/>
      <w:bookmarkEnd w:id="0"/>
    </w:p>
    <w:p w:rsidR="0072789F" w:rsidRDefault="00153495">
      <w:pPr>
        <w:adjustRightInd w:val="0"/>
        <w:snapToGrid w:val="0"/>
        <w:spacing w:line="540" w:lineRule="exact"/>
        <w:ind w:firstLineChars="200" w:firstLine="640"/>
        <w:outlineLvl w:val="1"/>
        <w:rPr>
          <w:rFonts w:eastAsia="仿宋_GB2312"/>
          <w:sz w:val="32"/>
          <w:szCs w:val="32"/>
        </w:rPr>
      </w:pPr>
      <w:r>
        <w:rPr>
          <w:rFonts w:eastAsia="仿宋_GB2312" w:hint="eastAsia"/>
          <w:color w:val="000000"/>
          <w:sz w:val="32"/>
          <w:szCs w:val="32"/>
        </w:rPr>
        <w:t>（</w:t>
      </w:r>
      <w:r>
        <w:rPr>
          <w:rFonts w:eastAsia="仿宋_GB2312"/>
          <w:sz w:val="32"/>
          <w:szCs w:val="32"/>
        </w:rPr>
        <w:t>四</w:t>
      </w:r>
      <w:r>
        <w:rPr>
          <w:rFonts w:eastAsia="仿宋_GB2312" w:hint="eastAsia"/>
          <w:color w:val="000000"/>
          <w:sz w:val="32"/>
          <w:szCs w:val="32"/>
        </w:rPr>
        <w:t>）</w:t>
      </w:r>
      <w:r>
        <w:rPr>
          <w:rFonts w:eastAsia="仿宋_GB2312"/>
          <w:color w:val="000000"/>
          <w:sz w:val="32"/>
          <w:szCs w:val="32"/>
        </w:rPr>
        <w:t>参照现行的程序开展</w:t>
      </w:r>
      <w:r>
        <w:rPr>
          <w:rFonts w:eastAsia="仿宋_GB2312"/>
          <w:sz w:val="32"/>
          <w:szCs w:val="32"/>
        </w:rPr>
        <w:t>审评</w:t>
      </w:r>
      <w:r>
        <w:rPr>
          <w:rFonts w:eastAsia="仿宋_GB2312"/>
          <w:color w:val="000000"/>
          <w:sz w:val="32"/>
          <w:szCs w:val="32"/>
        </w:rPr>
        <w:t>审批。</w:t>
      </w:r>
      <w:r>
        <w:rPr>
          <w:rFonts w:eastAsia="仿宋_GB2312"/>
          <w:sz w:val="32"/>
          <w:szCs w:val="32"/>
        </w:rPr>
        <w:t>大湾区分中心</w:t>
      </w:r>
      <w:r>
        <w:rPr>
          <w:rFonts w:eastAsia="仿宋_GB2312" w:hint="eastAsia"/>
          <w:sz w:val="32"/>
          <w:szCs w:val="32"/>
        </w:rPr>
        <w:t>协助药审中心承担</w:t>
      </w:r>
      <w:r>
        <w:rPr>
          <w:rFonts w:eastAsia="仿宋_GB2312"/>
          <w:sz w:val="32"/>
          <w:szCs w:val="32"/>
        </w:rPr>
        <w:t>受理</w:t>
      </w:r>
      <w:r>
        <w:rPr>
          <w:rFonts w:eastAsia="仿宋_GB2312" w:hint="eastAsia"/>
          <w:sz w:val="32"/>
          <w:szCs w:val="32"/>
        </w:rPr>
        <w:t>工作</w:t>
      </w:r>
      <w:r>
        <w:rPr>
          <w:rFonts w:eastAsia="仿宋_GB2312"/>
          <w:sz w:val="32"/>
          <w:szCs w:val="32"/>
        </w:rPr>
        <w:t>、并深度参与审评；药审中心负责审核大湾区分中心作出的审评报告，并按照《国家食品药品监督管理总局关于调整部分药品行政审批事项审批程序的决定》（国家食品药品监督管理总局令第</w:t>
      </w:r>
      <w:r>
        <w:rPr>
          <w:rFonts w:eastAsia="仿宋_GB2312"/>
          <w:sz w:val="32"/>
          <w:szCs w:val="32"/>
        </w:rPr>
        <w:t>31</w:t>
      </w:r>
      <w:r>
        <w:rPr>
          <w:rFonts w:eastAsia="仿宋_GB2312"/>
          <w:sz w:val="32"/>
          <w:szCs w:val="32"/>
        </w:rPr>
        <w:t>号）要求，完成再注册、上市后变更补充申请的审批以及备案工作。国家药监局负责该类品种注册上市的审批。如此，既保持了</w:t>
      </w:r>
      <w:r>
        <w:rPr>
          <w:rFonts w:eastAsia="仿宋_GB2312" w:hint="eastAsia"/>
          <w:sz w:val="32"/>
          <w:szCs w:val="32"/>
        </w:rPr>
        <w:t>对</w:t>
      </w:r>
      <w:r>
        <w:rPr>
          <w:rFonts w:eastAsia="仿宋_GB2312"/>
          <w:sz w:val="32"/>
          <w:szCs w:val="32"/>
        </w:rPr>
        <w:t>港澳药品和内地药品审评的相对统一，又</w:t>
      </w:r>
      <w:r>
        <w:rPr>
          <w:rFonts w:eastAsia="仿宋_GB2312" w:hint="eastAsia"/>
          <w:sz w:val="32"/>
          <w:szCs w:val="32"/>
        </w:rPr>
        <w:t>充分发挥了</w:t>
      </w:r>
      <w:r>
        <w:rPr>
          <w:rFonts w:eastAsia="仿宋_GB2312"/>
          <w:sz w:val="32"/>
          <w:szCs w:val="32"/>
        </w:rPr>
        <w:t>药品大湾区分中心的</w:t>
      </w:r>
      <w:r>
        <w:rPr>
          <w:rFonts w:eastAsia="仿宋_GB2312" w:hint="eastAsia"/>
          <w:sz w:val="32"/>
          <w:szCs w:val="32"/>
        </w:rPr>
        <w:t>积极作用</w:t>
      </w:r>
      <w:r>
        <w:rPr>
          <w:rFonts w:eastAsia="仿宋_GB2312"/>
          <w:sz w:val="32"/>
          <w:szCs w:val="32"/>
        </w:rPr>
        <w:t>，最大程度上与现行程序一致。</w:t>
      </w:r>
    </w:p>
    <w:p w:rsidR="0072789F" w:rsidRDefault="0072789F">
      <w:pPr>
        <w:adjustRightInd w:val="0"/>
        <w:snapToGrid w:val="0"/>
        <w:spacing w:line="540" w:lineRule="exact"/>
        <w:ind w:firstLineChars="200" w:firstLine="640"/>
        <w:outlineLvl w:val="1"/>
        <w:rPr>
          <w:rFonts w:eastAsia="仿宋_GB2312"/>
          <w:sz w:val="32"/>
          <w:szCs w:val="32"/>
        </w:rPr>
      </w:pPr>
    </w:p>
    <w:p w:rsidR="0072789F" w:rsidRDefault="0072789F">
      <w:pPr>
        <w:adjustRightInd w:val="0"/>
        <w:snapToGrid w:val="0"/>
        <w:spacing w:line="540" w:lineRule="exact"/>
        <w:ind w:firstLineChars="200" w:firstLine="640"/>
        <w:outlineLvl w:val="1"/>
        <w:rPr>
          <w:rFonts w:eastAsia="仿宋_GB2312"/>
          <w:sz w:val="32"/>
          <w:szCs w:val="32"/>
        </w:rPr>
      </w:pPr>
    </w:p>
    <w:p w:rsidR="00153495" w:rsidRPr="008D5905" w:rsidRDefault="00153495">
      <w:pPr>
        <w:rPr>
          <w:rFonts w:ascii="仿宋_GB2312" w:eastAsia="仿宋_GB2312"/>
          <w:sz w:val="28"/>
          <w:szCs w:val="28"/>
        </w:rPr>
      </w:pPr>
    </w:p>
    <w:sectPr w:rsidR="00153495" w:rsidRPr="008D5905" w:rsidSect="008D5905">
      <w:footerReference w:type="even" r:id="rId7"/>
      <w:footerReference w:type="default" r:id="rId8"/>
      <w:pgSz w:w="11906" w:h="16838"/>
      <w:pgMar w:top="1928" w:right="1531" w:bottom="1814" w:left="1531" w:header="851" w:footer="1134" w:gutter="0"/>
      <w:cols w:space="720"/>
      <w:docGrid w:type="lines" w:linePitch="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59A" w:rsidRDefault="006D559A">
      <w:r>
        <w:separator/>
      </w:r>
    </w:p>
  </w:endnote>
  <w:endnote w:type="continuationSeparator" w:id="0">
    <w:p w:rsidR="006D559A" w:rsidRDefault="006D5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89F" w:rsidRDefault="005E67DD">
    <w:pPr>
      <w:pStyle w:val="a5"/>
      <w:ind w:firstLineChars="100" w:firstLine="280"/>
      <w:rPr>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2789F" w:rsidRDefault="00153495">
                          <w:pPr>
                            <w:pStyle w:val="a5"/>
                          </w:pPr>
                          <w:r>
                            <w:fldChar w:fldCharType="begin"/>
                          </w:r>
                          <w:r>
                            <w:instrText xml:space="preserve"> PAGE  \* MERGEFORMAT </w:instrText>
                          </w:r>
                          <w:r>
                            <w:fldChar w:fldCharType="separate"/>
                          </w:r>
                          <w:r w:rsidR="008D5905">
                            <w:rPr>
                              <w:noProof/>
                            </w:rPr>
                            <w:t>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9" o:spid="_x0000_s1026" type="#_x0000_t202" style="position:absolute;left:0;text-align:left;margin-left:92.8pt;margin-top:0;width:2in;height:2in;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" filled="f" stroked="f">
              <v:textbox style="mso-fit-shape-to-text:t" inset="0,0,0,0">
                <w:txbxContent>
                  <w:p w:rsidR="0072789F" w:rsidRDefault="00153495">
                    <w:pPr>
                      <w:pStyle w:val="a5"/>
                    </w:pPr>
                    <w:r>
                      <w:fldChar w:fldCharType="begin"/>
                    </w:r>
                    <w:r>
                      <w:instrText xml:space="preserve"> PAGE  \* MERGEFORMAT </w:instrText>
                    </w:r>
                    <w:r>
                      <w:fldChar w:fldCharType="separate"/>
                    </w:r>
                    <w:r w:rsidR="008D5905">
                      <w:rPr>
                        <w:noProof/>
                      </w:rPr>
                      <w:t>4</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89F" w:rsidRDefault="005E67DD">
    <w:pPr>
      <w:pStyle w:val="a5"/>
      <w:wordWrap w:val="0"/>
      <w:jc w:val="right"/>
      <w:rPr>
        <w:sz w:val="28"/>
        <w:szCs w:val="28"/>
      </w:rPr>
    </w:pPr>
    <w:r>
      <w:rPr>
        <w:noProof/>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57785" cy="131445"/>
              <wp:effectExtent l="0" t="0" r="0" b="2540"/>
              <wp:wrapNone/>
              <wp:docPr id="1"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2789F" w:rsidRDefault="00153495">
                          <w:pPr>
                            <w:pStyle w:val="a5"/>
                          </w:pPr>
                          <w:r>
                            <w:fldChar w:fldCharType="begin"/>
                          </w:r>
                          <w:r>
                            <w:instrText xml:space="preserve"> PAGE  \* MERGEFORMAT </w:instrText>
                          </w:r>
                          <w:r>
                            <w:fldChar w:fldCharType="separate"/>
                          </w:r>
                          <w:r w:rsidR="008D5905">
                            <w:rPr>
                              <w:noProof/>
                            </w:rPr>
                            <w:t>3</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46.65pt;margin-top:0;width:4.55pt;height:10.35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" filled="f" stroked="f">
              <v:textbox style="mso-fit-shape-to-text:t" inset="0,0,0,0">
                <w:txbxContent>
                  <w:p w:rsidR="0072789F" w:rsidRDefault="00153495">
                    <w:pPr>
                      <w:pStyle w:val="a5"/>
                    </w:pPr>
                    <w:r>
                      <w:fldChar w:fldCharType="begin"/>
                    </w:r>
                    <w:r>
                      <w:instrText xml:space="preserve"> PAGE  \* MERGEFORMAT </w:instrText>
                    </w:r>
                    <w:r>
                      <w:fldChar w:fldCharType="separate"/>
                    </w:r>
                    <w:r w:rsidR="008D5905">
                      <w:rPr>
                        <w:noProof/>
                      </w:rPr>
                      <w:t>3</w:t>
                    </w:r>
                    <w:r>
                      <w:fldChar w:fldCharType="end"/>
                    </w:r>
                  </w:p>
                </w:txbxContent>
              </v:textbox>
              <w10:wrap anchorx="margin"/>
            </v:shape>
          </w:pict>
        </mc:Fallback>
      </mc:AlternateContent>
    </w:r>
    <w:r w:rsidR="00153495">
      <w:rPr>
        <w:rFonts w:hint="eastAsia"/>
        <w:sz w:val="28"/>
        <w:szCs w:val="28"/>
      </w:rPr>
      <w:t>—</w:t>
    </w:r>
    <w:r w:rsidR="00153495">
      <w:rPr>
        <w:rFonts w:hint="eastAsia"/>
        <w:sz w:val="28"/>
        <w:szCs w:val="28"/>
      </w:rPr>
      <w:t xml:space="preserve"> </w:t>
    </w:r>
    <w:r w:rsidR="00153495">
      <w:rPr>
        <w:sz w:val="28"/>
        <w:szCs w:val="28"/>
      </w:rPr>
      <w:t>9</w:t>
    </w:r>
    <w:r w:rsidR="00153495">
      <w:rPr>
        <w:rFonts w:hint="eastAsia"/>
        <w:sz w:val="28"/>
        <w:szCs w:val="28"/>
      </w:rPr>
      <w:t xml:space="preserve"> </w:t>
    </w:r>
    <w:r w:rsidR="00153495">
      <w:rPr>
        <w:rFonts w:hint="eastAsia"/>
        <w:sz w:val="28"/>
        <w:szCs w:val="28"/>
      </w:rPr>
      <w:t>—</w:t>
    </w:r>
    <w:r w:rsidR="00153495">
      <w:rPr>
        <w:rFonts w:hint="eastAsia"/>
        <w:color w:val="FFFFFF"/>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59A" w:rsidRDefault="006D559A">
      <w:r>
        <w:separator/>
      </w:r>
    </w:p>
  </w:footnote>
  <w:footnote w:type="continuationSeparator" w:id="0">
    <w:p w:rsidR="006D559A" w:rsidRDefault="006D55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AF630AF"/>
    <w:multiLevelType w:val="singleLevel"/>
    <w:tmpl w:val="BAF630AF"/>
    <w:lvl w:ilvl="0">
      <w:start w:val="1"/>
      <w:numFmt w:val="chineseCounting"/>
      <w:suff w:val="nothing"/>
      <w:lvlText w:val="%1、"/>
      <w:lvlJc w:val="left"/>
      <w:pPr>
        <w:ind w:left="-19"/>
      </w:pPr>
      <w:rPr>
        <w:rFonts w:hint="eastAsia"/>
      </w:rPr>
    </w:lvl>
  </w:abstractNum>
  <w:abstractNum w:abstractNumId="1" w15:restartNumberingAfterBreak="0">
    <w:nsid w:val="DEF7F22E"/>
    <w:multiLevelType w:val="singleLevel"/>
    <w:tmpl w:val="DEF7F22E"/>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420"/>
  <w:evenAndOddHeaders/>
  <w:drawingGridHorizontalSpacing w:val="105"/>
  <w:drawingGridVerticalSpacing w:val="31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97FF317C"/>
    <w:rsid w:val="9FED3331"/>
    <w:rsid w:val="9FFE264D"/>
    <w:rsid w:val="AFFF639B"/>
    <w:rsid w:val="BBFFAAB6"/>
    <w:rsid w:val="BFAE8414"/>
    <w:rsid w:val="C6EEA021"/>
    <w:rsid w:val="CBF55A22"/>
    <w:rsid w:val="CBFD6B75"/>
    <w:rsid w:val="CF5F8491"/>
    <w:rsid w:val="CF7F4C8E"/>
    <w:rsid w:val="CF9FEF93"/>
    <w:rsid w:val="CFDF8A27"/>
    <w:rsid w:val="D1DF7D94"/>
    <w:rsid w:val="DBBE5EBC"/>
    <w:rsid w:val="DBFE5583"/>
    <w:rsid w:val="DFDFFBA2"/>
    <w:rsid w:val="DFEC1FD1"/>
    <w:rsid w:val="DFFD2186"/>
    <w:rsid w:val="E07780AD"/>
    <w:rsid w:val="E2771DB4"/>
    <w:rsid w:val="EBBFD9FE"/>
    <w:rsid w:val="EEBF1709"/>
    <w:rsid w:val="EED46F4E"/>
    <w:rsid w:val="EF2FE02E"/>
    <w:rsid w:val="EFF630B2"/>
    <w:rsid w:val="EFF7E32B"/>
    <w:rsid w:val="F2DE4AB4"/>
    <w:rsid w:val="F2E74509"/>
    <w:rsid w:val="F3F59F5A"/>
    <w:rsid w:val="F7742368"/>
    <w:rsid w:val="F7FC9635"/>
    <w:rsid w:val="F9F0D255"/>
    <w:rsid w:val="FCF71644"/>
    <w:rsid w:val="FDFA06A2"/>
    <w:rsid w:val="FF472000"/>
    <w:rsid w:val="FF5BFFA9"/>
    <w:rsid w:val="FF5D613C"/>
    <w:rsid w:val="FFECA112"/>
    <w:rsid w:val="FFFE0783"/>
    <w:rsid w:val="FFFF03D0"/>
    <w:rsid w:val="00001DC0"/>
    <w:rsid w:val="00004BD1"/>
    <w:rsid w:val="00006D86"/>
    <w:rsid w:val="000109FE"/>
    <w:rsid w:val="000335DF"/>
    <w:rsid w:val="00035161"/>
    <w:rsid w:val="00061DFE"/>
    <w:rsid w:val="00071507"/>
    <w:rsid w:val="00076D87"/>
    <w:rsid w:val="00093665"/>
    <w:rsid w:val="0009428B"/>
    <w:rsid w:val="000A2989"/>
    <w:rsid w:val="000A4464"/>
    <w:rsid w:val="000B4396"/>
    <w:rsid w:val="000C2B20"/>
    <w:rsid w:val="00101F08"/>
    <w:rsid w:val="00104873"/>
    <w:rsid w:val="00143BFB"/>
    <w:rsid w:val="00153495"/>
    <w:rsid w:val="001666C7"/>
    <w:rsid w:val="00171D86"/>
    <w:rsid w:val="001723F7"/>
    <w:rsid w:val="00172A27"/>
    <w:rsid w:val="00172AF5"/>
    <w:rsid w:val="001754B2"/>
    <w:rsid w:val="00175EF6"/>
    <w:rsid w:val="001A0347"/>
    <w:rsid w:val="001B13F7"/>
    <w:rsid w:val="001D04AF"/>
    <w:rsid w:val="00203EBB"/>
    <w:rsid w:val="0024221B"/>
    <w:rsid w:val="00261AD8"/>
    <w:rsid w:val="00266D2D"/>
    <w:rsid w:val="00270EF4"/>
    <w:rsid w:val="00283CBF"/>
    <w:rsid w:val="002A0CC3"/>
    <w:rsid w:val="002A354F"/>
    <w:rsid w:val="002B035C"/>
    <w:rsid w:val="002B3253"/>
    <w:rsid w:val="002D5818"/>
    <w:rsid w:val="002E3B72"/>
    <w:rsid w:val="002E4226"/>
    <w:rsid w:val="002F2CC3"/>
    <w:rsid w:val="00300C24"/>
    <w:rsid w:val="00316973"/>
    <w:rsid w:val="00317CA7"/>
    <w:rsid w:val="00333067"/>
    <w:rsid w:val="003412EF"/>
    <w:rsid w:val="00343B0E"/>
    <w:rsid w:val="0035031B"/>
    <w:rsid w:val="003547ED"/>
    <w:rsid w:val="0036326B"/>
    <w:rsid w:val="00365874"/>
    <w:rsid w:val="003707B0"/>
    <w:rsid w:val="003761E7"/>
    <w:rsid w:val="00381E57"/>
    <w:rsid w:val="00383A74"/>
    <w:rsid w:val="0039075A"/>
    <w:rsid w:val="003A10DE"/>
    <w:rsid w:val="003F5153"/>
    <w:rsid w:val="00400BB6"/>
    <w:rsid w:val="00406655"/>
    <w:rsid w:val="00410428"/>
    <w:rsid w:val="00443ED4"/>
    <w:rsid w:val="0045249E"/>
    <w:rsid w:val="00453B18"/>
    <w:rsid w:val="00454EAC"/>
    <w:rsid w:val="004603D5"/>
    <w:rsid w:val="00466921"/>
    <w:rsid w:val="0047111D"/>
    <w:rsid w:val="00472F36"/>
    <w:rsid w:val="004F27D3"/>
    <w:rsid w:val="00502067"/>
    <w:rsid w:val="00503DD5"/>
    <w:rsid w:val="00512C2E"/>
    <w:rsid w:val="00532482"/>
    <w:rsid w:val="00537F74"/>
    <w:rsid w:val="00545CDB"/>
    <w:rsid w:val="0056150E"/>
    <w:rsid w:val="00561EF0"/>
    <w:rsid w:val="0056587F"/>
    <w:rsid w:val="0056661D"/>
    <w:rsid w:val="00576640"/>
    <w:rsid w:val="00577325"/>
    <w:rsid w:val="005832B5"/>
    <w:rsid w:val="00585E0D"/>
    <w:rsid w:val="005865C2"/>
    <w:rsid w:val="00593C49"/>
    <w:rsid w:val="005A66E9"/>
    <w:rsid w:val="005A7943"/>
    <w:rsid w:val="005C0329"/>
    <w:rsid w:val="005C172C"/>
    <w:rsid w:val="005C1E9F"/>
    <w:rsid w:val="005D50C9"/>
    <w:rsid w:val="005D7D24"/>
    <w:rsid w:val="005E3E9D"/>
    <w:rsid w:val="005E67DD"/>
    <w:rsid w:val="005E7595"/>
    <w:rsid w:val="005F0F53"/>
    <w:rsid w:val="00603683"/>
    <w:rsid w:val="00614407"/>
    <w:rsid w:val="00620134"/>
    <w:rsid w:val="0062209B"/>
    <w:rsid w:val="00626117"/>
    <w:rsid w:val="00627297"/>
    <w:rsid w:val="00632B3B"/>
    <w:rsid w:val="006349DE"/>
    <w:rsid w:val="00646140"/>
    <w:rsid w:val="0064664B"/>
    <w:rsid w:val="00660670"/>
    <w:rsid w:val="0067409E"/>
    <w:rsid w:val="00683227"/>
    <w:rsid w:val="006B6A1D"/>
    <w:rsid w:val="006C20D6"/>
    <w:rsid w:val="006C50E4"/>
    <w:rsid w:val="006D559A"/>
    <w:rsid w:val="006E0A51"/>
    <w:rsid w:val="006F7A06"/>
    <w:rsid w:val="007045D9"/>
    <w:rsid w:val="00724899"/>
    <w:rsid w:val="00727597"/>
    <w:rsid w:val="0072789F"/>
    <w:rsid w:val="00754F98"/>
    <w:rsid w:val="00766D9A"/>
    <w:rsid w:val="007A3E48"/>
    <w:rsid w:val="007B051B"/>
    <w:rsid w:val="007C3B60"/>
    <w:rsid w:val="007C77DD"/>
    <w:rsid w:val="007C7949"/>
    <w:rsid w:val="00810BF8"/>
    <w:rsid w:val="00834B83"/>
    <w:rsid w:val="00843985"/>
    <w:rsid w:val="00871284"/>
    <w:rsid w:val="0087177C"/>
    <w:rsid w:val="0087484E"/>
    <w:rsid w:val="00874A57"/>
    <w:rsid w:val="00881440"/>
    <w:rsid w:val="0089278B"/>
    <w:rsid w:val="008C461A"/>
    <w:rsid w:val="008C6209"/>
    <w:rsid w:val="008D5905"/>
    <w:rsid w:val="008D69AA"/>
    <w:rsid w:val="008E4C76"/>
    <w:rsid w:val="008E7729"/>
    <w:rsid w:val="00910D69"/>
    <w:rsid w:val="00926229"/>
    <w:rsid w:val="00935839"/>
    <w:rsid w:val="00944679"/>
    <w:rsid w:val="00953CE3"/>
    <w:rsid w:val="009672D0"/>
    <w:rsid w:val="0097437D"/>
    <w:rsid w:val="00996F23"/>
    <w:rsid w:val="009A22E6"/>
    <w:rsid w:val="009A2520"/>
    <w:rsid w:val="009A2DB4"/>
    <w:rsid w:val="009A4453"/>
    <w:rsid w:val="009B6E32"/>
    <w:rsid w:val="009C0415"/>
    <w:rsid w:val="009D1D6B"/>
    <w:rsid w:val="009F7B56"/>
    <w:rsid w:val="00A04C8E"/>
    <w:rsid w:val="00A1573D"/>
    <w:rsid w:val="00A170B4"/>
    <w:rsid w:val="00A33460"/>
    <w:rsid w:val="00A344DA"/>
    <w:rsid w:val="00A51F1C"/>
    <w:rsid w:val="00A6456B"/>
    <w:rsid w:val="00A646C6"/>
    <w:rsid w:val="00A703C1"/>
    <w:rsid w:val="00A87CF5"/>
    <w:rsid w:val="00A9276E"/>
    <w:rsid w:val="00AA1DD0"/>
    <w:rsid w:val="00AA5D6B"/>
    <w:rsid w:val="00B027D5"/>
    <w:rsid w:val="00B306AC"/>
    <w:rsid w:val="00B362BC"/>
    <w:rsid w:val="00B45F6B"/>
    <w:rsid w:val="00B7175F"/>
    <w:rsid w:val="00B83185"/>
    <w:rsid w:val="00B92DE4"/>
    <w:rsid w:val="00BA76F9"/>
    <w:rsid w:val="00BC5211"/>
    <w:rsid w:val="00BE381C"/>
    <w:rsid w:val="00BF0CAE"/>
    <w:rsid w:val="00BF3902"/>
    <w:rsid w:val="00C0026F"/>
    <w:rsid w:val="00C04F7F"/>
    <w:rsid w:val="00C31370"/>
    <w:rsid w:val="00C334E0"/>
    <w:rsid w:val="00C42C13"/>
    <w:rsid w:val="00C475A9"/>
    <w:rsid w:val="00C542E4"/>
    <w:rsid w:val="00C649BF"/>
    <w:rsid w:val="00C65C49"/>
    <w:rsid w:val="00C72DDC"/>
    <w:rsid w:val="00C85A3C"/>
    <w:rsid w:val="00CB042A"/>
    <w:rsid w:val="00CB2F44"/>
    <w:rsid w:val="00CB79BE"/>
    <w:rsid w:val="00CD0FA7"/>
    <w:rsid w:val="00CD13DB"/>
    <w:rsid w:val="00CF61DC"/>
    <w:rsid w:val="00D1160E"/>
    <w:rsid w:val="00D1401C"/>
    <w:rsid w:val="00D1561F"/>
    <w:rsid w:val="00D16D6D"/>
    <w:rsid w:val="00D27F0A"/>
    <w:rsid w:val="00D330E7"/>
    <w:rsid w:val="00D367D7"/>
    <w:rsid w:val="00D45436"/>
    <w:rsid w:val="00D63096"/>
    <w:rsid w:val="00D669CB"/>
    <w:rsid w:val="00D76928"/>
    <w:rsid w:val="00D91F9F"/>
    <w:rsid w:val="00DA5A22"/>
    <w:rsid w:val="00DD3744"/>
    <w:rsid w:val="00DE7F37"/>
    <w:rsid w:val="00E035B9"/>
    <w:rsid w:val="00E05A99"/>
    <w:rsid w:val="00E23786"/>
    <w:rsid w:val="00E23894"/>
    <w:rsid w:val="00E25F5E"/>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81A04"/>
    <w:rsid w:val="00F8709A"/>
    <w:rsid w:val="00FA1F2D"/>
    <w:rsid w:val="00FA60C8"/>
    <w:rsid w:val="00FB360A"/>
    <w:rsid w:val="00FC1DD1"/>
    <w:rsid w:val="00FD0455"/>
    <w:rsid w:val="00FD08E1"/>
    <w:rsid w:val="00FD443E"/>
    <w:rsid w:val="00FE3321"/>
    <w:rsid w:val="00FE7AE7"/>
    <w:rsid w:val="00FF2072"/>
    <w:rsid w:val="00FF3698"/>
    <w:rsid w:val="082A2AD3"/>
    <w:rsid w:val="09993055"/>
    <w:rsid w:val="09FE54A8"/>
    <w:rsid w:val="0C3D40E6"/>
    <w:rsid w:val="0FFB8ECB"/>
    <w:rsid w:val="1EFBCDAA"/>
    <w:rsid w:val="26D734E3"/>
    <w:rsid w:val="29FFCE97"/>
    <w:rsid w:val="2D507037"/>
    <w:rsid w:val="2D8253D0"/>
    <w:rsid w:val="2DF1378D"/>
    <w:rsid w:val="311F20B3"/>
    <w:rsid w:val="334D7CFE"/>
    <w:rsid w:val="373FE33A"/>
    <w:rsid w:val="37DF9695"/>
    <w:rsid w:val="37FD988C"/>
    <w:rsid w:val="3B678D5D"/>
    <w:rsid w:val="3BBBDDCB"/>
    <w:rsid w:val="3DFFE70C"/>
    <w:rsid w:val="3ED31A52"/>
    <w:rsid w:val="3EFFB3FB"/>
    <w:rsid w:val="3F5E76C0"/>
    <w:rsid w:val="3FCF256F"/>
    <w:rsid w:val="426E57C3"/>
    <w:rsid w:val="43D85486"/>
    <w:rsid w:val="476B1D48"/>
    <w:rsid w:val="4CF4E75B"/>
    <w:rsid w:val="51DF6A1A"/>
    <w:rsid w:val="55775312"/>
    <w:rsid w:val="559C8DA4"/>
    <w:rsid w:val="56EEA051"/>
    <w:rsid w:val="57CE6FC3"/>
    <w:rsid w:val="5BB7BE24"/>
    <w:rsid w:val="5D3C1C15"/>
    <w:rsid w:val="5DBF259C"/>
    <w:rsid w:val="5DEFCA16"/>
    <w:rsid w:val="5E97BB0E"/>
    <w:rsid w:val="5EDE3290"/>
    <w:rsid w:val="5EFFCC6A"/>
    <w:rsid w:val="5EFFD625"/>
    <w:rsid w:val="5FFC4FC5"/>
    <w:rsid w:val="62CD212E"/>
    <w:rsid w:val="63FFCE2A"/>
    <w:rsid w:val="677E37C3"/>
    <w:rsid w:val="6C95179E"/>
    <w:rsid w:val="6ECDC78D"/>
    <w:rsid w:val="6ED415F7"/>
    <w:rsid w:val="6F0EDEAF"/>
    <w:rsid w:val="6F3FB890"/>
    <w:rsid w:val="6FE77838"/>
    <w:rsid w:val="7177E118"/>
    <w:rsid w:val="72B7D4B3"/>
    <w:rsid w:val="76E325FF"/>
    <w:rsid w:val="76F39A26"/>
    <w:rsid w:val="778061B1"/>
    <w:rsid w:val="77A237FD"/>
    <w:rsid w:val="7A7E2D92"/>
    <w:rsid w:val="7AF70F24"/>
    <w:rsid w:val="7B4E21E4"/>
    <w:rsid w:val="7C491389"/>
    <w:rsid w:val="7CBF2336"/>
    <w:rsid w:val="7D5EAA62"/>
    <w:rsid w:val="7DEFCDFF"/>
    <w:rsid w:val="7E7E9055"/>
    <w:rsid w:val="7F7E6090"/>
    <w:rsid w:val="7F9FA812"/>
    <w:rsid w:val="7FD498A3"/>
    <w:rsid w:val="7FF7A8EA"/>
    <w:rsid w:val="7FF99672"/>
    <w:rsid w:val="7FFB2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5F193A9-A35A-4E0F-8BA2-158334490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character" w:styleId="a7">
    <w:name w:val="page number"/>
    <w:basedOn w:val="a0"/>
  </w:style>
  <w:style w:type="character" w:styleId="a8">
    <w:name w:val="Hyperlink"/>
    <w:basedOn w:val="a0"/>
    <w:rPr>
      <w:color w:val="0000FF"/>
      <w:u w:val="single"/>
    </w:rPr>
  </w:style>
  <w:style w:type="paragraph" w:styleId="a9">
    <w:name w:val="Revision"/>
    <w:hidden/>
    <w:uiPriority w:val="99"/>
    <w:unhideWhenUsed/>
    <w:rsid w:val="003707B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300</Words>
  <Characters>1714</Characters>
  <Application>Microsoft Office Word</Application>
  <DocSecurity>0</DocSecurity>
  <Lines>14</Lines>
  <Paragraphs>4</Paragraphs>
  <ScaleCrop>false</ScaleCrop>
  <Company>Xtzj.Com</Company>
  <LinksUpToDate>false</LinksUpToDate>
  <CharactersWithSpaces>2010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4</cp:revision>
  <cp:lastPrinted>2024-12-09T16:01:00Z</cp:lastPrinted>
  <dcterms:created xsi:type="dcterms:W3CDTF">2024-12-09T09:13:00Z</dcterms:created>
  <dcterms:modified xsi:type="dcterms:W3CDTF">2024-12-09T09:20:00Z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11501EF4BDEED61A48A05667A7E33A20</vt:lpwstr>
  </property>
</Properties>
</file>