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pStyle w:val="3"/>
        <w:rPr>
          <w:rFonts w:ascii="黑体" w:hAnsi="黑体" w:eastAsia="黑体"/>
          <w:b w:val="0"/>
          <w:sz w:val="42"/>
          <w:szCs w:val="4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违规收费问题清单管理案例申报表</w:t>
      </w:r>
    </w:p>
    <w:bookmarkEnd w:id="0"/>
    <w:tbl>
      <w:tblPr>
        <w:tblStyle w:val="5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209"/>
        <w:gridCol w:w="138"/>
        <w:gridCol w:w="1104"/>
        <w:gridCol w:w="138"/>
        <w:gridCol w:w="2348"/>
        <w:gridCol w:w="396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申报市州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86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问题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性质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1、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发生范围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：①普遍性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；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②苗头性。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2、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是否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存在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争议：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①是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；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②否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问题描述</w:t>
            </w:r>
          </w:p>
        </w:tc>
        <w:tc>
          <w:tcPr>
            <w:tcW w:w="745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涉及服务价格项目</w:t>
            </w:r>
          </w:p>
        </w:tc>
        <w:tc>
          <w:tcPr>
            <w:tcW w:w="745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876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违规类型（选填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序号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）：①重复收费</w:t>
            </w:r>
            <w:r>
              <w:rPr>
                <w:rFonts w:hint="eastAsia" w:ascii="楷体_GB2312" w:eastAsia="楷体_GB2312"/>
                <w:color w:val="0000FF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②超标准收费</w:t>
            </w:r>
            <w:r>
              <w:rPr>
                <w:rFonts w:hint="eastAsia" w:ascii="楷体_GB2312" w:eastAsia="楷体_GB2312"/>
                <w:color w:val="0000FF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③分解项目收费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违规点及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违规依据</w:t>
            </w:r>
          </w:p>
        </w:tc>
        <w:tc>
          <w:tcPr>
            <w:tcW w:w="745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争议内容（非争议性的问题，无需填写）</w:t>
            </w:r>
          </w:p>
        </w:tc>
        <w:tc>
          <w:tcPr>
            <w:tcW w:w="745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申报意见（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①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建议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直接纳入问题清单管理；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②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明确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争议性内容后，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将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相关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违规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问题纳入问题清单管理</w:t>
            </w: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7455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申报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单位：</w:t>
            </w:r>
          </w:p>
          <w:p>
            <w:pPr>
              <w:spacing w:line="400" w:lineRule="exact"/>
              <w:ind w:firstLine="980" w:firstLineChars="350"/>
              <w:jc w:val="righ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55" w:type="dxa"/>
            <w:gridSpan w:val="7"/>
            <w:noWrap w:val="0"/>
            <w:vAlign w:val="center"/>
          </w:tcPr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620" w:firstLineChars="1650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审核</w:t>
            </w:r>
            <w:r>
              <w:rPr>
                <w:rFonts w:ascii="楷体_GB2312" w:eastAsia="楷体_GB2312"/>
                <w:kern w:val="0"/>
                <w:sz w:val="28"/>
                <w:szCs w:val="28"/>
              </w:rPr>
              <w:t>单位：</w:t>
            </w:r>
          </w:p>
          <w:p>
            <w:pPr>
              <w:spacing w:line="400" w:lineRule="exact"/>
              <w:jc w:val="righ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type w:val="continuous"/>
      <w:pgSz w:w="11906" w:h="16838"/>
      <w:pgMar w:top="1417" w:right="1474" w:bottom="1587" w:left="1984" w:header="851" w:footer="992" w:gutter="0"/>
      <w:cols w:space="720" w:num="1"/>
      <w:formProt w:val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51F7"/>
    <w:rsid w:val="3F6D5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2023-02-03T02:01:00Z</dcterms:created>
  <dc:creator>彭小玲</dc:creator>
  <cp:lastModifiedBy>彭小玲</cp:lastModifiedBy>
  <dcterms:modified xsi:type="dcterms:W3CDTF">2023-02-03T02:03:05Z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