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C1CB1">
      <w:pPr>
        <w:spacing w:line="600" w:lineRule="exact"/>
        <w:ind w:right="160"/>
        <w:rPr>
          <w:rFonts w:ascii="黑体" w:eastAsia="黑体" w:hAnsi="黑体" w:cs="黑体" w:hint="eastAsia"/>
          <w:sz w:val="32"/>
          <w:szCs w:val="32"/>
        </w:rPr>
      </w:pPr>
      <w:r>
        <w:rPr>
          <w:rFonts w:ascii="黑体" w:eastAsia="黑体" w:hAnsi="黑体" w:cs="黑体" w:hint="eastAsia"/>
          <w:sz w:val="32"/>
          <w:szCs w:val="32"/>
        </w:rPr>
        <w:t>附件</w:t>
      </w:r>
    </w:p>
    <w:p w:rsidR="00000000" w:rsidRDefault="00CC1CB1">
      <w:pPr>
        <w:spacing w:line="600" w:lineRule="exact"/>
        <w:ind w:right="160"/>
        <w:rPr>
          <w:rFonts w:ascii="黑体" w:eastAsia="黑体" w:hAnsi="黑体" w:cs="黑体" w:hint="eastAsia"/>
          <w:sz w:val="32"/>
          <w:szCs w:val="32"/>
        </w:rPr>
      </w:pPr>
    </w:p>
    <w:p w:rsidR="00000000" w:rsidRDefault="00CC1CB1">
      <w:pPr>
        <w:spacing w:line="600" w:lineRule="exact"/>
        <w:ind w:right="16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品种名单</w:t>
      </w:r>
      <w:r>
        <w:rPr>
          <w:rFonts w:ascii="方正小标宋简体" w:eastAsia="方正小标宋简体" w:hAnsi="方正小标宋简体" w:cs="方正小标宋简体" w:hint="eastAsia"/>
          <w:sz w:val="44"/>
          <w:szCs w:val="44"/>
        </w:rPr>
        <w:t>及</w:t>
      </w:r>
      <w:r>
        <w:rPr>
          <w:rFonts w:ascii="方正小标宋简体" w:eastAsia="方正小标宋简体" w:hAnsi="方正小标宋简体" w:cs="方正小标宋简体" w:hint="eastAsia"/>
          <w:sz w:val="44"/>
          <w:szCs w:val="44"/>
        </w:rPr>
        <w:t>药品说明书修订建议</w:t>
      </w:r>
    </w:p>
    <w:p w:rsidR="00000000" w:rsidRDefault="00CC1CB1">
      <w:pPr>
        <w:spacing w:line="600" w:lineRule="exact"/>
        <w:ind w:right="160"/>
        <w:jc w:val="center"/>
        <w:rPr>
          <w:rFonts w:ascii="方正小标宋简体" w:eastAsia="方正小标宋简体" w:hAnsi="方正小标宋简体" w:cs="方正小标宋简体" w:hint="eastAsia"/>
          <w:sz w:val="44"/>
          <w:szCs w:val="44"/>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7"/>
        <w:gridCol w:w="1263"/>
        <w:gridCol w:w="1705"/>
        <w:gridCol w:w="3540"/>
        <w:gridCol w:w="7508"/>
      </w:tblGrid>
      <w:tr w:rsidR="00000000">
        <w:trPr>
          <w:trHeight w:val="414"/>
          <w:tblHeader/>
          <w:jc w:val="center"/>
        </w:trPr>
        <w:tc>
          <w:tcPr>
            <w:tcW w:w="714" w:type="dxa"/>
            <w:gridSpan w:val="2"/>
            <w:vAlign w:val="center"/>
          </w:tcPr>
          <w:p w:rsidR="00000000" w:rsidRDefault="00CC1CB1">
            <w:pPr>
              <w:jc w:val="center"/>
              <w:rPr>
                <w:b/>
                <w:sz w:val="18"/>
                <w:szCs w:val="18"/>
              </w:rPr>
            </w:pPr>
            <w:r>
              <w:rPr>
                <w:rFonts w:hint="eastAsia"/>
                <w:b/>
                <w:sz w:val="18"/>
                <w:szCs w:val="18"/>
              </w:rPr>
              <w:t>序号</w:t>
            </w:r>
          </w:p>
        </w:tc>
        <w:tc>
          <w:tcPr>
            <w:tcW w:w="1263" w:type="dxa"/>
            <w:vAlign w:val="center"/>
          </w:tcPr>
          <w:p w:rsidR="00000000" w:rsidRDefault="00CC1CB1">
            <w:pPr>
              <w:jc w:val="center"/>
              <w:rPr>
                <w:b/>
                <w:sz w:val="18"/>
                <w:szCs w:val="18"/>
              </w:rPr>
            </w:pPr>
            <w:r>
              <w:rPr>
                <w:rFonts w:hint="eastAsia"/>
                <w:b/>
                <w:sz w:val="18"/>
                <w:szCs w:val="18"/>
              </w:rPr>
              <w:t>活性成份</w:t>
            </w:r>
          </w:p>
        </w:tc>
        <w:tc>
          <w:tcPr>
            <w:tcW w:w="1705" w:type="dxa"/>
            <w:vAlign w:val="center"/>
          </w:tcPr>
          <w:p w:rsidR="00000000" w:rsidRDefault="00CC1CB1">
            <w:pPr>
              <w:jc w:val="center"/>
              <w:rPr>
                <w:b/>
                <w:sz w:val="18"/>
                <w:szCs w:val="18"/>
              </w:rPr>
            </w:pPr>
            <w:r>
              <w:rPr>
                <w:rFonts w:hint="eastAsia"/>
                <w:b/>
                <w:sz w:val="18"/>
                <w:szCs w:val="18"/>
              </w:rPr>
              <w:t>条目</w:t>
            </w:r>
          </w:p>
        </w:tc>
        <w:tc>
          <w:tcPr>
            <w:tcW w:w="11048" w:type="dxa"/>
            <w:gridSpan w:val="2"/>
            <w:vAlign w:val="center"/>
          </w:tcPr>
          <w:p w:rsidR="00000000" w:rsidRDefault="00CC1CB1">
            <w:pPr>
              <w:jc w:val="center"/>
              <w:rPr>
                <w:b/>
                <w:sz w:val="18"/>
                <w:szCs w:val="18"/>
              </w:rPr>
            </w:pPr>
            <w:r>
              <w:rPr>
                <w:rFonts w:hint="eastAsia"/>
                <w:b/>
                <w:sz w:val="18"/>
                <w:szCs w:val="18"/>
              </w:rPr>
              <w:t>修订</w:t>
            </w:r>
            <w:r>
              <w:rPr>
                <w:rFonts w:hint="eastAsia"/>
                <w:b/>
                <w:sz w:val="18"/>
                <w:szCs w:val="18"/>
              </w:rPr>
              <w:t>建议</w:t>
            </w:r>
          </w:p>
        </w:tc>
      </w:tr>
      <w:tr w:rsidR="00000000">
        <w:trPr>
          <w:trHeight w:val="267"/>
          <w:jc w:val="center"/>
        </w:trPr>
        <w:tc>
          <w:tcPr>
            <w:tcW w:w="714" w:type="dxa"/>
            <w:gridSpan w:val="2"/>
            <w:vMerge w:val="restart"/>
            <w:vAlign w:val="center"/>
          </w:tcPr>
          <w:p w:rsidR="00000000" w:rsidRDefault="00CC1CB1">
            <w:pPr>
              <w:jc w:val="center"/>
              <w:rPr>
                <w:sz w:val="18"/>
                <w:szCs w:val="18"/>
              </w:rPr>
            </w:pPr>
            <w:r>
              <w:rPr>
                <w:sz w:val="18"/>
                <w:szCs w:val="18"/>
              </w:rPr>
              <w:t>1</w:t>
            </w:r>
          </w:p>
        </w:tc>
        <w:tc>
          <w:tcPr>
            <w:tcW w:w="1263" w:type="dxa"/>
            <w:vMerge w:val="restart"/>
            <w:vAlign w:val="center"/>
          </w:tcPr>
          <w:p w:rsidR="00000000" w:rsidRDefault="00CC1CB1">
            <w:pPr>
              <w:jc w:val="center"/>
              <w:rPr>
                <w:sz w:val="18"/>
                <w:szCs w:val="18"/>
              </w:rPr>
            </w:pPr>
            <w:r>
              <w:rPr>
                <w:rFonts w:hint="eastAsia"/>
                <w:sz w:val="18"/>
                <w:szCs w:val="18"/>
              </w:rPr>
              <w:t>氟马西尼</w:t>
            </w:r>
          </w:p>
        </w:tc>
        <w:tc>
          <w:tcPr>
            <w:tcW w:w="1705" w:type="dxa"/>
            <w:vAlign w:val="center"/>
          </w:tcPr>
          <w:p w:rsidR="00000000" w:rsidRDefault="00CC1CB1">
            <w:pPr>
              <w:jc w:val="center"/>
              <w:rPr>
                <w:sz w:val="18"/>
                <w:szCs w:val="18"/>
              </w:rPr>
            </w:pPr>
            <w:r>
              <w:rPr>
                <w:rFonts w:hint="eastAsia"/>
                <w:sz w:val="18"/>
                <w:szCs w:val="18"/>
              </w:rPr>
              <w:t>剂型</w:t>
            </w:r>
          </w:p>
        </w:tc>
        <w:tc>
          <w:tcPr>
            <w:tcW w:w="11048" w:type="dxa"/>
            <w:gridSpan w:val="2"/>
            <w:vAlign w:val="center"/>
          </w:tcPr>
          <w:p w:rsidR="00000000" w:rsidRDefault="00CC1CB1">
            <w:pPr>
              <w:jc w:val="center"/>
              <w:rPr>
                <w:sz w:val="18"/>
                <w:szCs w:val="18"/>
              </w:rPr>
            </w:pPr>
            <w:r>
              <w:rPr>
                <w:rFonts w:hint="eastAsia"/>
                <w:sz w:val="18"/>
                <w:szCs w:val="18"/>
              </w:rPr>
              <w:t>注射液</w:t>
            </w:r>
          </w:p>
        </w:tc>
      </w:tr>
      <w:tr w:rsidR="00000000">
        <w:trPr>
          <w:trHeight w:val="229"/>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规格</w:t>
            </w:r>
          </w:p>
        </w:tc>
        <w:tc>
          <w:tcPr>
            <w:tcW w:w="11048" w:type="dxa"/>
            <w:gridSpan w:val="2"/>
            <w:vAlign w:val="center"/>
          </w:tcPr>
          <w:p w:rsidR="00000000" w:rsidRDefault="00CC1CB1">
            <w:pPr>
              <w:jc w:val="center"/>
              <w:rPr>
                <w:sz w:val="18"/>
                <w:szCs w:val="18"/>
              </w:rPr>
            </w:pPr>
            <w:r>
              <w:rPr>
                <w:sz w:val="18"/>
                <w:szCs w:val="18"/>
              </w:rPr>
              <w:t>2mL:0.2mg</w:t>
            </w:r>
            <w:r>
              <w:rPr>
                <w:rFonts w:hint="eastAsia"/>
                <w:sz w:val="18"/>
                <w:szCs w:val="18"/>
              </w:rPr>
              <w:t>；</w:t>
            </w:r>
            <w:r>
              <w:rPr>
                <w:sz w:val="18"/>
                <w:szCs w:val="18"/>
              </w:rPr>
              <w:t>5mL:0.5mg</w:t>
            </w:r>
            <w:r>
              <w:rPr>
                <w:rFonts w:hint="eastAsia"/>
                <w:sz w:val="18"/>
                <w:szCs w:val="18"/>
              </w:rPr>
              <w:t>；</w:t>
            </w:r>
            <w:r>
              <w:rPr>
                <w:sz w:val="18"/>
                <w:szCs w:val="18"/>
              </w:rPr>
              <w:t>10mL:1.0mg</w:t>
            </w:r>
          </w:p>
        </w:tc>
      </w:tr>
      <w:tr w:rsidR="00000000">
        <w:trPr>
          <w:trHeight w:val="33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p>
        </w:tc>
        <w:tc>
          <w:tcPr>
            <w:tcW w:w="3540" w:type="dxa"/>
            <w:vAlign w:val="center"/>
          </w:tcPr>
          <w:p w:rsidR="00000000" w:rsidRDefault="00CC1CB1">
            <w:pPr>
              <w:jc w:val="center"/>
              <w:rPr>
                <w:b/>
                <w:sz w:val="18"/>
                <w:szCs w:val="18"/>
              </w:rPr>
            </w:pPr>
            <w:r>
              <w:rPr>
                <w:rFonts w:hint="eastAsia"/>
                <w:b/>
                <w:sz w:val="18"/>
                <w:szCs w:val="18"/>
              </w:rPr>
              <w:t>修订前</w:t>
            </w:r>
          </w:p>
        </w:tc>
        <w:tc>
          <w:tcPr>
            <w:tcW w:w="7508" w:type="dxa"/>
            <w:vAlign w:val="center"/>
          </w:tcPr>
          <w:p w:rsidR="00000000" w:rsidRDefault="00CC1CB1">
            <w:pPr>
              <w:jc w:val="center"/>
              <w:rPr>
                <w:b/>
                <w:sz w:val="18"/>
                <w:szCs w:val="18"/>
              </w:rPr>
            </w:pPr>
            <w:r>
              <w:rPr>
                <w:rFonts w:hint="eastAsia"/>
                <w:b/>
                <w:sz w:val="18"/>
                <w:szCs w:val="18"/>
              </w:rPr>
              <w:t>修订后</w:t>
            </w:r>
          </w:p>
        </w:tc>
      </w:tr>
      <w:tr w:rsidR="00000000">
        <w:trPr>
          <w:trHeight w:val="42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【适应症】</w:t>
            </w:r>
          </w:p>
        </w:tc>
        <w:tc>
          <w:tcPr>
            <w:tcW w:w="3540" w:type="dxa"/>
          </w:tcPr>
          <w:p w:rsidR="00000000" w:rsidRDefault="00CC1CB1">
            <w:pPr>
              <w:rPr>
                <w:i/>
                <w:sz w:val="18"/>
                <w:szCs w:val="18"/>
              </w:rPr>
            </w:pPr>
            <w:r>
              <w:rPr>
                <w:rFonts w:hint="eastAsia"/>
                <w:i/>
                <w:sz w:val="18"/>
                <w:szCs w:val="18"/>
              </w:rPr>
              <w:t>无明确的儿童应用描述</w:t>
            </w:r>
          </w:p>
        </w:tc>
        <w:tc>
          <w:tcPr>
            <w:tcW w:w="7508" w:type="dxa"/>
          </w:tcPr>
          <w:p w:rsidR="00000000" w:rsidRDefault="00CC1CB1">
            <w:pPr>
              <w:rPr>
                <w:i/>
                <w:sz w:val="18"/>
                <w:szCs w:val="18"/>
              </w:rPr>
            </w:pPr>
            <w:r>
              <w:rPr>
                <w:rFonts w:hint="eastAsia"/>
                <w:i/>
                <w:sz w:val="18"/>
                <w:szCs w:val="18"/>
              </w:rPr>
              <w:t>增加：</w:t>
            </w:r>
          </w:p>
          <w:p w:rsidR="00000000" w:rsidRDefault="00CC1CB1">
            <w:pPr>
              <w:rPr>
                <w:sz w:val="18"/>
                <w:szCs w:val="18"/>
              </w:rPr>
            </w:pPr>
            <w:r>
              <w:rPr>
                <w:rFonts w:hint="eastAsia"/>
                <w:sz w:val="18"/>
                <w:szCs w:val="18"/>
              </w:rPr>
              <w:t>用于逆转</w:t>
            </w:r>
            <w:r>
              <w:rPr>
                <w:sz w:val="18"/>
                <w:szCs w:val="18"/>
              </w:rPr>
              <w:t>1</w:t>
            </w:r>
            <w:r>
              <w:rPr>
                <w:rFonts w:hint="eastAsia"/>
                <w:sz w:val="18"/>
                <w:szCs w:val="18"/>
              </w:rPr>
              <w:t>岁及以上儿童因苯二氮䓬类药物引起的镇静作用。</w:t>
            </w:r>
          </w:p>
        </w:tc>
      </w:tr>
      <w:tr w:rsidR="00000000">
        <w:trPr>
          <w:trHeight w:val="1747"/>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【用法用量】</w:t>
            </w:r>
          </w:p>
        </w:tc>
        <w:tc>
          <w:tcPr>
            <w:tcW w:w="3540" w:type="dxa"/>
          </w:tcPr>
          <w:p w:rsidR="00000000" w:rsidRDefault="00CC1CB1">
            <w:pPr>
              <w:rPr>
                <w:i/>
                <w:sz w:val="18"/>
                <w:szCs w:val="18"/>
              </w:rPr>
            </w:pPr>
            <w:r>
              <w:rPr>
                <w:rFonts w:hint="eastAsia"/>
                <w:i/>
                <w:sz w:val="18"/>
                <w:szCs w:val="18"/>
              </w:rPr>
              <w:t>无明确的儿童应用描述</w:t>
            </w:r>
          </w:p>
        </w:tc>
        <w:tc>
          <w:tcPr>
            <w:tcW w:w="7508" w:type="dxa"/>
          </w:tcPr>
          <w:p w:rsidR="00000000" w:rsidRDefault="00CC1CB1">
            <w:pPr>
              <w:rPr>
                <w:i/>
                <w:sz w:val="18"/>
                <w:szCs w:val="18"/>
              </w:rPr>
            </w:pPr>
            <w:r>
              <w:rPr>
                <w:rFonts w:hint="eastAsia"/>
                <w:i/>
                <w:sz w:val="18"/>
                <w:szCs w:val="18"/>
              </w:rPr>
              <w:t>增加：</w:t>
            </w:r>
          </w:p>
          <w:p w:rsidR="00000000" w:rsidRDefault="00CC1CB1">
            <w:pPr>
              <w:rPr>
                <w:sz w:val="18"/>
                <w:szCs w:val="18"/>
              </w:rPr>
            </w:pPr>
            <w:r>
              <w:rPr>
                <w:rFonts w:hint="eastAsia"/>
                <w:sz w:val="18"/>
                <w:szCs w:val="18"/>
              </w:rPr>
              <w:t>推荐起始剂量为</w:t>
            </w:r>
            <w:r>
              <w:rPr>
                <w:sz w:val="18"/>
                <w:szCs w:val="18"/>
              </w:rPr>
              <w:t>0.01 mg/kg</w:t>
            </w:r>
            <w:r>
              <w:rPr>
                <w:rFonts w:hint="eastAsia"/>
                <w:sz w:val="18"/>
                <w:szCs w:val="18"/>
              </w:rPr>
              <w:t>（最大不超过</w:t>
            </w:r>
            <w:r>
              <w:rPr>
                <w:sz w:val="18"/>
                <w:szCs w:val="18"/>
              </w:rPr>
              <w:t>0.2 mg</w:t>
            </w:r>
            <w:r>
              <w:rPr>
                <w:rFonts w:hint="eastAsia"/>
                <w:sz w:val="18"/>
                <w:szCs w:val="18"/>
              </w:rPr>
              <w:t>），在</w:t>
            </w:r>
            <w:r>
              <w:rPr>
                <w:sz w:val="18"/>
                <w:szCs w:val="18"/>
              </w:rPr>
              <w:t xml:space="preserve"> 15 </w:t>
            </w:r>
            <w:r>
              <w:rPr>
                <w:rFonts w:hint="eastAsia"/>
                <w:sz w:val="18"/>
                <w:szCs w:val="18"/>
              </w:rPr>
              <w:t>秒内静脉注射。若给药后没有获得所需的意识水平，等待</w:t>
            </w:r>
            <w:r>
              <w:rPr>
                <w:sz w:val="18"/>
                <w:szCs w:val="18"/>
              </w:rPr>
              <w:t xml:space="preserve"> 45 </w:t>
            </w:r>
            <w:r>
              <w:rPr>
                <w:rFonts w:hint="eastAsia"/>
                <w:sz w:val="18"/>
                <w:szCs w:val="18"/>
              </w:rPr>
              <w:t>秒后，可进一步注射</w:t>
            </w:r>
            <w:r>
              <w:rPr>
                <w:sz w:val="18"/>
                <w:szCs w:val="18"/>
              </w:rPr>
              <w:t xml:space="preserve">0.01 mg/kg </w:t>
            </w:r>
            <w:r>
              <w:rPr>
                <w:rFonts w:hint="eastAsia"/>
                <w:sz w:val="18"/>
                <w:szCs w:val="18"/>
              </w:rPr>
              <w:t>（最大不超过</w:t>
            </w:r>
            <w:r>
              <w:rPr>
                <w:sz w:val="18"/>
                <w:szCs w:val="18"/>
              </w:rPr>
              <w:t xml:space="preserve"> 0.2 mg</w:t>
            </w:r>
            <w:r>
              <w:rPr>
                <w:rFonts w:hint="eastAsia"/>
                <w:sz w:val="18"/>
                <w:szCs w:val="18"/>
              </w:rPr>
              <w:t>），必要时以</w:t>
            </w:r>
            <w:r>
              <w:rPr>
                <w:sz w:val="18"/>
                <w:szCs w:val="18"/>
              </w:rPr>
              <w:t xml:space="preserve"> 60 </w:t>
            </w:r>
            <w:r>
              <w:rPr>
                <w:rFonts w:hint="eastAsia"/>
                <w:sz w:val="18"/>
                <w:szCs w:val="18"/>
              </w:rPr>
              <w:t>秒的间隔重复注射（最多</w:t>
            </w:r>
            <w:r>
              <w:rPr>
                <w:sz w:val="18"/>
                <w:szCs w:val="18"/>
              </w:rPr>
              <w:t>4</w:t>
            </w:r>
            <w:r>
              <w:rPr>
                <w:rFonts w:hint="eastAsia"/>
                <w:sz w:val="18"/>
                <w:szCs w:val="18"/>
              </w:rPr>
              <w:t>次），最大总给药剂量为</w:t>
            </w:r>
            <w:r>
              <w:rPr>
                <w:sz w:val="18"/>
                <w:szCs w:val="18"/>
              </w:rPr>
              <w:t xml:space="preserve">0.05mg/kg </w:t>
            </w:r>
            <w:r>
              <w:rPr>
                <w:rFonts w:hint="eastAsia"/>
                <w:sz w:val="18"/>
                <w:szCs w:val="18"/>
              </w:rPr>
              <w:t>或</w:t>
            </w:r>
            <w:r>
              <w:rPr>
                <w:sz w:val="18"/>
                <w:szCs w:val="18"/>
              </w:rPr>
              <w:t>1mg</w:t>
            </w:r>
            <w:r>
              <w:rPr>
                <w:rFonts w:hint="eastAsia"/>
                <w:sz w:val="18"/>
                <w:szCs w:val="18"/>
              </w:rPr>
              <w:t>，以较低者为准。剂量应根据患者的反应进行个体化调整。</w:t>
            </w:r>
          </w:p>
        </w:tc>
      </w:tr>
      <w:tr w:rsidR="00000000">
        <w:trPr>
          <w:trHeight w:val="90"/>
          <w:jc w:val="center"/>
        </w:trPr>
        <w:tc>
          <w:tcPr>
            <w:tcW w:w="714" w:type="dxa"/>
            <w:gridSpan w:val="2"/>
            <w:vAlign w:val="center"/>
          </w:tcPr>
          <w:p w:rsidR="00000000" w:rsidRDefault="00CC1CB1"/>
        </w:tc>
        <w:tc>
          <w:tcPr>
            <w:tcW w:w="1263" w:type="dxa"/>
            <w:vAlign w:val="center"/>
          </w:tcPr>
          <w:p w:rsidR="00000000" w:rsidRDefault="00CC1CB1"/>
        </w:tc>
        <w:tc>
          <w:tcPr>
            <w:tcW w:w="1705" w:type="dxa"/>
            <w:vAlign w:val="center"/>
          </w:tcPr>
          <w:p w:rsidR="00000000" w:rsidRDefault="00CC1CB1"/>
        </w:tc>
        <w:tc>
          <w:tcPr>
            <w:tcW w:w="11048" w:type="dxa"/>
            <w:gridSpan w:val="2"/>
            <w:vAlign w:val="center"/>
          </w:tcPr>
          <w:p w:rsidR="00000000" w:rsidRDefault="00CC1CB1"/>
        </w:tc>
      </w:tr>
      <w:tr w:rsidR="00000000">
        <w:trPr>
          <w:trHeight w:val="267"/>
          <w:jc w:val="center"/>
        </w:trPr>
        <w:tc>
          <w:tcPr>
            <w:tcW w:w="714" w:type="dxa"/>
            <w:gridSpan w:val="2"/>
            <w:vMerge w:val="restart"/>
            <w:vAlign w:val="center"/>
          </w:tcPr>
          <w:p w:rsidR="00000000" w:rsidRDefault="00CC1CB1">
            <w:pPr>
              <w:ind w:right="160"/>
              <w:jc w:val="center"/>
              <w:rPr>
                <w:sz w:val="18"/>
                <w:szCs w:val="18"/>
              </w:rPr>
            </w:pPr>
            <w:r>
              <w:rPr>
                <w:sz w:val="18"/>
                <w:szCs w:val="18"/>
              </w:rPr>
              <w:t>2</w:t>
            </w:r>
          </w:p>
        </w:tc>
        <w:tc>
          <w:tcPr>
            <w:tcW w:w="1263" w:type="dxa"/>
            <w:vMerge w:val="restart"/>
            <w:vAlign w:val="center"/>
          </w:tcPr>
          <w:p w:rsidR="00000000" w:rsidRDefault="00CC1CB1">
            <w:pPr>
              <w:ind w:right="160"/>
              <w:jc w:val="center"/>
              <w:rPr>
                <w:sz w:val="18"/>
                <w:szCs w:val="18"/>
              </w:rPr>
            </w:pPr>
            <w:r>
              <w:rPr>
                <w:rFonts w:hint="eastAsia"/>
                <w:sz w:val="18"/>
                <w:szCs w:val="18"/>
              </w:rPr>
              <w:t>秋水仙碱</w:t>
            </w:r>
          </w:p>
        </w:tc>
        <w:tc>
          <w:tcPr>
            <w:tcW w:w="1705" w:type="dxa"/>
            <w:vAlign w:val="center"/>
          </w:tcPr>
          <w:p w:rsidR="00000000" w:rsidRDefault="00CC1CB1">
            <w:pPr>
              <w:jc w:val="center"/>
              <w:rPr>
                <w:sz w:val="18"/>
                <w:szCs w:val="18"/>
              </w:rPr>
            </w:pPr>
            <w:r>
              <w:rPr>
                <w:rFonts w:hint="eastAsia"/>
                <w:sz w:val="18"/>
                <w:szCs w:val="18"/>
              </w:rPr>
              <w:t>剂型</w:t>
            </w:r>
          </w:p>
        </w:tc>
        <w:tc>
          <w:tcPr>
            <w:tcW w:w="11048" w:type="dxa"/>
            <w:gridSpan w:val="2"/>
            <w:vAlign w:val="center"/>
          </w:tcPr>
          <w:p w:rsidR="00000000" w:rsidRDefault="00CC1CB1">
            <w:pPr>
              <w:jc w:val="center"/>
              <w:rPr>
                <w:sz w:val="18"/>
                <w:szCs w:val="18"/>
              </w:rPr>
            </w:pPr>
            <w:r>
              <w:rPr>
                <w:rFonts w:hint="eastAsia"/>
                <w:sz w:val="18"/>
                <w:szCs w:val="18"/>
              </w:rPr>
              <w:t>片剂</w:t>
            </w:r>
          </w:p>
        </w:tc>
      </w:tr>
      <w:tr w:rsidR="00000000">
        <w:trPr>
          <w:trHeight w:val="229"/>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规格</w:t>
            </w:r>
          </w:p>
        </w:tc>
        <w:tc>
          <w:tcPr>
            <w:tcW w:w="11048" w:type="dxa"/>
            <w:gridSpan w:val="2"/>
            <w:vAlign w:val="center"/>
          </w:tcPr>
          <w:p w:rsidR="00000000" w:rsidRDefault="00CC1CB1">
            <w:pPr>
              <w:jc w:val="center"/>
              <w:rPr>
                <w:sz w:val="18"/>
                <w:szCs w:val="18"/>
              </w:rPr>
            </w:pPr>
            <w:r>
              <w:rPr>
                <w:sz w:val="18"/>
                <w:szCs w:val="18"/>
              </w:rPr>
              <w:t>0.5mg</w:t>
            </w:r>
          </w:p>
        </w:tc>
      </w:tr>
      <w:tr w:rsidR="00000000">
        <w:trPr>
          <w:trHeight w:val="33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rPr>
                <w:sz w:val="18"/>
                <w:szCs w:val="18"/>
              </w:rPr>
            </w:pPr>
          </w:p>
        </w:tc>
        <w:tc>
          <w:tcPr>
            <w:tcW w:w="3540" w:type="dxa"/>
            <w:vAlign w:val="center"/>
          </w:tcPr>
          <w:p w:rsidR="00000000" w:rsidRDefault="00CC1CB1">
            <w:pPr>
              <w:jc w:val="center"/>
              <w:rPr>
                <w:sz w:val="18"/>
                <w:szCs w:val="18"/>
              </w:rPr>
            </w:pPr>
            <w:r>
              <w:rPr>
                <w:rFonts w:hint="eastAsia"/>
                <w:b/>
                <w:sz w:val="18"/>
                <w:szCs w:val="18"/>
              </w:rPr>
              <w:t>修订前</w:t>
            </w:r>
          </w:p>
        </w:tc>
        <w:tc>
          <w:tcPr>
            <w:tcW w:w="7508" w:type="dxa"/>
            <w:vAlign w:val="center"/>
          </w:tcPr>
          <w:p w:rsidR="00000000" w:rsidRDefault="00CC1CB1">
            <w:pPr>
              <w:jc w:val="center"/>
              <w:rPr>
                <w:sz w:val="18"/>
                <w:szCs w:val="18"/>
              </w:rPr>
            </w:pPr>
            <w:r>
              <w:rPr>
                <w:rFonts w:hint="eastAsia"/>
                <w:b/>
                <w:sz w:val="18"/>
                <w:szCs w:val="18"/>
              </w:rPr>
              <w:t>修订后</w:t>
            </w:r>
          </w:p>
        </w:tc>
      </w:tr>
      <w:tr w:rsidR="00000000">
        <w:trPr>
          <w:trHeight w:val="42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【适应症】</w:t>
            </w:r>
          </w:p>
        </w:tc>
        <w:tc>
          <w:tcPr>
            <w:tcW w:w="3540" w:type="dxa"/>
          </w:tcPr>
          <w:p w:rsidR="00000000" w:rsidRDefault="00CC1CB1">
            <w:pPr>
              <w:rPr>
                <w:i/>
                <w:sz w:val="18"/>
                <w:szCs w:val="18"/>
              </w:rPr>
            </w:pPr>
            <w:r>
              <w:rPr>
                <w:rFonts w:hint="eastAsia"/>
                <w:i/>
                <w:sz w:val="18"/>
                <w:szCs w:val="18"/>
              </w:rPr>
              <w:t>无明确的儿童应用描述</w:t>
            </w:r>
          </w:p>
        </w:tc>
        <w:tc>
          <w:tcPr>
            <w:tcW w:w="7508" w:type="dxa"/>
          </w:tcPr>
          <w:p w:rsidR="00000000" w:rsidRDefault="00CC1CB1">
            <w:pPr>
              <w:rPr>
                <w:i/>
                <w:sz w:val="18"/>
                <w:szCs w:val="18"/>
              </w:rPr>
            </w:pPr>
            <w:r>
              <w:rPr>
                <w:rFonts w:hint="eastAsia"/>
                <w:i/>
                <w:sz w:val="18"/>
                <w:szCs w:val="18"/>
              </w:rPr>
              <w:t>增加：</w:t>
            </w:r>
          </w:p>
          <w:p w:rsidR="00000000" w:rsidRDefault="00CC1CB1">
            <w:pPr>
              <w:jc w:val="left"/>
              <w:rPr>
                <w:sz w:val="18"/>
                <w:szCs w:val="18"/>
              </w:rPr>
            </w:pPr>
            <w:r>
              <w:rPr>
                <w:rFonts w:hint="eastAsia"/>
                <w:sz w:val="18"/>
                <w:szCs w:val="18"/>
              </w:rPr>
              <w:t>用于</w:t>
            </w:r>
            <w:r>
              <w:rPr>
                <w:sz w:val="18"/>
                <w:szCs w:val="18"/>
              </w:rPr>
              <w:t>4</w:t>
            </w:r>
            <w:r>
              <w:rPr>
                <w:rFonts w:hint="eastAsia"/>
                <w:sz w:val="18"/>
                <w:szCs w:val="18"/>
              </w:rPr>
              <w:t>岁及以上儿童的家族性地中海热（</w:t>
            </w:r>
            <w:r>
              <w:rPr>
                <w:sz w:val="18"/>
                <w:szCs w:val="18"/>
              </w:rPr>
              <w:t>FMF</w:t>
            </w:r>
            <w:r>
              <w:rPr>
                <w:rFonts w:hint="eastAsia"/>
                <w:sz w:val="18"/>
                <w:szCs w:val="18"/>
              </w:rPr>
              <w:t>）</w:t>
            </w:r>
          </w:p>
        </w:tc>
      </w:tr>
      <w:tr w:rsidR="00000000">
        <w:trPr>
          <w:trHeight w:val="1311"/>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【用法用量】</w:t>
            </w:r>
          </w:p>
        </w:tc>
        <w:tc>
          <w:tcPr>
            <w:tcW w:w="3540" w:type="dxa"/>
          </w:tcPr>
          <w:p w:rsidR="00000000" w:rsidRDefault="00CC1CB1">
            <w:pPr>
              <w:rPr>
                <w:i/>
                <w:sz w:val="18"/>
                <w:szCs w:val="18"/>
              </w:rPr>
            </w:pPr>
            <w:r>
              <w:rPr>
                <w:rFonts w:hint="eastAsia"/>
                <w:i/>
                <w:sz w:val="18"/>
                <w:szCs w:val="18"/>
              </w:rPr>
              <w:t>无明确的儿童应用描述</w:t>
            </w:r>
          </w:p>
        </w:tc>
        <w:tc>
          <w:tcPr>
            <w:tcW w:w="7508" w:type="dxa"/>
          </w:tcPr>
          <w:p w:rsidR="00000000" w:rsidRDefault="00CC1CB1">
            <w:pPr>
              <w:rPr>
                <w:i/>
                <w:sz w:val="18"/>
                <w:szCs w:val="18"/>
              </w:rPr>
            </w:pPr>
            <w:r>
              <w:rPr>
                <w:rFonts w:hint="eastAsia"/>
                <w:i/>
                <w:sz w:val="18"/>
                <w:szCs w:val="18"/>
              </w:rPr>
              <w:t>增加：</w:t>
            </w:r>
          </w:p>
          <w:p w:rsidR="00000000" w:rsidRDefault="00CC1CB1">
            <w:pPr>
              <w:jc w:val="left"/>
              <w:rPr>
                <w:sz w:val="18"/>
                <w:szCs w:val="18"/>
              </w:rPr>
            </w:pPr>
            <w:r>
              <w:rPr>
                <w:sz w:val="18"/>
                <w:szCs w:val="18"/>
              </w:rPr>
              <w:t>5</w:t>
            </w:r>
            <w:r>
              <w:rPr>
                <w:rFonts w:hint="eastAsia"/>
                <w:sz w:val="18"/>
                <w:szCs w:val="18"/>
              </w:rPr>
              <w:t>岁以下：</w:t>
            </w:r>
            <w:r>
              <w:rPr>
                <w:sz w:val="18"/>
                <w:szCs w:val="18"/>
              </w:rPr>
              <w:t>0.5 mg/</w:t>
            </w:r>
            <w:r>
              <w:rPr>
                <w:rFonts w:hint="eastAsia"/>
                <w:sz w:val="18"/>
                <w:szCs w:val="18"/>
              </w:rPr>
              <w:t>天；</w:t>
            </w:r>
            <w:r>
              <w:rPr>
                <w:sz w:val="18"/>
                <w:szCs w:val="18"/>
              </w:rPr>
              <w:t>5-10</w:t>
            </w:r>
            <w:r>
              <w:rPr>
                <w:rFonts w:hint="eastAsia"/>
                <w:sz w:val="18"/>
                <w:szCs w:val="18"/>
              </w:rPr>
              <w:t>岁：</w:t>
            </w:r>
            <w:r>
              <w:rPr>
                <w:sz w:val="18"/>
                <w:szCs w:val="18"/>
              </w:rPr>
              <w:t>1 mg/</w:t>
            </w:r>
            <w:r>
              <w:rPr>
                <w:rFonts w:hint="eastAsia"/>
                <w:sz w:val="18"/>
                <w:szCs w:val="18"/>
              </w:rPr>
              <w:t>天；</w:t>
            </w:r>
            <w:r>
              <w:rPr>
                <w:sz w:val="18"/>
                <w:szCs w:val="18"/>
              </w:rPr>
              <w:t>10</w:t>
            </w:r>
            <w:r>
              <w:rPr>
                <w:rFonts w:hint="eastAsia"/>
                <w:sz w:val="18"/>
                <w:szCs w:val="18"/>
              </w:rPr>
              <w:t>岁以上：</w:t>
            </w:r>
            <w:r>
              <w:rPr>
                <w:sz w:val="18"/>
                <w:szCs w:val="18"/>
              </w:rPr>
              <w:t>1.5 mg/</w:t>
            </w:r>
            <w:r>
              <w:rPr>
                <w:rFonts w:hint="eastAsia"/>
                <w:sz w:val="18"/>
                <w:szCs w:val="18"/>
              </w:rPr>
              <w:t>天。单次给药，在剂量高于</w:t>
            </w:r>
            <w:r>
              <w:rPr>
                <w:sz w:val="18"/>
                <w:szCs w:val="18"/>
              </w:rPr>
              <w:t>1mg/</w:t>
            </w:r>
            <w:r>
              <w:rPr>
                <w:rFonts w:hint="eastAsia"/>
                <w:sz w:val="18"/>
                <w:szCs w:val="18"/>
              </w:rPr>
              <w:t>天时可采用分次给药（</w:t>
            </w:r>
            <w:r>
              <w:rPr>
                <w:sz w:val="18"/>
                <w:szCs w:val="18"/>
              </w:rPr>
              <w:t>2</w:t>
            </w:r>
            <w:r>
              <w:rPr>
                <w:rFonts w:hint="eastAsia"/>
                <w:sz w:val="18"/>
                <w:szCs w:val="18"/>
              </w:rPr>
              <w:t>次</w:t>
            </w:r>
            <w:r>
              <w:rPr>
                <w:sz w:val="18"/>
                <w:szCs w:val="18"/>
              </w:rPr>
              <w:t>/</w:t>
            </w:r>
            <w:r>
              <w:rPr>
                <w:rFonts w:hint="eastAsia"/>
                <w:sz w:val="18"/>
                <w:szCs w:val="18"/>
              </w:rPr>
              <w:t>天）。最大剂量不超过</w:t>
            </w:r>
            <w:r>
              <w:rPr>
                <w:sz w:val="18"/>
                <w:szCs w:val="18"/>
              </w:rPr>
              <w:t>2mg/</w:t>
            </w:r>
            <w:r>
              <w:rPr>
                <w:rFonts w:hint="eastAsia"/>
                <w:sz w:val="18"/>
                <w:szCs w:val="18"/>
              </w:rPr>
              <w:t>天。</w:t>
            </w:r>
          </w:p>
        </w:tc>
      </w:tr>
      <w:tr w:rsidR="00000000">
        <w:trPr>
          <w:trHeight w:val="416"/>
          <w:jc w:val="center"/>
        </w:trPr>
        <w:tc>
          <w:tcPr>
            <w:tcW w:w="707" w:type="dxa"/>
            <w:vAlign w:val="center"/>
          </w:tcPr>
          <w:p w:rsidR="00000000" w:rsidRDefault="00CC1CB1"/>
        </w:tc>
        <w:tc>
          <w:tcPr>
            <w:tcW w:w="1270" w:type="dxa"/>
            <w:gridSpan w:val="2"/>
            <w:vAlign w:val="center"/>
          </w:tcPr>
          <w:p w:rsidR="00000000" w:rsidRDefault="00CC1CB1"/>
        </w:tc>
        <w:tc>
          <w:tcPr>
            <w:tcW w:w="1705" w:type="dxa"/>
            <w:vAlign w:val="center"/>
          </w:tcPr>
          <w:p w:rsidR="00000000" w:rsidRDefault="00CC1CB1"/>
        </w:tc>
        <w:tc>
          <w:tcPr>
            <w:tcW w:w="11048" w:type="dxa"/>
            <w:gridSpan w:val="2"/>
            <w:vAlign w:val="center"/>
          </w:tcPr>
          <w:p w:rsidR="00000000" w:rsidRDefault="00CC1CB1"/>
        </w:tc>
      </w:tr>
      <w:tr w:rsidR="00000000">
        <w:trPr>
          <w:trHeight w:val="267"/>
          <w:jc w:val="center"/>
        </w:trPr>
        <w:tc>
          <w:tcPr>
            <w:tcW w:w="714" w:type="dxa"/>
            <w:gridSpan w:val="2"/>
            <w:vMerge w:val="restart"/>
            <w:vAlign w:val="center"/>
          </w:tcPr>
          <w:p w:rsidR="00000000" w:rsidRDefault="00CC1CB1">
            <w:pPr>
              <w:jc w:val="center"/>
              <w:rPr>
                <w:sz w:val="18"/>
                <w:szCs w:val="18"/>
              </w:rPr>
            </w:pPr>
            <w:r>
              <w:rPr>
                <w:sz w:val="18"/>
                <w:szCs w:val="18"/>
              </w:rPr>
              <w:t>3</w:t>
            </w:r>
          </w:p>
        </w:tc>
        <w:tc>
          <w:tcPr>
            <w:tcW w:w="1263" w:type="dxa"/>
            <w:vMerge w:val="restart"/>
            <w:vAlign w:val="center"/>
          </w:tcPr>
          <w:p w:rsidR="00000000" w:rsidRDefault="00CC1CB1">
            <w:pPr>
              <w:jc w:val="center"/>
              <w:rPr>
                <w:sz w:val="18"/>
                <w:szCs w:val="18"/>
              </w:rPr>
            </w:pPr>
            <w:r>
              <w:rPr>
                <w:rFonts w:hint="eastAsia"/>
                <w:sz w:val="18"/>
                <w:szCs w:val="18"/>
              </w:rPr>
              <w:t>甲氨蝶呤</w:t>
            </w:r>
          </w:p>
        </w:tc>
        <w:tc>
          <w:tcPr>
            <w:tcW w:w="1705" w:type="dxa"/>
            <w:vAlign w:val="center"/>
          </w:tcPr>
          <w:p w:rsidR="00000000" w:rsidRDefault="00CC1CB1">
            <w:pPr>
              <w:jc w:val="center"/>
              <w:rPr>
                <w:sz w:val="18"/>
                <w:szCs w:val="18"/>
              </w:rPr>
            </w:pPr>
            <w:r>
              <w:rPr>
                <w:rFonts w:hint="eastAsia"/>
                <w:sz w:val="18"/>
                <w:szCs w:val="18"/>
              </w:rPr>
              <w:t>剂型</w:t>
            </w:r>
          </w:p>
        </w:tc>
        <w:tc>
          <w:tcPr>
            <w:tcW w:w="11048" w:type="dxa"/>
            <w:gridSpan w:val="2"/>
            <w:vAlign w:val="center"/>
          </w:tcPr>
          <w:p w:rsidR="00000000" w:rsidRDefault="00CC1CB1">
            <w:pPr>
              <w:jc w:val="center"/>
              <w:rPr>
                <w:sz w:val="18"/>
                <w:szCs w:val="18"/>
              </w:rPr>
            </w:pPr>
            <w:r>
              <w:rPr>
                <w:rFonts w:hint="eastAsia"/>
                <w:sz w:val="18"/>
                <w:szCs w:val="18"/>
              </w:rPr>
              <w:t>片剂</w:t>
            </w:r>
          </w:p>
        </w:tc>
      </w:tr>
      <w:tr w:rsidR="00000000">
        <w:trPr>
          <w:trHeight w:val="229"/>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规格</w:t>
            </w:r>
          </w:p>
        </w:tc>
        <w:tc>
          <w:tcPr>
            <w:tcW w:w="11048" w:type="dxa"/>
            <w:gridSpan w:val="2"/>
            <w:vAlign w:val="center"/>
          </w:tcPr>
          <w:p w:rsidR="00000000" w:rsidRDefault="00CC1CB1">
            <w:pPr>
              <w:jc w:val="center"/>
              <w:rPr>
                <w:sz w:val="18"/>
                <w:szCs w:val="18"/>
              </w:rPr>
            </w:pPr>
            <w:r>
              <w:rPr>
                <w:sz w:val="18"/>
                <w:szCs w:val="18"/>
              </w:rPr>
              <w:t>2.5 mg</w:t>
            </w:r>
          </w:p>
        </w:tc>
      </w:tr>
      <w:tr w:rsidR="00000000">
        <w:trPr>
          <w:trHeight w:val="33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p>
        </w:tc>
        <w:tc>
          <w:tcPr>
            <w:tcW w:w="3540" w:type="dxa"/>
            <w:vAlign w:val="center"/>
          </w:tcPr>
          <w:p w:rsidR="00000000" w:rsidRDefault="00CC1CB1">
            <w:pPr>
              <w:jc w:val="center"/>
              <w:rPr>
                <w:sz w:val="18"/>
                <w:szCs w:val="18"/>
              </w:rPr>
            </w:pPr>
            <w:r>
              <w:rPr>
                <w:rFonts w:hint="eastAsia"/>
                <w:b/>
                <w:sz w:val="18"/>
                <w:szCs w:val="18"/>
              </w:rPr>
              <w:t>修订前</w:t>
            </w:r>
          </w:p>
        </w:tc>
        <w:tc>
          <w:tcPr>
            <w:tcW w:w="7508" w:type="dxa"/>
            <w:vAlign w:val="center"/>
          </w:tcPr>
          <w:p w:rsidR="00000000" w:rsidRDefault="00CC1CB1">
            <w:pPr>
              <w:jc w:val="center"/>
              <w:rPr>
                <w:sz w:val="18"/>
                <w:szCs w:val="18"/>
              </w:rPr>
            </w:pPr>
            <w:r>
              <w:rPr>
                <w:rFonts w:hint="eastAsia"/>
                <w:b/>
                <w:sz w:val="18"/>
                <w:szCs w:val="18"/>
              </w:rPr>
              <w:t>修订后</w:t>
            </w:r>
          </w:p>
        </w:tc>
      </w:tr>
      <w:tr w:rsidR="00000000">
        <w:trPr>
          <w:trHeight w:val="42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【适应症】</w:t>
            </w:r>
          </w:p>
        </w:tc>
        <w:tc>
          <w:tcPr>
            <w:tcW w:w="3540" w:type="dxa"/>
          </w:tcPr>
          <w:p w:rsidR="00000000" w:rsidRDefault="00CC1CB1">
            <w:pPr>
              <w:rPr>
                <w:i/>
                <w:sz w:val="18"/>
                <w:szCs w:val="18"/>
              </w:rPr>
            </w:pPr>
            <w:r>
              <w:rPr>
                <w:rFonts w:hint="eastAsia"/>
                <w:i/>
                <w:sz w:val="18"/>
                <w:szCs w:val="18"/>
              </w:rPr>
              <w:t>无明确的儿童应用描述</w:t>
            </w:r>
          </w:p>
        </w:tc>
        <w:tc>
          <w:tcPr>
            <w:tcW w:w="7508" w:type="dxa"/>
          </w:tcPr>
          <w:p w:rsidR="00000000" w:rsidRDefault="00CC1CB1">
            <w:pPr>
              <w:rPr>
                <w:i/>
                <w:sz w:val="18"/>
                <w:szCs w:val="18"/>
              </w:rPr>
            </w:pPr>
            <w:r>
              <w:rPr>
                <w:rFonts w:hint="eastAsia"/>
                <w:i/>
                <w:sz w:val="18"/>
                <w:szCs w:val="18"/>
              </w:rPr>
              <w:t>增加：</w:t>
            </w:r>
          </w:p>
          <w:p w:rsidR="00000000" w:rsidRDefault="00CC1CB1">
            <w:pPr>
              <w:jc w:val="left"/>
              <w:rPr>
                <w:sz w:val="18"/>
                <w:szCs w:val="18"/>
              </w:rPr>
            </w:pPr>
            <w:r>
              <w:rPr>
                <w:rFonts w:hint="eastAsia"/>
                <w:sz w:val="18"/>
                <w:szCs w:val="18"/>
              </w:rPr>
              <w:t>用于多关节型幼年特发性关节炎儿童患</w:t>
            </w:r>
            <w:r>
              <w:rPr>
                <w:rFonts w:hint="eastAsia"/>
                <w:sz w:val="18"/>
                <w:szCs w:val="18"/>
              </w:rPr>
              <w:t>者</w:t>
            </w:r>
            <w:r>
              <w:rPr>
                <w:sz w:val="18"/>
                <w:szCs w:val="18"/>
              </w:rPr>
              <w:t>(pJIA)</w:t>
            </w:r>
          </w:p>
        </w:tc>
      </w:tr>
      <w:tr w:rsidR="00000000">
        <w:trPr>
          <w:trHeight w:val="416"/>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【用法用量】</w:t>
            </w:r>
          </w:p>
        </w:tc>
        <w:tc>
          <w:tcPr>
            <w:tcW w:w="3540" w:type="dxa"/>
          </w:tcPr>
          <w:p w:rsidR="00000000" w:rsidRDefault="00CC1CB1">
            <w:pPr>
              <w:rPr>
                <w:i/>
                <w:sz w:val="18"/>
                <w:szCs w:val="18"/>
              </w:rPr>
            </w:pPr>
            <w:r>
              <w:rPr>
                <w:rFonts w:hint="eastAsia"/>
                <w:i/>
                <w:sz w:val="18"/>
                <w:szCs w:val="18"/>
              </w:rPr>
              <w:t>无明确的儿童应用描述</w:t>
            </w:r>
          </w:p>
        </w:tc>
        <w:tc>
          <w:tcPr>
            <w:tcW w:w="7508" w:type="dxa"/>
          </w:tcPr>
          <w:p w:rsidR="00000000" w:rsidRDefault="00CC1CB1">
            <w:pPr>
              <w:rPr>
                <w:i/>
                <w:sz w:val="18"/>
                <w:szCs w:val="18"/>
              </w:rPr>
            </w:pPr>
            <w:r>
              <w:rPr>
                <w:rFonts w:hint="eastAsia"/>
                <w:i/>
                <w:sz w:val="18"/>
                <w:szCs w:val="18"/>
              </w:rPr>
              <w:t>增加：</w:t>
            </w:r>
          </w:p>
          <w:p w:rsidR="00000000" w:rsidRDefault="00CC1CB1">
            <w:pPr>
              <w:jc w:val="left"/>
              <w:rPr>
                <w:sz w:val="18"/>
                <w:szCs w:val="18"/>
              </w:rPr>
            </w:pPr>
            <w:r>
              <w:rPr>
                <w:rFonts w:hint="eastAsia"/>
                <w:sz w:val="18"/>
                <w:szCs w:val="18"/>
              </w:rPr>
              <w:t>口服，推荐起始剂量为</w:t>
            </w:r>
            <w:r>
              <w:rPr>
                <w:sz w:val="18"/>
                <w:szCs w:val="18"/>
              </w:rPr>
              <w:t>10mg/m</w:t>
            </w:r>
            <w:r>
              <w:rPr>
                <w:sz w:val="18"/>
                <w:szCs w:val="18"/>
                <w:vertAlign w:val="superscript"/>
              </w:rPr>
              <w:t>2</w:t>
            </w:r>
            <w:r>
              <w:rPr>
                <w:rFonts w:hint="eastAsia"/>
                <w:sz w:val="18"/>
                <w:szCs w:val="18"/>
              </w:rPr>
              <w:t>，每周给药一次；可调整剂量以达到最佳治疗效果。</w:t>
            </w:r>
          </w:p>
        </w:tc>
      </w:tr>
      <w:tr w:rsidR="00000000">
        <w:trPr>
          <w:trHeight w:val="187"/>
          <w:jc w:val="center"/>
        </w:trPr>
        <w:tc>
          <w:tcPr>
            <w:tcW w:w="714" w:type="dxa"/>
            <w:gridSpan w:val="2"/>
            <w:vAlign w:val="center"/>
          </w:tcPr>
          <w:p w:rsidR="00000000" w:rsidRDefault="00CC1CB1"/>
        </w:tc>
        <w:tc>
          <w:tcPr>
            <w:tcW w:w="1263" w:type="dxa"/>
            <w:vAlign w:val="center"/>
          </w:tcPr>
          <w:p w:rsidR="00000000" w:rsidRDefault="00CC1CB1"/>
        </w:tc>
        <w:tc>
          <w:tcPr>
            <w:tcW w:w="1705" w:type="dxa"/>
            <w:vAlign w:val="center"/>
          </w:tcPr>
          <w:p w:rsidR="00000000" w:rsidRDefault="00CC1CB1"/>
        </w:tc>
        <w:tc>
          <w:tcPr>
            <w:tcW w:w="11048" w:type="dxa"/>
            <w:gridSpan w:val="2"/>
            <w:vAlign w:val="center"/>
          </w:tcPr>
          <w:p w:rsidR="00000000" w:rsidRDefault="00CC1CB1"/>
        </w:tc>
      </w:tr>
      <w:tr w:rsidR="00000000">
        <w:trPr>
          <w:trHeight w:val="267"/>
          <w:jc w:val="center"/>
        </w:trPr>
        <w:tc>
          <w:tcPr>
            <w:tcW w:w="714" w:type="dxa"/>
            <w:gridSpan w:val="2"/>
            <w:vMerge w:val="restart"/>
            <w:vAlign w:val="center"/>
          </w:tcPr>
          <w:p w:rsidR="00000000" w:rsidRDefault="00CC1CB1">
            <w:pPr>
              <w:jc w:val="center"/>
              <w:rPr>
                <w:sz w:val="18"/>
                <w:szCs w:val="18"/>
              </w:rPr>
            </w:pPr>
            <w:r>
              <w:rPr>
                <w:sz w:val="18"/>
                <w:szCs w:val="18"/>
              </w:rPr>
              <w:t>4</w:t>
            </w:r>
          </w:p>
        </w:tc>
        <w:tc>
          <w:tcPr>
            <w:tcW w:w="1263" w:type="dxa"/>
            <w:vMerge w:val="restart"/>
            <w:vAlign w:val="center"/>
          </w:tcPr>
          <w:p w:rsidR="00000000" w:rsidRDefault="00CC1CB1">
            <w:pPr>
              <w:jc w:val="center"/>
              <w:rPr>
                <w:sz w:val="18"/>
                <w:szCs w:val="18"/>
              </w:rPr>
            </w:pPr>
            <w:r>
              <w:rPr>
                <w:rFonts w:hint="eastAsia"/>
                <w:sz w:val="18"/>
                <w:szCs w:val="18"/>
              </w:rPr>
              <w:t>达沙替尼</w:t>
            </w:r>
          </w:p>
        </w:tc>
        <w:tc>
          <w:tcPr>
            <w:tcW w:w="1705" w:type="dxa"/>
            <w:vAlign w:val="center"/>
          </w:tcPr>
          <w:p w:rsidR="00000000" w:rsidRDefault="00CC1CB1">
            <w:pPr>
              <w:jc w:val="center"/>
              <w:rPr>
                <w:sz w:val="18"/>
                <w:szCs w:val="18"/>
              </w:rPr>
            </w:pPr>
            <w:r>
              <w:rPr>
                <w:rFonts w:hint="eastAsia"/>
                <w:sz w:val="18"/>
                <w:szCs w:val="18"/>
              </w:rPr>
              <w:t>剂型</w:t>
            </w:r>
          </w:p>
        </w:tc>
        <w:tc>
          <w:tcPr>
            <w:tcW w:w="11048" w:type="dxa"/>
            <w:gridSpan w:val="2"/>
            <w:vAlign w:val="center"/>
          </w:tcPr>
          <w:p w:rsidR="00000000" w:rsidRDefault="00CC1CB1">
            <w:pPr>
              <w:jc w:val="center"/>
              <w:rPr>
                <w:sz w:val="18"/>
                <w:szCs w:val="18"/>
              </w:rPr>
            </w:pPr>
            <w:r>
              <w:rPr>
                <w:rFonts w:hint="eastAsia"/>
                <w:sz w:val="18"/>
                <w:szCs w:val="18"/>
              </w:rPr>
              <w:t>片剂</w:t>
            </w:r>
          </w:p>
        </w:tc>
      </w:tr>
      <w:tr w:rsidR="00000000">
        <w:trPr>
          <w:trHeight w:val="229"/>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规格</w:t>
            </w:r>
          </w:p>
        </w:tc>
        <w:tc>
          <w:tcPr>
            <w:tcW w:w="11048" w:type="dxa"/>
            <w:gridSpan w:val="2"/>
            <w:vAlign w:val="center"/>
          </w:tcPr>
          <w:p w:rsidR="00000000" w:rsidRDefault="00CC1CB1">
            <w:pPr>
              <w:jc w:val="center"/>
              <w:rPr>
                <w:sz w:val="18"/>
                <w:szCs w:val="18"/>
              </w:rPr>
            </w:pPr>
            <w:r>
              <w:rPr>
                <w:sz w:val="18"/>
                <w:szCs w:val="18"/>
              </w:rPr>
              <w:t>20mg</w:t>
            </w:r>
            <w:r>
              <w:rPr>
                <w:rFonts w:hint="eastAsia"/>
                <w:sz w:val="18"/>
                <w:szCs w:val="18"/>
              </w:rPr>
              <w:t>、</w:t>
            </w:r>
            <w:r>
              <w:rPr>
                <w:sz w:val="18"/>
                <w:szCs w:val="18"/>
              </w:rPr>
              <w:t>50mg</w:t>
            </w:r>
            <w:r>
              <w:rPr>
                <w:rFonts w:hint="eastAsia"/>
                <w:sz w:val="18"/>
                <w:szCs w:val="18"/>
              </w:rPr>
              <w:t>、</w:t>
            </w:r>
            <w:r>
              <w:rPr>
                <w:sz w:val="18"/>
                <w:szCs w:val="18"/>
              </w:rPr>
              <w:t>70mg</w:t>
            </w:r>
            <w:r>
              <w:rPr>
                <w:rFonts w:hint="eastAsia"/>
                <w:sz w:val="18"/>
                <w:szCs w:val="18"/>
              </w:rPr>
              <w:t>、</w:t>
            </w:r>
            <w:r>
              <w:rPr>
                <w:sz w:val="18"/>
                <w:szCs w:val="18"/>
              </w:rPr>
              <w:t>100mg</w:t>
            </w:r>
          </w:p>
        </w:tc>
      </w:tr>
      <w:tr w:rsidR="00000000">
        <w:trPr>
          <w:trHeight w:val="33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rPr>
                <w:sz w:val="18"/>
                <w:szCs w:val="18"/>
              </w:rPr>
            </w:pPr>
          </w:p>
        </w:tc>
        <w:tc>
          <w:tcPr>
            <w:tcW w:w="3540" w:type="dxa"/>
            <w:vAlign w:val="center"/>
          </w:tcPr>
          <w:p w:rsidR="00000000" w:rsidRDefault="00CC1CB1">
            <w:pPr>
              <w:jc w:val="center"/>
              <w:rPr>
                <w:b/>
                <w:sz w:val="18"/>
                <w:szCs w:val="18"/>
              </w:rPr>
            </w:pPr>
            <w:r>
              <w:rPr>
                <w:rFonts w:hint="eastAsia"/>
                <w:b/>
                <w:sz w:val="18"/>
                <w:szCs w:val="18"/>
              </w:rPr>
              <w:t>修订前</w:t>
            </w:r>
          </w:p>
        </w:tc>
        <w:tc>
          <w:tcPr>
            <w:tcW w:w="7508" w:type="dxa"/>
            <w:vAlign w:val="center"/>
          </w:tcPr>
          <w:p w:rsidR="00000000" w:rsidRDefault="00CC1CB1">
            <w:pPr>
              <w:jc w:val="center"/>
              <w:rPr>
                <w:b/>
                <w:sz w:val="18"/>
                <w:szCs w:val="18"/>
              </w:rPr>
            </w:pPr>
            <w:r>
              <w:rPr>
                <w:rFonts w:hint="eastAsia"/>
                <w:b/>
                <w:sz w:val="18"/>
                <w:szCs w:val="18"/>
              </w:rPr>
              <w:t>修订后</w:t>
            </w:r>
          </w:p>
        </w:tc>
      </w:tr>
      <w:tr w:rsidR="00000000">
        <w:trPr>
          <w:trHeight w:val="42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【适应症】</w:t>
            </w:r>
          </w:p>
        </w:tc>
        <w:tc>
          <w:tcPr>
            <w:tcW w:w="3540" w:type="dxa"/>
          </w:tcPr>
          <w:p w:rsidR="00000000" w:rsidRDefault="00CC1CB1">
            <w:pPr>
              <w:rPr>
                <w:i/>
                <w:sz w:val="18"/>
                <w:szCs w:val="18"/>
              </w:rPr>
            </w:pPr>
            <w:r>
              <w:rPr>
                <w:rFonts w:hint="eastAsia"/>
                <w:i/>
                <w:sz w:val="18"/>
                <w:szCs w:val="18"/>
              </w:rPr>
              <w:t>无明确的儿童应用描述</w:t>
            </w:r>
          </w:p>
        </w:tc>
        <w:tc>
          <w:tcPr>
            <w:tcW w:w="7508" w:type="dxa"/>
          </w:tcPr>
          <w:p w:rsidR="00000000" w:rsidRDefault="00CC1CB1">
            <w:pPr>
              <w:rPr>
                <w:i/>
                <w:sz w:val="18"/>
                <w:szCs w:val="18"/>
              </w:rPr>
            </w:pPr>
            <w:r>
              <w:rPr>
                <w:rFonts w:hint="eastAsia"/>
                <w:i/>
                <w:sz w:val="18"/>
                <w:szCs w:val="18"/>
              </w:rPr>
              <w:t>增加：</w:t>
            </w:r>
          </w:p>
          <w:p w:rsidR="00000000" w:rsidRDefault="00CC1CB1">
            <w:pPr>
              <w:jc w:val="left"/>
              <w:rPr>
                <w:sz w:val="18"/>
                <w:szCs w:val="18"/>
              </w:rPr>
            </w:pPr>
            <w:r>
              <w:rPr>
                <w:rFonts w:hint="eastAsia"/>
                <w:sz w:val="18"/>
                <w:szCs w:val="18"/>
              </w:rPr>
              <w:t>对甲磺酸伊马替尼耐药或不耐受的</w:t>
            </w:r>
            <w:r>
              <w:rPr>
                <w:sz w:val="18"/>
                <w:szCs w:val="18"/>
              </w:rPr>
              <w:t>Ph+ CML</w:t>
            </w:r>
            <w:r>
              <w:rPr>
                <w:rFonts w:hint="eastAsia"/>
                <w:sz w:val="18"/>
                <w:szCs w:val="18"/>
              </w:rPr>
              <w:t>慢性期</w:t>
            </w:r>
            <w:r>
              <w:rPr>
                <w:sz w:val="18"/>
                <w:szCs w:val="18"/>
              </w:rPr>
              <w:t>1</w:t>
            </w:r>
            <w:r>
              <w:rPr>
                <w:rFonts w:hint="eastAsia"/>
                <w:sz w:val="18"/>
                <w:szCs w:val="18"/>
              </w:rPr>
              <w:t>岁及以上儿童患者</w:t>
            </w:r>
          </w:p>
        </w:tc>
      </w:tr>
      <w:tr w:rsidR="00000000">
        <w:trPr>
          <w:trHeight w:val="114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【用法用量】</w:t>
            </w:r>
          </w:p>
        </w:tc>
        <w:tc>
          <w:tcPr>
            <w:tcW w:w="3540" w:type="dxa"/>
          </w:tcPr>
          <w:p w:rsidR="00000000" w:rsidRDefault="00CC1CB1">
            <w:pPr>
              <w:rPr>
                <w:i/>
                <w:sz w:val="18"/>
                <w:szCs w:val="18"/>
              </w:rPr>
            </w:pPr>
            <w:r>
              <w:rPr>
                <w:rFonts w:hint="eastAsia"/>
                <w:i/>
                <w:sz w:val="18"/>
                <w:szCs w:val="18"/>
              </w:rPr>
              <w:t>无明确的儿童应用描述</w:t>
            </w:r>
          </w:p>
        </w:tc>
        <w:tc>
          <w:tcPr>
            <w:tcW w:w="7508" w:type="dxa"/>
          </w:tcPr>
          <w:p w:rsidR="00000000" w:rsidRDefault="00CC1CB1">
            <w:pPr>
              <w:rPr>
                <w:i/>
                <w:sz w:val="18"/>
                <w:szCs w:val="18"/>
              </w:rPr>
            </w:pPr>
            <w:r>
              <w:rPr>
                <w:rFonts w:hint="eastAsia"/>
                <w:i/>
                <w:sz w:val="18"/>
                <w:szCs w:val="18"/>
              </w:rPr>
              <w:t>增加：</w:t>
            </w:r>
          </w:p>
          <w:p w:rsidR="00000000" w:rsidRDefault="00CC1CB1">
            <w:pPr>
              <w:jc w:val="left"/>
              <w:rPr>
                <w:sz w:val="18"/>
                <w:szCs w:val="18"/>
              </w:rPr>
            </w:pPr>
            <w:r>
              <w:rPr>
                <w:rFonts w:hint="eastAsia"/>
                <w:sz w:val="18"/>
                <w:szCs w:val="18"/>
              </w:rPr>
              <w:t>根据体重确定起始剂量：</w:t>
            </w:r>
            <w:r>
              <w:rPr>
                <w:sz w:val="18"/>
                <w:szCs w:val="18"/>
              </w:rPr>
              <w:t>10kg-</w:t>
            </w:r>
            <w:r>
              <w:rPr>
                <w:rFonts w:hint="eastAsia"/>
                <w:sz w:val="18"/>
                <w:szCs w:val="18"/>
              </w:rPr>
              <w:t>低于</w:t>
            </w:r>
            <w:r>
              <w:rPr>
                <w:sz w:val="18"/>
                <w:szCs w:val="18"/>
              </w:rPr>
              <w:t>20kg</w:t>
            </w:r>
            <w:r>
              <w:rPr>
                <w:rFonts w:hint="eastAsia"/>
                <w:sz w:val="18"/>
                <w:szCs w:val="18"/>
              </w:rPr>
              <w:t>，每日剂量为</w:t>
            </w:r>
            <w:r>
              <w:rPr>
                <w:sz w:val="18"/>
                <w:szCs w:val="18"/>
              </w:rPr>
              <w:t>40mg</w:t>
            </w:r>
            <w:r>
              <w:rPr>
                <w:rFonts w:hint="eastAsia"/>
                <w:sz w:val="18"/>
                <w:szCs w:val="18"/>
              </w:rPr>
              <w:t>；</w:t>
            </w:r>
            <w:r>
              <w:rPr>
                <w:sz w:val="18"/>
                <w:szCs w:val="18"/>
              </w:rPr>
              <w:t>20kg-</w:t>
            </w:r>
            <w:r>
              <w:rPr>
                <w:rFonts w:hint="eastAsia"/>
                <w:sz w:val="18"/>
                <w:szCs w:val="18"/>
              </w:rPr>
              <w:t>低于</w:t>
            </w:r>
            <w:r>
              <w:rPr>
                <w:sz w:val="18"/>
                <w:szCs w:val="18"/>
              </w:rPr>
              <w:t>30kg</w:t>
            </w:r>
            <w:r>
              <w:rPr>
                <w:rFonts w:hint="eastAsia"/>
                <w:sz w:val="18"/>
                <w:szCs w:val="18"/>
              </w:rPr>
              <w:t>，每日剂量为</w:t>
            </w:r>
            <w:r>
              <w:rPr>
                <w:sz w:val="18"/>
                <w:szCs w:val="18"/>
              </w:rPr>
              <w:t>60mg</w:t>
            </w:r>
            <w:r>
              <w:rPr>
                <w:rFonts w:hint="eastAsia"/>
                <w:sz w:val="18"/>
                <w:szCs w:val="18"/>
              </w:rPr>
              <w:t>；</w:t>
            </w:r>
            <w:r>
              <w:rPr>
                <w:sz w:val="18"/>
                <w:szCs w:val="18"/>
              </w:rPr>
              <w:t>30kg-</w:t>
            </w:r>
            <w:r>
              <w:rPr>
                <w:rFonts w:hint="eastAsia"/>
                <w:sz w:val="18"/>
                <w:szCs w:val="18"/>
              </w:rPr>
              <w:t>低于</w:t>
            </w:r>
            <w:r>
              <w:rPr>
                <w:sz w:val="18"/>
                <w:szCs w:val="18"/>
              </w:rPr>
              <w:t>45kg</w:t>
            </w:r>
            <w:r>
              <w:rPr>
                <w:rFonts w:hint="eastAsia"/>
                <w:sz w:val="18"/>
                <w:szCs w:val="18"/>
              </w:rPr>
              <w:t>，每日剂量为</w:t>
            </w:r>
            <w:r>
              <w:rPr>
                <w:sz w:val="18"/>
                <w:szCs w:val="18"/>
              </w:rPr>
              <w:t>70mg</w:t>
            </w:r>
            <w:r>
              <w:rPr>
                <w:rFonts w:hint="eastAsia"/>
                <w:sz w:val="18"/>
                <w:szCs w:val="18"/>
              </w:rPr>
              <w:t>；</w:t>
            </w:r>
            <w:r>
              <w:rPr>
                <w:sz w:val="18"/>
                <w:szCs w:val="18"/>
              </w:rPr>
              <w:t>45kg</w:t>
            </w:r>
            <w:r>
              <w:rPr>
                <w:rFonts w:hint="eastAsia"/>
                <w:sz w:val="18"/>
                <w:szCs w:val="18"/>
              </w:rPr>
              <w:t>及以上，每日剂量为</w:t>
            </w:r>
            <w:r>
              <w:rPr>
                <w:sz w:val="18"/>
                <w:szCs w:val="18"/>
              </w:rPr>
              <w:t>100mg</w:t>
            </w:r>
            <w:r>
              <w:rPr>
                <w:rFonts w:hint="eastAsia"/>
                <w:sz w:val="18"/>
                <w:szCs w:val="18"/>
              </w:rPr>
              <w:t>。</w:t>
            </w:r>
          </w:p>
        </w:tc>
      </w:tr>
      <w:tr w:rsidR="00000000">
        <w:trPr>
          <w:trHeight w:val="416"/>
          <w:jc w:val="center"/>
        </w:trPr>
        <w:tc>
          <w:tcPr>
            <w:tcW w:w="714" w:type="dxa"/>
            <w:gridSpan w:val="2"/>
            <w:vAlign w:val="center"/>
          </w:tcPr>
          <w:p w:rsidR="00000000" w:rsidRDefault="00CC1CB1"/>
        </w:tc>
        <w:tc>
          <w:tcPr>
            <w:tcW w:w="1263" w:type="dxa"/>
            <w:vAlign w:val="center"/>
          </w:tcPr>
          <w:p w:rsidR="00000000" w:rsidRDefault="00CC1CB1"/>
        </w:tc>
        <w:tc>
          <w:tcPr>
            <w:tcW w:w="1705" w:type="dxa"/>
            <w:vAlign w:val="center"/>
          </w:tcPr>
          <w:p w:rsidR="00000000" w:rsidRDefault="00CC1CB1"/>
        </w:tc>
        <w:tc>
          <w:tcPr>
            <w:tcW w:w="11048" w:type="dxa"/>
            <w:gridSpan w:val="2"/>
            <w:vAlign w:val="center"/>
          </w:tcPr>
          <w:p w:rsidR="00000000" w:rsidRDefault="00CC1CB1"/>
        </w:tc>
      </w:tr>
      <w:tr w:rsidR="00000000">
        <w:trPr>
          <w:trHeight w:val="267"/>
          <w:jc w:val="center"/>
        </w:trPr>
        <w:tc>
          <w:tcPr>
            <w:tcW w:w="714" w:type="dxa"/>
            <w:gridSpan w:val="2"/>
            <w:vMerge w:val="restart"/>
            <w:vAlign w:val="center"/>
          </w:tcPr>
          <w:p w:rsidR="00000000" w:rsidRDefault="00CC1CB1">
            <w:pPr>
              <w:jc w:val="center"/>
              <w:rPr>
                <w:sz w:val="18"/>
                <w:szCs w:val="18"/>
              </w:rPr>
            </w:pPr>
            <w:r>
              <w:rPr>
                <w:sz w:val="18"/>
                <w:szCs w:val="18"/>
              </w:rPr>
              <w:t>5</w:t>
            </w:r>
          </w:p>
        </w:tc>
        <w:tc>
          <w:tcPr>
            <w:tcW w:w="1263" w:type="dxa"/>
            <w:vMerge w:val="restart"/>
            <w:vAlign w:val="center"/>
          </w:tcPr>
          <w:p w:rsidR="00000000" w:rsidRDefault="00CC1CB1">
            <w:pPr>
              <w:jc w:val="center"/>
              <w:rPr>
                <w:sz w:val="18"/>
                <w:szCs w:val="18"/>
              </w:rPr>
            </w:pPr>
            <w:r>
              <w:rPr>
                <w:rFonts w:hint="eastAsia"/>
                <w:sz w:val="18"/>
                <w:szCs w:val="18"/>
              </w:rPr>
              <w:t>泊沙康唑</w:t>
            </w:r>
          </w:p>
        </w:tc>
        <w:tc>
          <w:tcPr>
            <w:tcW w:w="1705" w:type="dxa"/>
            <w:vAlign w:val="center"/>
          </w:tcPr>
          <w:p w:rsidR="00000000" w:rsidRDefault="00CC1CB1">
            <w:pPr>
              <w:jc w:val="center"/>
              <w:rPr>
                <w:sz w:val="18"/>
                <w:szCs w:val="18"/>
              </w:rPr>
            </w:pPr>
            <w:r>
              <w:rPr>
                <w:rFonts w:hint="eastAsia"/>
                <w:sz w:val="18"/>
                <w:szCs w:val="18"/>
              </w:rPr>
              <w:t>剂型</w:t>
            </w:r>
          </w:p>
        </w:tc>
        <w:tc>
          <w:tcPr>
            <w:tcW w:w="11048" w:type="dxa"/>
            <w:gridSpan w:val="2"/>
            <w:vAlign w:val="center"/>
          </w:tcPr>
          <w:p w:rsidR="00000000" w:rsidRDefault="00CC1CB1">
            <w:pPr>
              <w:jc w:val="center"/>
              <w:rPr>
                <w:sz w:val="18"/>
                <w:szCs w:val="18"/>
              </w:rPr>
            </w:pPr>
            <w:r>
              <w:rPr>
                <w:rFonts w:hint="eastAsia"/>
                <w:sz w:val="18"/>
                <w:szCs w:val="18"/>
              </w:rPr>
              <w:t>肠溶片</w:t>
            </w:r>
          </w:p>
        </w:tc>
      </w:tr>
      <w:tr w:rsidR="00000000">
        <w:trPr>
          <w:trHeight w:val="229"/>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规格</w:t>
            </w:r>
          </w:p>
        </w:tc>
        <w:tc>
          <w:tcPr>
            <w:tcW w:w="11048" w:type="dxa"/>
            <w:gridSpan w:val="2"/>
            <w:vAlign w:val="center"/>
          </w:tcPr>
          <w:p w:rsidR="00000000" w:rsidRDefault="00CC1CB1">
            <w:pPr>
              <w:jc w:val="center"/>
              <w:rPr>
                <w:sz w:val="18"/>
                <w:szCs w:val="18"/>
              </w:rPr>
            </w:pPr>
            <w:r>
              <w:rPr>
                <w:sz w:val="18"/>
                <w:szCs w:val="18"/>
              </w:rPr>
              <w:t>100mg</w:t>
            </w:r>
          </w:p>
        </w:tc>
      </w:tr>
      <w:tr w:rsidR="00000000">
        <w:trPr>
          <w:trHeight w:val="33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rPr>
                <w:sz w:val="18"/>
                <w:szCs w:val="18"/>
              </w:rPr>
            </w:pPr>
          </w:p>
        </w:tc>
        <w:tc>
          <w:tcPr>
            <w:tcW w:w="3540" w:type="dxa"/>
            <w:vAlign w:val="center"/>
          </w:tcPr>
          <w:p w:rsidR="00000000" w:rsidRDefault="00CC1CB1">
            <w:pPr>
              <w:jc w:val="center"/>
              <w:rPr>
                <w:b/>
                <w:sz w:val="18"/>
                <w:szCs w:val="18"/>
              </w:rPr>
            </w:pPr>
            <w:r>
              <w:rPr>
                <w:rFonts w:hint="eastAsia"/>
                <w:b/>
                <w:sz w:val="18"/>
                <w:szCs w:val="18"/>
              </w:rPr>
              <w:t>修订前</w:t>
            </w:r>
          </w:p>
        </w:tc>
        <w:tc>
          <w:tcPr>
            <w:tcW w:w="7508" w:type="dxa"/>
            <w:vAlign w:val="center"/>
          </w:tcPr>
          <w:p w:rsidR="00000000" w:rsidRDefault="00CC1CB1">
            <w:pPr>
              <w:jc w:val="center"/>
              <w:rPr>
                <w:b/>
                <w:sz w:val="18"/>
                <w:szCs w:val="18"/>
              </w:rPr>
            </w:pPr>
            <w:r>
              <w:rPr>
                <w:rFonts w:hint="eastAsia"/>
                <w:b/>
                <w:sz w:val="18"/>
                <w:szCs w:val="18"/>
              </w:rPr>
              <w:t>修订后</w:t>
            </w:r>
          </w:p>
        </w:tc>
      </w:tr>
      <w:tr w:rsidR="00000000">
        <w:trPr>
          <w:trHeight w:val="2568"/>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【适应症】</w:t>
            </w:r>
          </w:p>
        </w:tc>
        <w:tc>
          <w:tcPr>
            <w:tcW w:w="3540" w:type="dxa"/>
            <w:vAlign w:val="center"/>
          </w:tcPr>
          <w:p w:rsidR="00000000" w:rsidRDefault="00CC1CB1">
            <w:pPr>
              <w:rPr>
                <w:i/>
                <w:sz w:val="18"/>
                <w:szCs w:val="18"/>
              </w:rPr>
            </w:pPr>
            <w:r>
              <w:rPr>
                <w:rFonts w:hint="eastAsia"/>
                <w:i/>
                <w:sz w:val="18"/>
                <w:szCs w:val="18"/>
              </w:rPr>
              <w:t>儿童相关适应症描述：</w:t>
            </w:r>
          </w:p>
          <w:p w:rsidR="00000000" w:rsidRDefault="00CC1CB1">
            <w:pPr>
              <w:ind w:firstLineChars="150" w:firstLine="270"/>
              <w:jc w:val="left"/>
              <w:rPr>
                <w:sz w:val="18"/>
                <w:szCs w:val="18"/>
                <w:lang w:val="en-GB"/>
              </w:rPr>
            </w:pPr>
            <w:r>
              <w:rPr>
                <w:rFonts w:hint="eastAsia"/>
                <w:sz w:val="18"/>
                <w:szCs w:val="18"/>
              </w:rPr>
              <w:t>用于预防</w:t>
            </w:r>
            <w:r>
              <w:rPr>
                <w:sz w:val="18"/>
                <w:szCs w:val="18"/>
              </w:rPr>
              <w:t>13</w:t>
            </w:r>
            <w:r>
              <w:rPr>
                <w:rFonts w:hint="eastAsia"/>
                <w:sz w:val="18"/>
                <w:szCs w:val="18"/>
              </w:rPr>
              <w:t>岁</w:t>
            </w:r>
            <w:r>
              <w:rPr>
                <w:rFonts w:eastAsia="仿宋_GB2312" w:hint="eastAsia"/>
                <w:sz w:val="20"/>
                <w:szCs w:val="20"/>
              </w:rPr>
              <w:t>和</w:t>
            </w:r>
            <w:r>
              <w:rPr>
                <w:rFonts w:eastAsia="仿宋_GB2312"/>
                <w:sz w:val="20"/>
                <w:szCs w:val="20"/>
              </w:rPr>
              <w:t>13</w:t>
            </w:r>
            <w:r>
              <w:rPr>
                <w:rFonts w:eastAsia="仿宋_GB2312" w:hint="eastAsia"/>
                <w:sz w:val="20"/>
                <w:szCs w:val="20"/>
              </w:rPr>
              <w:t>岁</w:t>
            </w:r>
            <w:r>
              <w:rPr>
                <w:rFonts w:hint="eastAsia"/>
                <w:sz w:val="18"/>
                <w:szCs w:val="18"/>
              </w:rPr>
              <w:t>以上因重度免疫缺陷而导致侵袭性曲霉菌和念珠菌感染风险增加的患者，例如接受造血干细胞移植（</w:t>
            </w:r>
            <w:r>
              <w:rPr>
                <w:sz w:val="18"/>
                <w:szCs w:val="18"/>
              </w:rPr>
              <w:t>HSCT</w:t>
            </w:r>
            <w:r>
              <w:rPr>
                <w:rFonts w:hint="eastAsia"/>
                <w:sz w:val="18"/>
                <w:szCs w:val="18"/>
              </w:rPr>
              <w:t>）后发生移植物抗宿主病（</w:t>
            </w:r>
            <w:r>
              <w:rPr>
                <w:sz w:val="18"/>
                <w:szCs w:val="18"/>
              </w:rPr>
              <w:t>GVHD</w:t>
            </w:r>
            <w:r>
              <w:rPr>
                <w:rFonts w:hint="eastAsia"/>
                <w:sz w:val="18"/>
                <w:szCs w:val="18"/>
              </w:rPr>
              <w:t>）的患者或化疗导致长时间中性粒细胞减少症的血液系统恶性肿瘤患者。</w:t>
            </w:r>
          </w:p>
        </w:tc>
        <w:tc>
          <w:tcPr>
            <w:tcW w:w="7508" w:type="dxa"/>
            <w:vAlign w:val="center"/>
          </w:tcPr>
          <w:p w:rsidR="00000000" w:rsidRDefault="00CC1CB1">
            <w:pPr>
              <w:rPr>
                <w:i/>
                <w:sz w:val="18"/>
                <w:szCs w:val="18"/>
              </w:rPr>
            </w:pPr>
            <w:r>
              <w:rPr>
                <w:rFonts w:hint="eastAsia"/>
                <w:i/>
                <w:sz w:val="18"/>
                <w:szCs w:val="18"/>
              </w:rPr>
              <w:t>儿童相关适应症描述：</w:t>
            </w:r>
          </w:p>
          <w:p w:rsidR="00000000" w:rsidRDefault="00CC1CB1">
            <w:pPr>
              <w:adjustRightInd w:val="0"/>
              <w:snapToGrid w:val="0"/>
              <w:ind w:firstLine="288"/>
              <w:jc w:val="left"/>
              <w:rPr>
                <w:sz w:val="18"/>
                <w:szCs w:val="18"/>
              </w:rPr>
            </w:pPr>
            <w:r>
              <w:rPr>
                <w:sz w:val="18"/>
                <w:szCs w:val="18"/>
              </w:rPr>
              <w:t>1</w:t>
            </w:r>
            <w:r>
              <w:rPr>
                <w:rFonts w:hint="eastAsia"/>
                <w:sz w:val="18"/>
                <w:szCs w:val="18"/>
              </w:rPr>
              <w:t>、治疗侵袭性曲霉病：用于</w:t>
            </w:r>
            <w:r>
              <w:rPr>
                <w:sz w:val="18"/>
                <w:szCs w:val="18"/>
              </w:rPr>
              <w:t>13</w:t>
            </w:r>
            <w:r>
              <w:rPr>
                <w:rFonts w:hint="eastAsia"/>
                <w:sz w:val="18"/>
                <w:szCs w:val="18"/>
              </w:rPr>
              <w:t>岁</w:t>
            </w:r>
            <w:r>
              <w:rPr>
                <w:rFonts w:eastAsia="仿宋_GB2312" w:hint="eastAsia"/>
                <w:bCs/>
                <w:sz w:val="20"/>
                <w:szCs w:val="20"/>
              </w:rPr>
              <w:t>和</w:t>
            </w:r>
            <w:r>
              <w:rPr>
                <w:rFonts w:eastAsia="仿宋_GB2312"/>
                <w:bCs/>
                <w:sz w:val="20"/>
                <w:szCs w:val="20"/>
              </w:rPr>
              <w:t>13</w:t>
            </w:r>
            <w:r>
              <w:rPr>
                <w:rFonts w:eastAsia="仿宋_GB2312" w:hint="eastAsia"/>
                <w:bCs/>
                <w:sz w:val="20"/>
                <w:szCs w:val="20"/>
              </w:rPr>
              <w:t>岁</w:t>
            </w:r>
            <w:r>
              <w:rPr>
                <w:rFonts w:hint="eastAsia"/>
                <w:sz w:val="18"/>
                <w:szCs w:val="18"/>
              </w:rPr>
              <w:t>以上患者的侵袭性曲霉病的治疗。</w:t>
            </w:r>
          </w:p>
          <w:p w:rsidR="00000000" w:rsidRDefault="00CC1CB1">
            <w:pPr>
              <w:ind w:firstLineChars="150" w:firstLine="270"/>
              <w:jc w:val="left"/>
              <w:rPr>
                <w:sz w:val="18"/>
                <w:szCs w:val="18"/>
              </w:rPr>
            </w:pPr>
            <w:r>
              <w:rPr>
                <w:sz w:val="18"/>
                <w:szCs w:val="18"/>
              </w:rPr>
              <w:t>2</w:t>
            </w:r>
            <w:r>
              <w:rPr>
                <w:rFonts w:hint="eastAsia"/>
                <w:sz w:val="18"/>
                <w:szCs w:val="18"/>
              </w:rPr>
              <w:t>、预防侵袭性曲霉菌和念珠菌感染：用于预防成人、</w:t>
            </w:r>
            <w:r>
              <w:rPr>
                <w:sz w:val="18"/>
                <w:szCs w:val="18"/>
              </w:rPr>
              <w:t>2</w:t>
            </w:r>
            <w:r>
              <w:rPr>
                <w:rFonts w:hint="eastAsia"/>
                <w:sz w:val="18"/>
                <w:szCs w:val="18"/>
              </w:rPr>
              <w:t>岁</w:t>
            </w:r>
            <w:r>
              <w:rPr>
                <w:rFonts w:eastAsia="仿宋_GB2312" w:hint="eastAsia"/>
                <w:bCs/>
                <w:sz w:val="20"/>
                <w:szCs w:val="20"/>
              </w:rPr>
              <w:t>和</w:t>
            </w:r>
            <w:r>
              <w:rPr>
                <w:rFonts w:eastAsia="仿宋_GB2312"/>
                <w:bCs/>
                <w:sz w:val="20"/>
                <w:szCs w:val="20"/>
              </w:rPr>
              <w:t>2</w:t>
            </w:r>
            <w:r>
              <w:rPr>
                <w:rFonts w:eastAsia="仿宋_GB2312" w:hint="eastAsia"/>
                <w:bCs/>
                <w:sz w:val="20"/>
                <w:szCs w:val="20"/>
              </w:rPr>
              <w:t>岁</w:t>
            </w:r>
            <w:r>
              <w:rPr>
                <w:rFonts w:hint="eastAsia"/>
                <w:sz w:val="18"/>
                <w:szCs w:val="18"/>
              </w:rPr>
              <w:t>以上且体重大于</w:t>
            </w:r>
            <w:r>
              <w:rPr>
                <w:sz w:val="18"/>
                <w:szCs w:val="18"/>
              </w:rPr>
              <w:t>40kg</w:t>
            </w:r>
            <w:r>
              <w:rPr>
                <w:rFonts w:hint="eastAsia"/>
                <w:sz w:val="18"/>
                <w:szCs w:val="18"/>
              </w:rPr>
              <w:t>的儿童因重度免疫缺陷而导致侵袭性曲霉菌和念珠菌感染风险增加的患者，例如接受造血干细胞移植（</w:t>
            </w:r>
            <w:r>
              <w:rPr>
                <w:sz w:val="18"/>
                <w:szCs w:val="18"/>
              </w:rPr>
              <w:t>HSCT</w:t>
            </w:r>
            <w:r>
              <w:rPr>
                <w:rFonts w:hint="eastAsia"/>
                <w:sz w:val="18"/>
                <w:szCs w:val="18"/>
              </w:rPr>
              <w:t>）后发生移植物抗宿主病（</w:t>
            </w:r>
            <w:r>
              <w:rPr>
                <w:sz w:val="18"/>
                <w:szCs w:val="18"/>
              </w:rPr>
              <w:t>GVHD</w:t>
            </w:r>
            <w:r>
              <w:rPr>
                <w:rFonts w:hint="eastAsia"/>
                <w:sz w:val="18"/>
                <w:szCs w:val="18"/>
              </w:rPr>
              <w:t>）的患者或化疗导致长时间中性粒细胞减少症的血液系统恶性肿瘤患者。</w:t>
            </w:r>
          </w:p>
        </w:tc>
      </w:tr>
      <w:tr w:rsidR="00000000">
        <w:trPr>
          <w:trHeight w:val="416"/>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【用法用量】</w:t>
            </w:r>
          </w:p>
        </w:tc>
        <w:tc>
          <w:tcPr>
            <w:tcW w:w="3540" w:type="dxa"/>
            <w:vAlign w:val="center"/>
          </w:tcPr>
          <w:p w:rsidR="00000000" w:rsidRDefault="00CC1CB1">
            <w:pPr>
              <w:widowControl/>
              <w:textAlignment w:val="baseline"/>
              <w:rPr>
                <w:sz w:val="18"/>
                <w:szCs w:val="18"/>
              </w:rPr>
            </w:pPr>
            <w:r>
              <w:rPr>
                <w:rFonts w:hint="eastAsia"/>
                <w:i/>
                <w:sz w:val="18"/>
                <w:szCs w:val="18"/>
              </w:rPr>
              <w:t>儿童相关用法用量描述：</w:t>
            </w:r>
          </w:p>
          <w:p w:rsidR="00000000" w:rsidRDefault="00CC1CB1">
            <w:pPr>
              <w:widowControl/>
              <w:jc w:val="left"/>
              <w:textAlignment w:val="baseline"/>
              <w:rPr>
                <w:sz w:val="18"/>
                <w:szCs w:val="18"/>
              </w:rPr>
            </w:pPr>
            <w:r>
              <w:rPr>
                <w:rFonts w:hint="eastAsia"/>
                <w:sz w:val="18"/>
                <w:szCs w:val="18"/>
              </w:rPr>
              <w:t>负荷剂量：第</w:t>
            </w:r>
            <w:r>
              <w:rPr>
                <w:sz w:val="18"/>
                <w:szCs w:val="18"/>
              </w:rPr>
              <w:t>1</w:t>
            </w:r>
            <w:r>
              <w:rPr>
                <w:rFonts w:hint="eastAsia"/>
                <w:sz w:val="18"/>
                <w:szCs w:val="18"/>
              </w:rPr>
              <w:t>天一日</w:t>
            </w:r>
            <w:r>
              <w:rPr>
                <w:sz w:val="18"/>
                <w:szCs w:val="18"/>
              </w:rPr>
              <w:t>2</w:t>
            </w:r>
            <w:r>
              <w:rPr>
                <w:rFonts w:hint="eastAsia"/>
                <w:sz w:val="18"/>
                <w:szCs w:val="18"/>
              </w:rPr>
              <w:t>次，每次</w:t>
            </w:r>
            <w:r>
              <w:rPr>
                <w:sz w:val="18"/>
                <w:szCs w:val="18"/>
              </w:rPr>
              <w:t>300mg</w:t>
            </w:r>
            <w:r>
              <w:rPr>
                <w:rFonts w:hint="eastAsia"/>
                <w:sz w:val="18"/>
                <w:szCs w:val="18"/>
              </w:rPr>
              <w:t>（</w:t>
            </w:r>
            <w:r>
              <w:rPr>
                <w:sz w:val="18"/>
                <w:szCs w:val="18"/>
              </w:rPr>
              <w:t>100mg</w:t>
            </w:r>
            <w:r>
              <w:rPr>
                <w:rFonts w:hint="eastAsia"/>
                <w:sz w:val="18"/>
                <w:szCs w:val="18"/>
              </w:rPr>
              <w:t>肠溶片</w:t>
            </w:r>
            <w:r>
              <w:rPr>
                <w:sz w:val="18"/>
                <w:szCs w:val="18"/>
              </w:rPr>
              <w:t>3</w:t>
            </w:r>
            <w:r>
              <w:rPr>
                <w:rFonts w:hint="eastAsia"/>
                <w:sz w:val="18"/>
                <w:szCs w:val="18"/>
              </w:rPr>
              <w:t>片）。维持剂量：第</w:t>
            </w:r>
            <w:r>
              <w:rPr>
                <w:sz w:val="18"/>
                <w:szCs w:val="18"/>
              </w:rPr>
              <w:t>2</w:t>
            </w:r>
            <w:r>
              <w:rPr>
                <w:rFonts w:hint="eastAsia"/>
                <w:sz w:val="18"/>
                <w:szCs w:val="18"/>
              </w:rPr>
              <w:t>天开始，每日</w:t>
            </w:r>
            <w:r>
              <w:rPr>
                <w:sz w:val="18"/>
                <w:szCs w:val="18"/>
              </w:rPr>
              <w:t>1</w:t>
            </w:r>
            <w:r>
              <w:rPr>
                <w:rFonts w:hint="eastAsia"/>
                <w:sz w:val="18"/>
                <w:szCs w:val="18"/>
              </w:rPr>
              <w:t>次，每次</w:t>
            </w:r>
            <w:r>
              <w:rPr>
                <w:sz w:val="18"/>
                <w:szCs w:val="18"/>
              </w:rPr>
              <w:t>300mg</w:t>
            </w:r>
            <w:r>
              <w:rPr>
                <w:rFonts w:hint="eastAsia"/>
                <w:sz w:val="18"/>
                <w:szCs w:val="18"/>
              </w:rPr>
              <w:t>（</w:t>
            </w:r>
            <w:r>
              <w:rPr>
                <w:sz w:val="18"/>
                <w:szCs w:val="18"/>
              </w:rPr>
              <w:t>100mg</w:t>
            </w:r>
            <w:r>
              <w:rPr>
                <w:rFonts w:hint="eastAsia"/>
                <w:sz w:val="18"/>
                <w:szCs w:val="18"/>
              </w:rPr>
              <w:t>肠溶片</w:t>
            </w:r>
            <w:r>
              <w:rPr>
                <w:sz w:val="18"/>
                <w:szCs w:val="18"/>
              </w:rPr>
              <w:t>3</w:t>
            </w:r>
            <w:r>
              <w:rPr>
                <w:rFonts w:hint="eastAsia"/>
                <w:sz w:val="18"/>
                <w:szCs w:val="18"/>
              </w:rPr>
              <w:t>片）。疗程根据中性粒</w:t>
            </w:r>
            <w:r>
              <w:rPr>
                <w:rFonts w:hint="eastAsia"/>
                <w:sz w:val="18"/>
                <w:szCs w:val="18"/>
              </w:rPr>
              <w:t>细胞减少症或免疫抑制的恢复程度而定。</w:t>
            </w:r>
          </w:p>
          <w:p w:rsidR="00000000" w:rsidRDefault="00CC1CB1"/>
          <w:p w:rsidR="00000000" w:rsidRDefault="00CC1CB1"/>
          <w:p w:rsidR="00000000" w:rsidRDefault="00CC1CB1"/>
          <w:p w:rsidR="00000000" w:rsidRDefault="00CC1CB1"/>
          <w:p w:rsidR="00000000" w:rsidRDefault="00CC1CB1"/>
          <w:p w:rsidR="00000000" w:rsidRDefault="00CC1CB1">
            <w:pPr>
              <w:jc w:val="left"/>
              <w:rPr>
                <w:sz w:val="18"/>
                <w:szCs w:val="18"/>
              </w:rPr>
            </w:pPr>
          </w:p>
        </w:tc>
        <w:tc>
          <w:tcPr>
            <w:tcW w:w="7508" w:type="dxa"/>
            <w:vAlign w:val="center"/>
          </w:tcPr>
          <w:p w:rsidR="00000000" w:rsidRDefault="00CC1CB1">
            <w:pPr>
              <w:widowControl/>
              <w:textAlignment w:val="baseline"/>
              <w:rPr>
                <w:sz w:val="18"/>
                <w:szCs w:val="18"/>
              </w:rPr>
            </w:pPr>
            <w:r>
              <w:rPr>
                <w:rFonts w:hint="eastAsia"/>
                <w:i/>
                <w:sz w:val="18"/>
                <w:szCs w:val="18"/>
              </w:rPr>
              <w:t>儿童相关用法用量描述：</w:t>
            </w:r>
          </w:p>
          <w:tbl>
            <w:tblPr>
              <w:tblW w:w="0" w:type="auto"/>
              <w:jc w:val="center"/>
              <w:tblInd w:w="0" w:type="dxa"/>
              <w:tblBorders>
                <w:top w:val="outset" w:sz="6" w:space="0" w:color="auto"/>
                <w:left w:val="outset" w:sz="6" w:space="0" w:color="auto"/>
                <w:bottom w:val="outset" w:sz="6" w:space="0" w:color="auto"/>
                <w:right w:val="outset" w:sz="6" w:space="0" w:color="auto"/>
              </w:tblBorders>
              <w:tblLayout w:type="fixed"/>
              <w:tblCellMar>
                <w:top w:w="14" w:type="dxa"/>
                <w:left w:w="43" w:type="dxa"/>
                <w:bottom w:w="14" w:type="dxa"/>
                <w:right w:w="43" w:type="dxa"/>
              </w:tblCellMar>
              <w:tblLook w:val="0000" w:firstRow="0" w:lastRow="0" w:firstColumn="0" w:lastColumn="0" w:noHBand="0" w:noVBand="0"/>
            </w:tblPr>
            <w:tblGrid>
              <w:gridCol w:w="1393"/>
              <w:gridCol w:w="5672"/>
            </w:tblGrid>
            <w:tr w:rsidR="00000000">
              <w:trPr>
                <w:trHeight w:val="11"/>
                <w:jc w:val="center"/>
              </w:trPr>
              <w:tc>
                <w:tcPr>
                  <w:tcW w:w="1393" w:type="dxa"/>
                  <w:tcBorders>
                    <w:top w:val="single" w:sz="6" w:space="0" w:color="auto"/>
                    <w:left w:val="single" w:sz="6" w:space="0" w:color="auto"/>
                    <w:bottom w:val="single" w:sz="6" w:space="0" w:color="auto"/>
                    <w:right w:val="single" w:sz="6" w:space="0" w:color="auto"/>
                  </w:tcBorders>
                </w:tcPr>
                <w:p w:rsidR="00000000" w:rsidRDefault="00CC1CB1">
                  <w:pPr>
                    <w:widowControl/>
                    <w:jc w:val="center"/>
                    <w:textAlignment w:val="baseline"/>
                    <w:rPr>
                      <w:sz w:val="18"/>
                      <w:szCs w:val="18"/>
                    </w:rPr>
                  </w:pPr>
                  <w:r>
                    <w:rPr>
                      <w:rFonts w:hint="eastAsia"/>
                      <w:sz w:val="18"/>
                      <w:szCs w:val="18"/>
                    </w:rPr>
                    <w:t>适应症</w:t>
                  </w:r>
                </w:p>
              </w:tc>
              <w:tc>
                <w:tcPr>
                  <w:tcW w:w="5672" w:type="dxa"/>
                  <w:tcBorders>
                    <w:top w:val="single" w:sz="6" w:space="0" w:color="auto"/>
                    <w:left w:val="single" w:sz="6" w:space="0" w:color="auto"/>
                    <w:bottom w:val="single" w:sz="6" w:space="0" w:color="auto"/>
                    <w:right w:val="single" w:sz="6" w:space="0" w:color="auto"/>
                  </w:tcBorders>
                </w:tcPr>
                <w:p w:rsidR="00000000" w:rsidRDefault="00CC1CB1">
                  <w:pPr>
                    <w:widowControl/>
                    <w:jc w:val="center"/>
                    <w:textAlignment w:val="baseline"/>
                    <w:rPr>
                      <w:sz w:val="18"/>
                      <w:szCs w:val="18"/>
                    </w:rPr>
                  </w:pPr>
                  <w:r>
                    <w:rPr>
                      <w:rFonts w:hint="eastAsia"/>
                      <w:sz w:val="18"/>
                      <w:szCs w:val="18"/>
                    </w:rPr>
                    <w:t>剂量和治疗持续时间</w:t>
                  </w:r>
                </w:p>
              </w:tc>
            </w:tr>
            <w:tr w:rsidR="00000000">
              <w:trPr>
                <w:trHeight w:val="11"/>
                <w:jc w:val="center"/>
              </w:trPr>
              <w:tc>
                <w:tcPr>
                  <w:tcW w:w="1393" w:type="dxa"/>
                  <w:tcBorders>
                    <w:top w:val="single" w:sz="6" w:space="0" w:color="auto"/>
                    <w:left w:val="single" w:sz="6" w:space="0" w:color="auto"/>
                    <w:bottom w:val="single" w:sz="6" w:space="0" w:color="auto"/>
                    <w:right w:val="single" w:sz="6" w:space="0" w:color="auto"/>
                  </w:tcBorders>
                </w:tcPr>
                <w:p w:rsidR="00000000" w:rsidRDefault="00CC1CB1">
                  <w:pPr>
                    <w:widowControl/>
                    <w:jc w:val="center"/>
                    <w:textAlignment w:val="baseline"/>
                    <w:rPr>
                      <w:sz w:val="18"/>
                      <w:szCs w:val="18"/>
                    </w:rPr>
                  </w:pPr>
                  <w:r>
                    <w:rPr>
                      <w:rFonts w:hint="eastAsia"/>
                      <w:sz w:val="18"/>
                      <w:szCs w:val="18"/>
                    </w:rPr>
                    <w:t>治疗侵袭性曲霉病</w:t>
                  </w:r>
                </w:p>
              </w:tc>
              <w:tc>
                <w:tcPr>
                  <w:tcW w:w="5672" w:type="dxa"/>
                  <w:tcBorders>
                    <w:top w:val="single" w:sz="6" w:space="0" w:color="auto"/>
                    <w:left w:val="single" w:sz="6" w:space="0" w:color="auto"/>
                    <w:bottom w:val="single" w:sz="6" w:space="0" w:color="auto"/>
                    <w:right w:val="single" w:sz="6" w:space="0" w:color="auto"/>
                  </w:tcBorders>
                </w:tcPr>
                <w:p w:rsidR="00000000" w:rsidRDefault="00CC1CB1">
                  <w:pPr>
                    <w:widowControl/>
                    <w:textAlignment w:val="baseline"/>
                    <w:rPr>
                      <w:sz w:val="18"/>
                      <w:szCs w:val="18"/>
                    </w:rPr>
                  </w:pPr>
                  <w:r>
                    <w:rPr>
                      <w:sz w:val="18"/>
                      <w:szCs w:val="18"/>
                    </w:rPr>
                    <w:t>13</w:t>
                  </w:r>
                  <w:r>
                    <w:rPr>
                      <w:rFonts w:hint="eastAsia"/>
                      <w:sz w:val="18"/>
                      <w:szCs w:val="18"/>
                    </w:rPr>
                    <w:t>岁和</w:t>
                  </w:r>
                  <w:r>
                    <w:rPr>
                      <w:sz w:val="18"/>
                      <w:szCs w:val="18"/>
                    </w:rPr>
                    <w:t>13</w:t>
                  </w:r>
                  <w:r>
                    <w:rPr>
                      <w:rFonts w:hint="eastAsia"/>
                      <w:sz w:val="18"/>
                      <w:szCs w:val="18"/>
                    </w:rPr>
                    <w:t>岁以上患者：负荷剂量：第</w:t>
                  </w:r>
                  <w:r>
                    <w:rPr>
                      <w:sz w:val="18"/>
                      <w:szCs w:val="18"/>
                    </w:rPr>
                    <w:t>1</w:t>
                  </w:r>
                  <w:r>
                    <w:rPr>
                      <w:rFonts w:hint="eastAsia"/>
                      <w:sz w:val="18"/>
                      <w:szCs w:val="18"/>
                    </w:rPr>
                    <w:t>天一日</w:t>
                  </w:r>
                  <w:r>
                    <w:rPr>
                      <w:sz w:val="18"/>
                      <w:szCs w:val="18"/>
                    </w:rPr>
                    <w:t>2</w:t>
                  </w:r>
                  <w:r>
                    <w:rPr>
                      <w:rFonts w:hint="eastAsia"/>
                      <w:sz w:val="18"/>
                      <w:szCs w:val="18"/>
                    </w:rPr>
                    <w:t>次，每次</w:t>
                  </w:r>
                  <w:r>
                    <w:rPr>
                      <w:sz w:val="18"/>
                      <w:szCs w:val="18"/>
                    </w:rPr>
                    <w:t>300mg</w:t>
                  </w:r>
                  <w:r>
                    <w:rPr>
                      <w:rFonts w:hint="eastAsia"/>
                      <w:sz w:val="18"/>
                      <w:szCs w:val="18"/>
                    </w:rPr>
                    <w:t>（</w:t>
                  </w:r>
                  <w:r>
                    <w:rPr>
                      <w:sz w:val="18"/>
                      <w:szCs w:val="18"/>
                    </w:rPr>
                    <w:t>100mg</w:t>
                  </w:r>
                  <w:r>
                    <w:rPr>
                      <w:rFonts w:hint="eastAsia"/>
                      <w:sz w:val="18"/>
                      <w:szCs w:val="18"/>
                    </w:rPr>
                    <w:t>肠溶片</w:t>
                  </w:r>
                  <w:r>
                    <w:rPr>
                      <w:sz w:val="18"/>
                      <w:szCs w:val="18"/>
                    </w:rPr>
                    <w:t>3</w:t>
                  </w:r>
                  <w:r>
                    <w:rPr>
                      <w:rFonts w:hint="eastAsia"/>
                      <w:sz w:val="18"/>
                      <w:szCs w:val="18"/>
                    </w:rPr>
                    <w:t>片）。维持剂量：第</w:t>
                  </w:r>
                  <w:r>
                    <w:rPr>
                      <w:sz w:val="18"/>
                      <w:szCs w:val="18"/>
                    </w:rPr>
                    <w:t>2</w:t>
                  </w:r>
                  <w:r>
                    <w:rPr>
                      <w:rFonts w:hint="eastAsia"/>
                      <w:sz w:val="18"/>
                      <w:szCs w:val="18"/>
                    </w:rPr>
                    <w:t>天开始，每日</w:t>
                  </w:r>
                  <w:r>
                    <w:rPr>
                      <w:sz w:val="18"/>
                      <w:szCs w:val="18"/>
                    </w:rPr>
                    <w:t>1</w:t>
                  </w:r>
                  <w:r>
                    <w:rPr>
                      <w:rFonts w:hint="eastAsia"/>
                      <w:sz w:val="18"/>
                      <w:szCs w:val="18"/>
                    </w:rPr>
                    <w:t>次，每次</w:t>
                  </w:r>
                  <w:r>
                    <w:rPr>
                      <w:sz w:val="18"/>
                      <w:szCs w:val="18"/>
                    </w:rPr>
                    <w:t>300mg</w:t>
                  </w:r>
                  <w:r>
                    <w:rPr>
                      <w:rFonts w:hint="eastAsia"/>
                      <w:sz w:val="18"/>
                      <w:szCs w:val="18"/>
                    </w:rPr>
                    <w:t>（</w:t>
                  </w:r>
                  <w:r>
                    <w:rPr>
                      <w:sz w:val="18"/>
                      <w:szCs w:val="18"/>
                    </w:rPr>
                    <w:t>100mg</w:t>
                  </w:r>
                  <w:r>
                    <w:rPr>
                      <w:rFonts w:hint="eastAsia"/>
                      <w:sz w:val="18"/>
                      <w:szCs w:val="18"/>
                    </w:rPr>
                    <w:t>肠溶片</w:t>
                  </w:r>
                  <w:r>
                    <w:rPr>
                      <w:sz w:val="18"/>
                      <w:szCs w:val="18"/>
                    </w:rPr>
                    <w:t>3</w:t>
                  </w:r>
                  <w:r>
                    <w:rPr>
                      <w:rFonts w:hint="eastAsia"/>
                      <w:sz w:val="18"/>
                      <w:szCs w:val="18"/>
                    </w:rPr>
                    <w:t>片）。推荐总疗程</w:t>
                  </w:r>
                  <w:r>
                    <w:rPr>
                      <w:sz w:val="18"/>
                      <w:szCs w:val="18"/>
                    </w:rPr>
                    <w:t>6-12</w:t>
                  </w:r>
                  <w:r>
                    <w:rPr>
                      <w:rFonts w:hint="eastAsia"/>
                      <w:sz w:val="18"/>
                      <w:szCs w:val="18"/>
                    </w:rPr>
                    <w:t>周。注射液和肠溶片间可进行剂型转换。剂型转换时不需采用负荷剂量。</w:t>
                  </w:r>
                  <w:r>
                    <w:rPr>
                      <w:sz w:val="18"/>
                      <w:szCs w:val="18"/>
                    </w:rPr>
                    <w:t> </w:t>
                  </w:r>
                </w:p>
              </w:tc>
            </w:tr>
            <w:tr w:rsidR="00000000">
              <w:trPr>
                <w:trHeight w:val="11"/>
                <w:jc w:val="center"/>
              </w:trPr>
              <w:tc>
                <w:tcPr>
                  <w:tcW w:w="1393" w:type="dxa"/>
                  <w:tcBorders>
                    <w:top w:val="single" w:sz="6" w:space="0" w:color="auto"/>
                    <w:left w:val="single" w:sz="6" w:space="0" w:color="auto"/>
                    <w:bottom w:val="single" w:sz="6" w:space="0" w:color="auto"/>
                    <w:right w:val="single" w:sz="6" w:space="0" w:color="auto"/>
                  </w:tcBorders>
                </w:tcPr>
                <w:p w:rsidR="00000000" w:rsidRDefault="00CC1CB1">
                  <w:pPr>
                    <w:widowControl/>
                    <w:jc w:val="center"/>
                    <w:textAlignment w:val="baseline"/>
                    <w:rPr>
                      <w:sz w:val="18"/>
                      <w:szCs w:val="18"/>
                    </w:rPr>
                  </w:pPr>
                  <w:r>
                    <w:rPr>
                      <w:rFonts w:hint="eastAsia"/>
                      <w:sz w:val="18"/>
                      <w:szCs w:val="18"/>
                    </w:rPr>
                    <w:t>预防侵袭性曲霉菌和念珠菌感染</w:t>
                  </w:r>
                </w:p>
              </w:tc>
              <w:tc>
                <w:tcPr>
                  <w:tcW w:w="5672" w:type="dxa"/>
                  <w:tcBorders>
                    <w:top w:val="single" w:sz="6" w:space="0" w:color="auto"/>
                    <w:left w:val="single" w:sz="6" w:space="0" w:color="auto"/>
                    <w:bottom w:val="single" w:sz="6" w:space="0" w:color="auto"/>
                    <w:right w:val="single" w:sz="6" w:space="0" w:color="auto"/>
                  </w:tcBorders>
                </w:tcPr>
                <w:p w:rsidR="00000000" w:rsidRDefault="00CC1CB1">
                  <w:pPr>
                    <w:widowControl/>
                    <w:textAlignment w:val="baseline"/>
                    <w:rPr>
                      <w:sz w:val="18"/>
                      <w:szCs w:val="18"/>
                    </w:rPr>
                  </w:pPr>
                  <w:r>
                    <w:rPr>
                      <w:rFonts w:hint="eastAsia"/>
                      <w:sz w:val="18"/>
                      <w:szCs w:val="18"/>
                    </w:rPr>
                    <w:t>成人、</w:t>
                  </w:r>
                  <w:r>
                    <w:rPr>
                      <w:sz w:val="18"/>
                      <w:szCs w:val="18"/>
                    </w:rPr>
                    <w:t>2</w:t>
                  </w:r>
                  <w:r>
                    <w:rPr>
                      <w:rFonts w:hint="eastAsia"/>
                      <w:sz w:val="18"/>
                      <w:szCs w:val="18"/>
                    </w:rPr>
                    <w:t>岁和</w:t>
                  </w:r>
                  <w:r>
                    <w:rPr>
                      <w:sz w:val="18"/>
                      <w:szCs w:val="18"/>
                    </w:rPr>
                    <w:t>2</w:t>
                  </w:r>
                  <w:r>
                    <w:rPr>
                      <w:rFonts w:hint="eastAsia"/>
                      <w:sz w:val="18"/>
                      <w:szCs w:val="18"/>
                    </w:rPr>
                    <w:t>岁以上且体重大于</w:t>
                  </w:r>
                  <w:r>
                    <w:rPr>
                      <w:sz w:val="18"/>
                      <w:szCs w:val="18"/>
                    </w:rPr>
                    <w:t>40kg</w:t>
                  </w:r>
                  <w:r>
                    <w:rPr>
                      <w:rFonts w:hint="eastAsia"/>
                      <w:sz w:val="18"/>
                      <w:szCs w:val="18"/>
                    </w:rPr>
                    <w:t>的儿童患者：负荷剂量：第</w:t>
                  </w:r>
                  <w:r>
                    <w:rPr>
                      <w:sz w:val="18"/>
                      <w:szCs w:val="18"/>
                    </w:rPr>
                    <w:t>1</w:t>
                  </w:r>
                  <w:r>
                    <w:rPr>
                      <w:rFonts w:hint="eastAsia"/>
                      <w:sz w:val="18"/>
                      <w:szCs w:val="18"/>
                    </w:rPr>
                    <w:t>天一日</w:t>
                  </w:r>
                  <w:r>
                    <w:rPr>
                      <w:sz w:val="18"/>
                      <w:szCs w:val="18"/>
                    </w:rPr>
                    <w:t>2</w:t>
                  </w:r>
                  <w:r>
                    <w:rPr>
                      <w:rFonts w:hint="eastAsia"/>
                      <w:sz w:val="18"/>
                      <w:szCs w:val="18"/>
                    </w:rPr>
                    <w:t>次，每次</w:t>
                  </w:r>
                  <w:r>
                    <w:rPr>
                      <w:sz w:val="18"/>
                      <w:szCs w:val="18"/>
                    </w:rPr>
                    <w:t>300mg</w:t>
                  </w:r>
                  <w:r>
                    <w:rPr>
                      <w:rFonts w:hint="eastAsia"/>
                      <w:sz w:val="18"/>
                      <w:szCs w:val="18"/>
                    </w:rPr>
                    <w:t>（</w:t>
                  </w:r>
                  <w:r>
                    <w:rPr>
                      <w:sz w:val="18"/>
                      <w:szCs w:val="18"/>
                    </w:rPr>
                    <w:t>100mg</w:t>
                  </w:r>
                  <w:r>
                    <w:rPr>
                      <w:rFonts w:hint="eastAsia"/>
                      <w:sz w:val="18"/>
                      <w:szCs w:val="18"/>
                    </w:rPr>
                    <w:t>肠溶片</w:t>
                  </w:r>
                  <w:r>
                    <w:rPr>
                      <w:sz w:val="18"/>
                      <w:szCs w:val="18"/>
                    </w:rPr>
                    <w:t>3</w:t>
                  </w:r>
                  <w:r>
                    <w:rPr>
                      <w:rFonts w:hint="eastAsia"/>
                      <w:sz w:val="18"/>
                      <w:szCs w:val="18"/>
                    </w:rPr>
                    <w:t>片）。维持剂量：第</w:t>
                  </w:r>
                  <w:r>
                    <w:rPr>
                      <w:sz w:val="18"/>
                      <w:szCs w:val="18"/>
                    </w:rPr>
                    <w:t>2</w:t>
                  </w:r>
                  <w:r>
                    <w:rPr>
                      <w:rFonts w:hint="eastAsia"/>
                      <w:sz w:val="18"/>
                      <w:szCs w:val="18"/>
                    </w:rPr>
                    <w:t>天开始，每日</w:t>
                  </w:r>
                  <w:r>
                    <w:rPr>
                      <w:sz w:val="18"/>
                      <w:szCs w:val="18"/>
                    </w:rPr>
                    <w:t>1</w:t>
                  </w:r>
                  <w:r>
                    <w:rPr>
                      <w:rFonts w:hint="eastAsia"/>
                      <w:sz w:val="18"/>
                      <w:szCs w:val="18"/>
                    </w:rPr>
                    <w:t>次，每次</w:t>
                  </w:r>
                  <w:r>
                    <w:rPr>
                      <w:sz w:val="18"/>
                      <w:szCs w:val="18"/>
                    </w:rPr>
                    <w:t>300mg</w:t>
                  </w:r>
                  <w:r>
                    <w:rPr>
                      <w:rFonts w:hint="eastAsia"/>
                      <w:sz w:val="18"/>
                      <w:szCs w:val="18"/>
                    </w:rPr>
                    <w:t>（</w:t>
                  </w:r>
                  <w:r>
                    <w:rPr>
                      <w:sz w:val="18"/>
                      <w:szCs w:val="18"/>
                    </w:rPr>
                    <w:t>100mg</w:t>
                  </w:r>
                  <w:r>
                    <w:rPr>
                      <w:rFonts w:hint="eastAsia"/>
                      <w:sz w:val="18"/>
                      <w:szCs w:val="18"/>
                    </w:rPr>
                    <w:t>肠溶片</w:t>
                  </w:r>
                  <w:r>
                    <w:rPr>
                      <w:sz w:val="18"/>
                      <w:szCs w:val="18"/>
                    </w:rPr>
                    <w:t>3</w:t>
                  </w:r>
                  <w:r>
                    <w:rPr>
                      <w:rFonts w:hint="eastAsia"/>
                      <w:sz w:val="18"/>
                      <w:szCs w:val="18"/>
                    </w:rPr>
                    <w:t>片）。疗程根据中性粒细胞减少症或免疫抑制的恢复程度而定。</w:t>
                  </w:r>
                </w:p>
                <w:p w:rsidR="00000000" w:rsidRDefault="00CC1CB1">
                  <w:pPr>
                    <w:widowControl/>
                    <w:textAlignment w:val="baseline"/>
                    <w:rPr>
                      <w:sz w:val="18"/>
                      <w:szCs w:val="18"/>
                    </w:rPr>
                  </w:pPr>
                  <w:r>
                    <w:rPr>
                      <w:sz w:val="18"/>
                      <w:szCs w:val="18"/>
                    </w:rPr>
                    <w:t>2</w:t>
                  </w:r>
                  <w:r>
                    <w:rPr>
                      <w:rFonts w:hint="eastAsia"/>
                      <w:sz w:val="18"/>
                      <w:szCs w:val="18"/>
                    </w:rPr>
                    <w:t>岁和</w:t>
                  </w:r>
                  <w:r>
                    <w:rPr>
                      <w:sz w:val="18"/>
                      <w:szCs w:val="18"/>
                    </w:rPr>
                    <w:t>2</w:t>
                  </w:r>
                  <w:r>
                    <w:rPr>
                      <w:rFonts w:hint="eastAsia"/>
                      <w:sz w:val="18"/>
                      <w:szCs w:val="18"/>
                    </w:rPr>
                    <w:t>岁以上且体重小于或等于</w:t>
                  </w:r>
                  <w:r>
                    <w:rPr>
                      <w:sz w:val="18"/>
                      <w:szCs w:val="18"/>
                    </w:rPr>
                    <w:t>40kg</w:t>
                  </w:r>
                  <w:r>
                    <w:rPr>
                      <w:rFonts w:hint="eastAsia"/>
                      <w:sz w:val="18"/>
                      <w:szCs w:val="18"/>
                    </w:rPr>
                    <w:t>的儿童患者不适用。</w:t>
                  </w:r>
                </w:p>
              </w:tc>
            </w:tr>
          </w:tbl>
          <w:p w:rsidR="00000000" w:rsidRDefault="00CC1CB1">
            <w:pPr>
              <w:widowControl/>
              <w:jc w:val="center"/>
              <w:rPr>
                <w:rFonts w:ascii="Calibri" w:hAnsi="Calibri" w:cs="宋体"/>
              </w:rPr>
            </w:pPr>
          </w:p>
        </w:tc>
      </w:tr>
      <w:tr w:rsidR="00000000">
        <w:trPr>
          <w:trHeight w:val="416"/>
          <w:jc w:val="center"/>
        </w:trPr>
        <w:tc>
          <w:tcPr>
            <w:tcW w:w="714" w:type="dxa"/>
            <w:gridSpan w:val="2"/>
            <w:vAlign w:val="center"/>
          </w:tcPr>
          <w:p w:rsidR="00000000" w:rsidRDefault="00CC1CB1"/>
        </w:tc>
        <w:tc>
          <w:tcPr>
            <w:tcW w:w="1263" w:type="dxa"/>
            <w:vAlign w:val="center"/>
          </w:tcPr>
          <w:p w:rsidR="00000000" w:rsidRDefault="00CC1CB1"/>
        </w:tc>
        <w:tc>
          <w:tcPr>
            <w:tcW w:w="1705" w:type="dxa"/>
            <w:vAlign w:val="center"/>
          </w:tcPr>
          <w:p w:rsidR="00000000" w:rsidRDefault="00CC1CB1"/>
        </w:tc>
        <w:tc>
          <w:tcPr>
            <w:tcW w:w="11048" w:type="dxa"/>
            <w:gridSpan w:val="2"/>
            <w:vAlign w:val="center"/>
          </w:tcPr>
          <w:p w:rsidR="00000000" w:rsidRDefault="00CC1CB1"/>
        </w:tc>
      </w:tr>
      <w:tr w:rsidR="00000000">
        <w:trPr>
          <w:trHeight w:val="416"/>
          <w:jc w:val="center"/>
        </w:trPr>
        <w:tc>
          <w:tcPr>
            <w:tcW w:w="714" w:type="dxa"/>
            <w:gridSpan w:val="2"/>
            <w:vMerge w:val="restart"/>
            <w:vAlign w:val="center"/>
          </w:tcPr>
          <w:p w:rsidR="00000000" w:rsidRDefault="00CC1CB1">
            <w:pPr>
              <w:jc w:val="center"/>
              <w:rPr>
                <w:sz w:val="18"/>
                <w:szCs w:val="18"/>
              </w:rPr>
            </w:pPr>
            <w:r>
              <w:rPr>
                <w:sz w:val="18"/>
                <w:szCs w:val="18"/>
              </w:rPr>
              <w:t>6</w:t>
            </w:r>
          </w:p>
        </w:tc>
        <w:tc>
          <w:tcPr>
            <w:tcW w:w="1263" w:type="dxa"/>
            <w:vMerge w:val="restart"/>
            <w:vAlign w:val="center"/>
          </w:tcPr>
          <w:p w:rsidR="00000000" w:rsidRDefault="00CC1CB1">
            <w:pPr>
              <w:jc w:val="center"/>
              <w:rPr>
                <w:sz w:val="18"/>
                <w:szCs w:val="18"/>
              </w:rPr>
            </w:pPr>
            <w:r>
              <w:rPr>
                <w:rFonts w:hint="eastAsia"/>
                <w:sz w:val="18"/>
                <w:szCs w:val="18"/>
              </w:rPr>
              <w:t>泊沙康唑</w:t>
            </w:r>
          </w:p>
        </w:tc>
        <w:tc>
          <w:tcPr>
            <w:tcW w:w="1705" w:type="dxa"/>
            <w:vAlign w:val="center"/>
          </w:tcPr>
          <w:p w:rsidR="00000000" w:rsidRDefault="00CC1CB1">
            <w:pPr>
              <w:jc w:val="center"/>
              <w:rPr>
                <w:sz w:val="18"/>
                <w:szCs w:val="18"/>
              </w:rPr>
            </w:pPr>
            <w:r>
              <w:rPr>
                <w:rFonts w:hint="eastAsia"/>
                <w:sz w:val="18"/>
                <w:szCs w:val="18"/>
              </w:rPr>
              <w:t>剂型</w:t>
            </w:r>
          </w:p>
        </w:tc>
        <w:tc>
          <w:tcPr>
            <w:tcW w:w="11048" w:type="dxa"/>
            <w:gridSpan w:val="2"/>
            <w:vAlign w:val="center"/>
          </w:tcPr>
          <w:p w:rsidR="00000000" w:rsidRDefault="00CC1CB1">
            <w:pPr>
              <w:jc w:val="center"/>
              <w:rPr>
                <w:sz w:val="18"/>
                <w:szCs w:val="18"/>
              </w:rPr>
            </w:pPr>
            <w:r>
              <w:rPr>
                <w:rFonts w:hint="eastAsia"/>
                <w:sz w:val="18"/>
                <w:szCs w:val="18"/>
              </w:rPr>
              <w:t>注射液</w:t>
            </w:r>
          </w:p>
        </w:tc>
      </w:tr>
      <w:tr w:rsidR="00000000">
        <w:trPr>
          <w:trHeight w:val="408"/>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规格</w:t>
            </w:r>
          </w:p>
        </w:tc>
        <w:tc>
          <w:tcPr>
            <w:tcW w:w="11048" w:type="dxa"/>
            <w:gridSpan w:val="2"/>
            <w:vAlign w:val="center"/>
          </w:tcPr>
          <w:p w:rsidR="00000000" w:rsidRDefault="00CC1CB1">
            <w:pPr>
              <w:jc w:val="center"/>
              <w:rPr>
                <w:sz w:val="18"/>
                <w:szCs w:val="18"/>
              </w:rPr>
            </w:pPr>
            <w:r>
              <w:rPr>
                <w:sz w:val="18"/>
                <w:szCs w:val="18"/>
              </w:rPr>
              <w:t>16.7ml:300mg</w:t>
            </w:r>
          </w:p>
        </w:tc>
      </w:tr>
      <w:tr w:rsidR="00000000">
        <w:trPr>
          <w:trHeight w:val="285"/>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rPr>
                <w:sz w:val="18"/>
                <w:szCs w:val="18"/>
              </w:rPr>
            </w:pPr>
          </w:p>
        </w:tc>
        <w:tc>
          <w:tcPr>
            <w:tcW w:w="3540" w:type="dxa"/>
            <w:vAlign w:val="center"/>
          </w:tcPr>
          <w:p w:rsidR="00000000" w:rsidRDefault="00CC1CB1">
            <w:pPr>
              <w:jc w:val="center"/>
              <w:rPr>
                <w:b/>
                <w:sz w:val="18"/>
                <w:szCs w:val="18"/>
              </w:rPr>
            </w:pPr>
            <w:r>
              <w:rPr>
                <w:rFonts w:hint="eastAsia"/>
                <w:b/>
                <w:sz w:val="18"/>
                <w:szCs w:val="18"/>
              </w:rPr>
              <w:t>修订前</w:t>
            </w:r>
          </w:p>
        </w:tc>
        <w:tc>
          <w:tcPr>
            <w:tcW w:w="7508" w:type="dxa"/>
            <w:vAlign w:val="center"/>
          </w:tcPr>
          <w:p w:rsidR="00000000" w:rsidRDefault="00CC1CB1">
            <w:pPr>
              <w:jc w:val="center"/>
              <w:rPr>
                <w:b/>
                <w:sz w:val="18"/>
                <w:szCs w:val="18"/>
              </w:rPr>
            </w:pPr>
            <w:r>
              <w:rPr>
                <w:rFonts w:hint="eastAsia"/>
                <w:b/>
                <w:sz w:val="18"/>
                <w:szCs w:val="18"/>
              </w:rPr>
              <w:t>修订后</w:t>
            </w:r>
          </w:p>
        </w:tc>
      </w:tr>
      <w:tr w:rsidR="00000000">
        <w:trPr>
          <w:trHeight w:val="376"/>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【适应症】</w:t>
            </w:r>
          </w:p>
        </w:tc>
        <w:tc>
          <w:tcPr>
            <w:tcW w:w="3540" w:type="dxa"/>
            <w:vAlign w:val="center"/>
          </w:tcPr>
          <w:p w:rsidR="00000000" w:rsidRDefault="00CC1CB1">
            <w:pPr>
              <w:rPr>
                <w:i/>
                <w:sz w:val="18"/>
                <w:szCs w:val="18"/>
              </w:rPr>
            </w:pPr>
            <w:r>
              <w:rPr>
                <w:rFonts w:hint="eastAsia"/>
                <w:i/>
                <w:sz w:val="18"/>
                <w:szCs w:val="18"/>
              </w:rPr>
              <w:t>无明确的儿童应用描述</w:t>
            </w:r>
          </w:p>
        </w:tc>
        <w:tc>
          <w:tcPr>
            <w:tcW w:w="7508" w:type="dxa"/>
            <w:vAlign w:val="center"/>
          </w:tcPr>
          <w:p w:rsidR="00000000" w:rsidRDefault="00CC1CB1">
            <w:pPr>
              <w:rPr>
                <w:i/>
                <w:sz w:val="18"/>
                <w:szCs w:val="18"/>
              </w:rPr>
            </w:pPr>
            <w:r>
              <w:rPr>
                <w:rFonts w:hint="eastAsia"/>
                <w:i/>
                <w:sz w:val="18"/>
                <w:szCs w:val="18"/>
              </w:rPr>
              <w:t>增加：</w:t>
            </w:r>
          </w:p>
          <w:p w:rsidR="00000000" w:rsidRDefault="00CC1CB1">
            <w:pPr>
              <w:adjustRightInd w:val="0"/>
              <w:snapToGrid w:val="0"/>
              <w:ind w:firstLineChars="150" w:firstLine="270"/>
              <w:jc w:val="left"/>
              <w:rPr>
                <w:sz w:val="18"/>
                <w:szCs w:val="18"/>
              </w:rPr>
            </w:pPr>
            <w:r>
              <w:rPr>
                <w:sz w:val="18"/>
                <w:szCs w:val="18"/>
              </w:rPr>
              <w:t>1</w:t>
            </w:r>
            <w:r>
              <w:rPr>
                <w:rFonts w:hint="eastAsia"/>
                <w:sz w:val="18"/>
                <w:szCs w:val="18"/>
              </w:rPr>
              <w:t>、治疗侵袭性曲霉病：用于</w:t>
            </w:r>
            <w:r>
              <w:rPr>
                <w:sz w:val="18"/>
                <w:szCs w:val="18"/>
              </w:rPr>
              <w:t>13</w:t>
            </w:r>
            <w:r>
              <w:rPr>
                <w:rFonts w:hint="eastAsia"/>
                <w:sz w:val="18"/>
                <w:szCs w:val="18"/>
              </w:rPr>
              <w:t>岁</w:t>
            </w:r>
            <w:r>
              <w:rPr>
                <w:rFonts w:eastAsia="仿宋_GB2312" w:hint="eastAsia"/>
                <w:sz w:val="20"/>
                <w:szCs w:val="20"/>
              </w:rPr>
              <w:t>和</w:t>
            </w:r>
            <w:r>
              <w:rPr>
                <w:rFonts w:eastAsia="仿宋_GB2312"/>
                <w:sz w:val="20"/>
                <w:szCs w:val="20"/>
              </w:rPr>
              <w:t>13</w:t>
            </w:r>
            <w:r>
              <w:rPr>
                <w:rFonts w:eastAsia="仿宋_GB2312" w:hint="eastAsia"/>
                <w:sz w:val="20"/>
                <w:szCs w:val="20"/>
              </w:rPr>
              <w:t>岁</w:t>
            </w:r>
            <w:r>
              <w:rPr>
                <w:rFonts w:hint="eastAsia"/>
                <w:sz w:val="18"/>
                <w:szCs w:val="18"/>
              </w:rPr>
              <w:t>以上患者的侵袭性曲霉病的治疗。</w:t>
            </w:r>
          </w:p>
          <w:p w:rsidR="00000000" w:rsidRDefault="00CC1CB1">
            <w:pPr>
              <w:adjustRightInd w:val="0"/>
              <w:snapToGrid w:val="0"/>
              <w:ind w:firstLineChars="150" w:firstLine="270"/>
              <w:jc w:val="left"/>
              <w:rPr>
                <w:sz w:val="18"/>
                <w:szCs w:val="18"/>
              </w:rPr>
            </w:pPr>
            <w:r>
              <w:rPr>
                <w:sz w:val="18"/>
                <w:szCs w:val="18"/>
              </w:rPr>
              <w:t>2</w:t>
            </w:r>
            <w:r>
              <w:rPr>
                <w:rFonts w:hint="eastAsia"/>
                <w:sz w:val="18"/>
                <w:szCs w:val="18"/>
              </w:rPr>
              <w:t>、预防侵袭性曲霉菌和念珠菌感染：用于</w:t>
            </w:r>
            <w:r>
              <w:rPr>
                <w:sz w:val="18"/>
                <w:szCs w:val="18"/>
              </w:rPr>
              <w:t>2</w:t>
            </w:r>
            <w:r>
              <w:rPr>
                <w:rFonts w:hint="eastAsia"/>
                <w:sz w:val="18"/>
                <w:szCs w:val="18"/>
              </w:rPr>
              <w:t>岁</w:t>
            </w:r>
            <w:r>
              <w:rPr>
                <w:rFonts w:eastAsia="仿宋_GB2312" w:hint="eastAsia"/>
                <w:sz w:val="20"/>
                <w:szCs w:val="20"/>
              </w:rPr>
              <w:t>和</w:t>
            </w:r>
            <w:r>
              <w:rPr>
                <w:rFonts w:eastAsia="仿宋_GB2312"/>
                <w:sz w:val="20"/>
                <w:szCs w:val="20"/>
              </w:rPr>
              <w:t>2</w:t>
            </w:r>
            <w:r>
              <w:rPr>
                <w:rFonts w:eastAsia="仿宋_GB2312" w:hint="eastAsia"/>
                <w:sz w:val="20"/>
                <w:szCs w:val="20"/>
              </w:rPr>
              <w:t>岁</w:t>
            </w:r>
            <w:r>
              <w:rPr>
                <w:rFonts w:hint="eastAsia"/>
                <w:sz w:val="18"/>
                <w:szCs w:val="18"/>
              </w:rPr>
              <w:t>以上儿童及成人因重度免疫缺陷而导致这些感染风险增加</w:t>
            </w:r>
            <w:r>
              <w:rPr>
                <w:rFonts w:hint="eastAsia"/>
                <w:sz w:val="18"/>
                <w:szCs w:val="18"/>
              </w:rPr>
              <w:t>的患者，例如接受造血干细胞移植（</w:t>
            </w:r>
            <w:r>
              <w:rPr>
                <w:sz w:val="18"/>
                <w:szCs w:val="18"/>
              </w:rPr>
              <w:t>HSCT</w:t>
            </w:r>
            <w:r>
              <w:rPr>
                <w:rFonts w:hint="eastAsia"/>
                <w:sz w:val="18"/>
                <w:szCs w:val="18"/>
              </w:rPr>
              <w:t>）后发生移植物抗宿主病（</w:t>
            </w:r>
            <w:r>
              <w:rPr>
                <w:sz w:val="18"/>
                <w:szCs w:val="18"/>
              </w:rPr>
              <w:t>GVHD</w:t>
            </w:r>
            <w:r>
              <w:rPr>
                <w:rFonts w:hint="eastAsia"/>
                <w:sz w:val="18"/>
                <w:szCs w:val="18"/>
              </w:rPr>
              <w:t>）的患者或化疗导致长时间中性粒细胞减少症的血液系统恶性肿瘤患者。</w:t>
            </w:r>
          </w:p>
        </w:tc>
      </w:tr>
      <w:tr w:rsidR="00000000">
        <w:trPr>
          <w:trHeight w:val="2542"/>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【用法用量】</w:t>
            </w:r>
          </w:p>
        </w:tc>
        <w:tc>
          <w:tcPr>
            <w:tcW w:w="3540" w:type="dxa"/>
            <w:vAlign w:val="center"/>
          </w:tcPr>
          <w:p w:rsidR="00000000" w:rsidRDefault="00CC1CB1">
            <w:pPr>
              <w:rPr>
                <w:i/>
                <w:sz w:val="18"/>
                <w:szCs w:val="18"/>
              </w:rPr>
            </w:pPr>
            <w:r>
              <w:rPr>
                <w:rFonts w:hint="eastAsia"/>
                <w:i/>
                <w:sz w:val="18"/>
                <w:szCs w:val="18"/>
              </w:rPr>
              <w:t>无明确的儿童应用描述</w:t>
            </w:r>
          </w:p>
        </w:tc>
        <w:tc>
          <w:tcPr>
            <w:tcW w:w="7508" w:type="dxa"/>
            <w:vAlign w:val="center"/>
          </w:tcPr>
          <w:p w:rsidR="00000000" w:rsidRDefault="00CC1CB1">
            <w:pPr>
              <w:tabs>
                <w:tab w:val="left" w:pos="1440"/>
              </w:tabs>
              <w:adjustRightInd w:val="0"/>
              <w:snapToGrid w:val="0"/>
              <w:jc w:val="left"/>
              <w:rPr>
                <w:sz w:val="18"/>
                <w:szCs w:val="18"/>
              </w:rPr>
            </w:pPr>
            <w:r>
              <w:rPr>
                <w:rFonts w:hint="eastAsia"/>
                <w:i/>
                <w:sz w:val="18"/>
                <w:szCs w:val="18"/>
              </w:rPr>
              <w:t>增加：</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847"/>
              <w:gridCol w:w="6369"/>
              <w:gridCol w:w="14"/>
            </w:tblGrid>
            <w:tr w:rsidR="00000000">
              <w:trPr>
                <w:gridAfter w:val="1"/>
                <w:wAfter w:w="14" w:type="dxa"/>
                <w:jc w:val="center"/>
              </w:trPr>
              <w:tc>
                <w:tcPr>
                  <w:tcW w:w="847" w:type="dxa"/>
                  <w:tcBorders>
                    <w:top w:val="single" w:sz="4" w:space="0" w:color="auto"/>
                    <w:left w:val="single" w:sz="4" w:space="0" w:color="auto"/>
                    <w:bottom w:val="single" w:sz="4" w:space="0" w:color="auto"/>
                    <w:right w:val="single" w:sz="4" w:space="0" w:color="auto"/>
                  </w:tcBorders>
                </w:tcPr>
                <w:p w:rsidR="00000000" w:rsidRDefault="00CC1CB1">
                  <w:pPr>
                    <w:tabs>
                      <w:tab w:val="left" w:pos="1440"/>
                    </w:tabs>
                    <w:autoSpaceDE w:val="0"/>
                    <w:autoSpaceDN w:val="0"/>
                    <w:adjustRightInd w:val="0"/>
                    <w:snapToGrid w:val="0"/>
                    <w:jc w:val="center"/>
                    <w:rPr>
                      <w:sz w:val="18"/>
                      <w:szCs w:val="18"/>
                    </w:rPr>
                  </w:pPr>
                  <w:r>
                    <w:rPr>
                      <w:rFonts w:hint="eastAsia"/>
                      <w:sz w:val="18"/>
                      <w:szCs w:val="18"/>
                    </w:rPr>
                    <w:t>适应症</w:t>
                  </w:r>
                </w:p>
              </w:tc>
              <w:tc>
                <w:tcPr>
                  <w:tcW w:w="6369" w:type="dxa"/>
                  <w:tcBorders>
                    <w:top w:val="single" w:sz="4" w:space="0" w:color="auto"/>
                    <w:left w:val="single" w:sz="4" w:space="0" w:color="auto"/>
                    <w:bottom w:val="single" w:sz="4" w:space="0" w:color="auto"/>
                    <w:right w:val="single" w:sz="4" w:space="0" w:color="auto"/>
                  </w:tcBorders>
                </w:tcPr>
                <w:p w:rsidR="00000000" w:rsidRDefault="00CC1CB1">
                  <w:pPr>
                    <w:tabs>
                      <w:tab w:val="left" w:pos="1440"/>
                    </w:tabs>
                    <w:autoSpaceDE w:val="0"/>
                    <w:autoSpaceDN w:val="0"/>
                    <w:adjustRightInd w:val="0"/>
                    <w:snapToGrid w:val="0"/>
                    <w:jc w:val="center"/>
                    <w:rPr>
                      <w:sz w:val="18"/>
                      <w:szCs w:val="18"/>
                    </w:rPr>
                  </w:pPr>
                  <w:r>
                    <w:rPr>
                      <w:rFonts w:hint="eastAsia"/>
                      <w:sz w:val="18"/>
                      <w:szCs w:val="18"/>
                    </w:rPr>
                    <w:t>剂量和治疗持续时间</w:t>
                  </w:r>
                </w:p>
              </w:tc>
            </w:tr>
            <w:tr w:rsidR="00000000">
              <w:trPr>
                <w:trHeight w:val="312"/>
                <w:jc w:val="center"/>
              </w:trPr>
              <w:tc>
                <w:tcPr>
                  <w:tcW w:w="847" w:type="dxa"/>
                  <w:tcBorders>
                    <w:top w:val="single" w:sz="4" w:space="0" w:color="auto"/>
                    <w:left w:val="single" w:sz="4" w:space="0" w:color="auto"/>
                    <w:bottom w:val="single" w:sz="4" w:space="0" w:color="auto"/>
                    <w:right w:val="single" w:sz="4" w:space="0" w:color="auto"/>
                  </w:tcBorders>
                </w:tcPr>
                <w:p w:rsidR="00000000" w:rsidRDefault="00CC1CB1">
                  <w:pPr>
                    <w:tabs>
                      <w:tab w:val="left" w:pos="1440"/>
                    </w:tabs>
                    <w:autoSpaceDE w:val="0"/>
                    <w:autoSpaceDN w:val="0"/>
                    <w:adjustRightInd w:val="0"/>
                    <w:snapToGrid w:val="0"/>
                    <w:jc w:val="center"/>
                    <w:rPr>
                      <w:rFonts w:hint="eastAsia"/>
                      <w:sz w:val="18"/>
                      <w:szCs w:val="18"/>
                    </w:rPr>
                  </w:pPr>
                  <w:r>
                    <w:rPr>
                      <w:rFonts w:hint="eastAsia"/>
                      <w:sz w:val="18"/>
                      <w:szCs w:val="18"/>
                    </w:rPr>
                    <w:t>治疗侵袭性曲霉病</w:t>
                  </w:r>
                </w:p>
              </w:tc>
              <w:tc>
                <w:tcPr>
                  <w:tcW w:w="6383" w:type="dxa"/>
                  <w:gridSpan w:val="2"/>
                  <w:tcBorders>
                    <w:top w:val="single" w:sz="4" w:space="0" w:color="auto"/>
                    <w:left w:val="single" w:sz="4" w:space="0" w:color="auto"/>
                    <w:bottom w:val="single" w:sz="4" w:space="0" w:color="auto"/>
                    <w:right w:val="single" w:sz="4" w:space="0" w:color="auto"/>
                  </w:tcBorders>
                </w:tcPr>
                <w:p w:rsidR="00000000" w:rsidRDefault="00CC1CB1">
                  <w:pPr>
                    <w:widowControl/>
                    <w:textAlignment w:val="baseline"/>
                    <w:rPr>
                      <w:sz w:val="18"/>
                      <w:szCs w:val="18"/>
                    </w:rPr>
                  </w:pPr>
                  <w:r>
                    <w:rPr>
                      <w:sz w:val="18"/>
                      <w:szCs w:val="18"/>
                    </w:rPr>
                    <w:t>13</w:t>
                  </w:r>
                  <w:r>
                    <w:rPr>
                      <w:rFonts w:hint="eastAsia"/>
                      <w:sz w:val="18"/>
                      <w:szCs w:val="18"/>
                    </w:rPr>
                    <w:t>岁和</w:t>
                  </w:r>
                  <w:r>
                    <w:rPr>
                      <w:sz w:val="18"/>
                      <w:szCs w:val="18"/>
                    </w:rPr>
                    <w:t>13</w:t>
                  </w:r>
                  <w:r>
                    <w:rPr>
                      <w:rFonts w:hint="eastAsia"/>
                      <w:sz w:val="18"/>
                      <w:szCs w:val="18"/>
                    </w:rPr>
                    <w:t>岁以上患者：</w:t>
                  </w:r>
                  <w:r>
                    <w:rPr>
                      <w:sz w:val="18"/>
                      <w:szCs w:val="18"/>
                    </w:rPr>
                    <w:t>:</w:t>
                  </w:r>
                  <w:r>
                    <w:rPr>
                      <w:rFonts w:hint="eastAsia"/>
                      <w:sz w:val="18"/>
                      <w:szCs w:val="18"/>
                    </w:rPr>
                    <w:t>负荷剂量：第一天，一日</w:t>
                  </w:r>
                  <w:r>
                    <w:rPr>
                      <w:sz w:val="18"/>
                      <w:szCs w:val="18"/>
                    </w:rPr>
                    <w:t>2</w:t>
                  </w:r>
                  <w:r>
                    <w:rPr>
                      <w:rFonts w:hint="eastAsia"/>
                      <w:sz w:val="18"/>
                      <w:szCs w:val="18"/>
                    </w:rPr>
                    <w:t>次，每次</w:t>
                  </w:r>
                  <w:r>
                    <w:rPr>
                      <w:sz w:val="18"/>
                      <w:szCs w:val="18"/>
                    </w:rPr>
                    <w:t>300mg</w:t>
                  </w:r>
                  <w:r>
                    <w:rPr>
                      <w:rFonts w:hint="eastAsia"/>
                      <w:sz w:val="18"/>
                      <w:szCs w:val="18"/>
                    </w:rPr>
                    <w:t>。维持剂量：第二天开始，每日</w:t>
                  </w:r>
                  <w:r>
                    <w:rPr>
                      <w:sz w:val="18"/>
                      <w:szCs w:val="18"/>
                    </w:rPr>
                    <w:t>1</w:t>
                  </w:r>
                  <w:r>
                    <w:rPr>
                      <w:rFonts w:hint="eastAsia"/>
                      <w:sz w:val="18"/>
                      <w:szCs w:val="18"/>
                    </w:rPr>
                    <w:t>次，每次</w:t>
                  </w:r>
                  <w:r>
                    <w:rPr>
                      <w:sz w:val="18"/>
                      <w:szCs w:val="18"/>
                    </w:rPr>
                    <w:t>300mg</w:t>
                  </w:r>
                  <w:r>
                    <w:rPr>
                      <w:rFonts w:hint="eastAsia"/>
                      <w:sz w:val="18"/>
                      <w:szCs w:val="18"/>
                    </w:rPr>
                    <w:t>。推荐总疗程</w:t>
                  </w:r>
                  <w:r>
                    <w:rPr>
                      <w:sz w:val="18"/>
                      <w:szCs w:val="18"/>
                    </w:rPr>
                    <w:t>6-12</w:t>
                  </w:r>
                  <w:r>
                    <w:rPr>
                      <w:rFonts w:hint="eastAsia"/>
                      <w:sz w:val="18"/>
                      <w:szCs w:val="18"/>
                    </w:rPr>
                    <w:t>周。注射液和肠溶片间可进行剂型转换。剂型转换时不需采用负荷剂量。</w:t>
                  </w:r>
                </w:p>
              </w:tc>
            </w:tr>
            <w:tr w:rsidR="00000000">
              <w:trPr>
                <w:gridAfter w:val="1"/>
                <w:wAfter w:w="14" w:type="dxa"/>
                <w:jc w:val="center"/>
              </w:trPr>
              <w:tc>
                <w:tcPr>
                  <w:tcW w:w="847" w:type="dxa"/>
                  <w:tcBorders>
                    <w:top w:val="single" w:sz="4" w:space="0" w:color="auto"/>
                    <w:left w:val="single" w:sz="4" w:space="0" w:color="auto"/>
                    <w:bottom w:val="single" w:sz="4" w:space="0" w:color="auto"/>
                    <w:right w:val="single" w:sz="4" w:space="0" w:color="auto"/>
                  </w:tcBorders>
                </w:tcPr>
                <w:p w:rsidR="00000000" w:rsidRDefault="00CC1CB1">
                  <w:pPr>
                    <w:tabs>
                      <w:tab w:val="left" w:pos="1440"/>
                    </w:tabs>
                    <w:autoSpaceDE w:val="0"/>
                    <w:autoSpaceDN w:val="0"/>
                    <w:adjustRightInd w:val="0"/>
                    <w:snapToGrid w:val="0"/>
                    <w:jc w:val="center"/>
                    <w:rPr>
                      <w:sz w:val="18"/>
                      <w:szCs w:val="18"/>
                    </w:rPr>
                  </w:pPr>
                  <w:r>
                    <w:rPr>
                      <w:rFonts w:hint="eastAsia"/>
                      <w:sz w:val="18"/>
                      <w:szCs w:val="18"/>
                    </w:rPr>
                    <w:t>预防侵袭性曲霉菌和念珠菌感染</w:t>
                  </w:r>
                </w:p>
              </w:tc>
              <w:tc>
                <w:tcPr>
                  <w:tcW w:w="6369" w:type="dxa"/>
                  <w:tcBorders>
                    <w:top w:val="single" w:sz="4" w:space="0" w:color="auto"/>
                    <w:left w:val="single" w:sz="4" w:space="0" w:color="auto"/>
                    <w:bottom w:val="single" w:sz="4" w:space="0" w:color="auto"/>
                    <w:right w:val="single" w:sz="4" w:space="0" w:color="auto"/>
                  </w:tcBorders>
                </w:tcPr>
                <w:p w:rsidR="00000000" w:rsidRDefault="00CC1CB1">
                  <w:pPr>
                    <w:tabs>
                      <w:tab w:val="left" w:pos="1440"/>
                    </w:tabs>
                    <w:autoSpaceDE w:val="0"/>
                    <w:autoSpaceDN w:val="0"/>
                    <w:adjustRightInd w:val="0"/>
                    <w:snapToGrid w:val="0"/>
                    <w:jc w:val="left"/>
                    <w:rPr>
                      <w:sz w:val="18"/>
                      <w:szCs w:val="18"/>
                    </w:rPr>
                  </w:pPr>
                  <w:r>
                    <w:rPr>
                      <w:sz w:val="18"/>
                      <w:szCs w:val="18"/>
                    </w:rPr>
                    <w:t>2</w:t>
                  </w:r>
                  <w:r>
                    <w:rPr>
                      <w:rFonts w:hint="eastAsia"/>
                      <w:sz w:val="18"/>
                      <w:szCs w:val="18"/>
                    </w:rPr>
                    <w:t>岁和</w:t>
                  </w:r>
                  <w:r>
                    <w:rPr>
                      <w:sz w:val="18"/>
                      <w:szCs w:val="18"/>
                    </w:rPr>
                    <w:t>2</w:t>
                  </w:r>
                  <w:r>
                    <w:rPr>
                      <w:rFonts w:hint="eastAsia"/>
                      <w:sz w:val="18"/>
                      <w:szCs w:val="18"/>
                    </w:rPr>
                    <w:t>岁以上儿童患者：负荷剂量：第一天，</w:t>
                  </w:r>
                  <w:r>
                    <w:rPr>
                      <w:rFonts w:hint="eastAsia"/>
                      <w:sz w:val="18"/>
                      <w:szCs w:val="18"/>
                    </w:rPr>
                    <w:t>每次</w:t>
                  </w:r>
                  <w:r>
                    <w:rPr>
                      <w:sz w:val="18"/>
                      <w:szCs w:val="18"/>
                    </w:rPr>
                    <w:t>6mg/kg</w:t>
                  </w:r>
                  <w:r>
                    <w:rPr>
                      <w:rFonts w:hint="eastAsia"/>
                      <w:sz w:val="18"/>
                      <w:szCs w:val="18"/>
                    </w:rPr>
                    <w:t>（最高至</w:t>
                  </w:r>
                  <w:r>
                    <w:rPr>
                      <w:sz w:val="18"/>
                      <w:szCs w:val="18"/>
                    </w:rPr>
                    <w:t>300mg</w:t>
                  </w:r>
                  <w:r>
                    <w:rPr>
                      <w:rFonts w:hint="eastAsia"/>
                      <w:sz w:val="18"/>
                      <w:szCs w:val="18"/>
                    </w:rPr>
                    <w:t>），每日</w:t>
                  </w:r>
                  <w:r>
                    <w:rPr>
                      <w:sz w:val="18"/>
                      <w:szCs w:val="18"/>
                    </w:rPr>
                    <w:t>2</w:t>
                  </w:r>
                  <w:r>
                    <w:rPr>
                      <w:rFonts w:hint="eastAsia"/>
                      <w:sz w:val="18"/>
                      <w:szCs w:val="18"/>
                    </w:rPr>
                    <w:t>次。维持剂量：第二天开始，每次</w:t>
                  </w:r>
                  <w:r>
                    <w:rPr>
                      <w:sz w:val="18"/>
                      <w:szCs w:val="18"/>
                    </w:rPr>
                    <w:t>6mg/kg</w:t>
                  </w:r>
                  <w:r>
                    <w:rPr>
                      <w:rFonts w:hint="eastAsia"/>
                      <w:sz w:val="18"/>
                      <w:szCs w:val="18"/>
                    </w:rPr>
                    <w:t>（最高至</w:t>
                  </w:r>
                  <w:r>
                    <w:rPr>
                      <w:sz w:val="18"/>
                      <w:szCs w:val="18"/>
                    </w:rPr>
                    <w:t>300mg</w:t>
                  </w:r>
                  <w:r>
                    <w:rPr>
                      <w:rFonts w:hint="eastAsia"/>
                      <w:sz w:val="18"/>
                      <w:szCs w:val="18"/>
                    </w:rPr>
                    <w:t>），每日一次。疗程根据中性粒细胞减少症或免疫抑制的恢复程度而定。</w:t>
                  </w:r>
                </w:p>
              </w:tc>
            </w:tr>
          </w:tbl>
          <w:p w:rsidR="00000000" w:rsidRDefault="00CC1CB1">
            <w:pPr>
              <w:tabs>
                <w:tab w:val="left" w:pos="1440"/>
              </w:tabs>
              <w:snapToGrid w:val="0"/>
              <w:jc w:val="left"/>
              <w:rPr>
                <w:sz w:val="18"/>
                <w:szCs w:val="18"/>
              </w:rPr>
            </w:pPr>
            <w:r>
              <w:rPr>
                <w:sz w:val="18"/>
                <w:szCs w:val="18"/>
              </w:rPr>
              <w:t xml:space="preserve"> </w:t>
            </w:r>
          </w:p>
          <w:p w:rsidR="00000000" w:rsidRDefault="00CC1CB1">
            <w:pPr>
              <w:tabs>
                <w:tab w:val="left" w:pos="1440"/>
              </w:tabs>
              <w:snapToGrid w:val="0"/>
              <w:jc w:val="left"/>
              <w:rPr>
                <w:rFonts w:hint="eastAsia"/>
                <w:sz w:val="18"/>
                <w:szCs w:val="18"/>
              </w:rPr>
            </w:pPr>
          </w:p>
        </w:tc>
      </w:tr>
      <w:tr w:rsidR="00000000">
        <w:trPr>
          <w:trHeight w:val="187"/>
          <w:jc w:val="center"/>
        </w:trPr>
        <w:tc>
          <w:tcPr>
            <w:tcW w:w="714" w:type="dxa"/>
            <w:gridSpan w:val="2"/>
            <w:vAlign w:val="center"/>
          </w:tcPr>
          <w:p w:rsidR="00000000" w:rsidRDefault="00CC1CB1"/>
        </w:tc>
        <w:tc>
          <w:tcPr>
            <w:tcW w:w="1263" w:type="dxa"/>
            <w:vAlign w:val="center"/>
          </w:tcPr>
          <w:p w:rsidR="00000000" w:rsidRDefault="00CC1CB1"/>
        </w:tc>
        <w:tc>
          <w:tcPr>
            <w:tcW w:w="1705" w:type="dxa"/>
            <w:vAlign w:val="center"/>
          </w:tcPr>
          <w:p w:rsidR="00000000" w:rsidRDefault="00CC1CB1"/>
        </w:tc>
        <w:tc>
          <w:tcPr>
            <w:tcW w:w="11048" w:type="dxa"/>
            <w:gridSpan w:val="2"/>
            <w:vAlign w:val="center"/>
          </w:tcPr>
          <w:p w:rsidR="00000000" w:rsidRDefault="00CC1CB1"/>
        </w:tc>
      </w:tr>
      <w:tr w:rsidR="00000000">
        <w:trPr>
          <w:trHeight w:val="267"/>
          <w:jc w:val="center"/>
        </w:trPr>
        <w:tc>
          <w:tcPr>
            <w:tcW w:w="714" w:type="dxa"/>
            <w:gridSpan w:val="2"/>
            <w:vMerge w:val="restart"/>
            <w:vAlign w:val="center"/>
          </w:tcPr>
          <w:p w:rsidR="00000000" w:rsidRDefault="00CC1CB1">
            <w:pPr>
              <w:jc w:val="center"/>
              <w:rPr>
                <w:sz w:val="18"/>
                <w:szCs w:val="18"/>
              </w:rPr>
            </w:pPr>
            <w:r>
              <w:rPr>
                <w:sz w:val="18"/>
                <w:szCs w:val="18"/>
              </w:rPr>
              <w:t>7</w:t>
            </w:r>
          </w:p>
        </w:tc>
        <w:tc>
          <w:tcPr>
            <w:tcW w:w="1263" w:type="dxa"/>
            <w:vMerge w:val="restart"/>
            <w:vAlign w:val="center"/>
          </w:tcPr>
          <w:p w:rsidR="00000000" w:rsidRDefault="00CC1CB1">
            <w:pPr>
              <w:jc w:val="center"/>
              <w:rPr>
                <w:sz w:val="18"/>
                <w:szCs w:val="18"/>
              </w:rPr>
            </w:pPr>
            <w:r>
              <w:rPr>
                <w:rFonts w:hint="eastAsia"/>
                <w:sz w:val="18"/>
                <w:szCs w:val="18"/>
              </w:rPr>
              <w:t>左乙拉西坦</w:t>
            </w:r>
          </w:p>
        </w:tc>
        <w:tc>
          <w:tcPr>
            <w:tcW w:w="1705" w:type="dxa"/>
            <w:vAlign w:val="center"/>
          </w:tcPr>
          <w:p w:rsidR="00000000" w:rsidRDefault="00CC1CB1">
            <w:pPr>
              <w:jc w:val="center"/>
              <w:rPr>
                <w:sz w:val="18"/>
                <w:szCs w:val="18"/>
              </w:rPr>
            </w:pPr>
            <w:r>
              <w:rPr>
                <w:rFonts w:hint="eastAsia"/>
                <w:sz w:val="18"/>
                <w:szCs w:val="18"/>
              </w:rPr>
              <w:t>剂型</w:t>
            </w:r>
          </w:p>
        </w:tc>
        <w:tc>
          <w:tcPr>
            <w:tcW w:w="11048" w:type="dxa"/>
            <w:gridSpan w:val="2"/>
            <w:vAlign w:val="center"/>
          </w:tcPr>
          <w:p w:rsidR="00000000" w:rsidRDefault="00CC1CB1">
            <w:pPr>
              <w:jc w:val="center"/>
              <w:rPr>
                <w:sz w:val="18"/>
                <w:szCs w:val="18"/>
              </w:rPr>
            </w:pPr>
            <w:r>
              <w:rPr>
                <w:rFonts w:hint="eastAsia"/>
                <w:sz w:val="18"/>
                <w:szCs w:val="18"/>
              </w:rPr>
              <w:t>口服溶液</w:t>
            </w:r>
          </w:p>
        </w:tc>
      </w:tr>
      <w:tr w:rsidR="00000000">
        <w:trPr>
          <w:trHeight w:val="229"/>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jc w:val="center"/>
              <w:rPr>
                <w:sz w:val="18"/>
                <w:szCs w:val="18"/>
              </w:rPr>
            </w:pPr>
            <w:r>
              <w:rPr>
                <w:rFonts w:hint="eastAsia"/>
                <w:sz w:val="18"/>
                <w:szCs w:val="18"/>
              </w:rPr>
              <w:t>规格</w:t>
            </w:r>
          </w:p>
        </w:tc>
        <w:tc>
          <w:tcPr>
            <w:tcW w:w="11048" w:type="dxa"/>
            <w:gridSpan w:val="2"/>
            <w:vAlign w:val="center"/>
          </w:tcPr>
          <w:p w:rsidR="00000000" w:rsidRDefault="00CC1CB1">
            <w:pPr>
              <w:jc w:val="center"/>
              <w:rPr>
                <w:sz w:val="18"/>
                <w:szCs w:val="18"/>
              </w:rPr>
            </w:pPr>
            <w:r>
              <w:rPr>
                <w:sz w:val="18"/>
                <w:szCs w:val="18"/>
              </w:rPr>
              <w:t>150ml:15g</w:t>
            </w:r>
          </w:p>
        </w:tc>
      </w:tr>
      <w:tr w:rsidR="00000000">
        <w:trPr>
          <w:trHeight w:val="33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vAlign w:val="center"/>
          </w:tcPr>
          <w:p w:rsidR="00000000" w:rsidRDefault="00CC1CB1">
            <w:pPr>
              <w:rPr>
                <w:sz w:val="18"/>
                <w:szCs w:val="18"/>
              </w:rPr>
            </w:pPr>
          </w:p>
        </w:tc>
        <w:tc>
          <w:tcPr>
            <w:tcW w:w="3540" w:type="dxa"/>
            <w:vAlign w:val="center"/>
          </w:tcPr>
          <w:p w:rsidR="00000000" w:rsidRDefault="00CC1CB1">
            <w:pPr>
              <w:jc w:val="center"/>
              <w:rPr>
                <w:b/>
                <w:sz w:val="18"/>
                <w:szCs w:val="18"/>
              </w:rPr>
            </w:pPr>
            <w:r>
              <w:rPr>
                <w:rFonts w:hint="eastAsia"/>
                <w:b/>
                <w:sz w:val="18"/>
                <w:szCs w:val="18"/>
              </w:rPr>
              <w:t>修订前</w:t>
            </w:r>
          </w:p>
        </w:tc>
        <w:tc>
          <w:tcPr>
            <w:tcW w:w="7508" w:type="dxa"/>
            <w:vAlign w:val="center"/>
          </w:tcPr>
          <w:p w:rsidR="00000000" w:rsidRDefault="00CC1CB1">
            <w:pPr>
              <w:jc w:val="center"/>
              <w:rPr>
                <w:b/>
                <w:sz w:val="18"/>
                <w:szCs w:val="18"/>
              </w:rPr>
            </w:pPr>
            <w:r>
              <w:rPr>
                <w:rFonts w:hint="eastAsia"/>
                <w:b/>
                <w:sz w:val="18"/>
                <w:szCs w:val="18"/>
              </w:rPr>
              <w:t>修订后</w:t>
            </w:r>
          </w:p>
        </w:tc>
      </w:tr>
      <w:tr w:rsidR="00000000">
        <w:trPr>
          <w:trHeight w:val="423"/>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【适应症】</w:t>
            </w:r>
          </w:p>
        </w:tc>
        <w:tc>
          <w:tcPr>
            <w:tcW w:w="3540" w:type="dxa"/>
          </w:tcPr>
          <w:p w:rsidR="00000000" w:rsidRDefault="00CC1CB1">
            <w:pPr>
              <w:rPr>
                <w:i/>
                <w:sz w:val="18"/>
                <w:szCs w:val="18"/>
              </w:rPr>
            </w:pPr>
            <w:r>
              <w:rPr>
                <w:rFonts w:hint="eastAsia"/>
                <w:i/>
                <w:sz w:val="18"/>
                <w:szCs w:val="18"/>
              </w:rPr>
              <w:t>儿童相关适应症描述：</w:t>
            </w:r>
          </w:p>
          <w:p w:rsidR="00000000" w:rsidRDefault="00CC1CB1">
            <w:pPr>
              <w:jc w:val="left"/>
              <w:rPr>
                <w:sz w:val="18"/>
                <w:szCs w:val="18"/>
              </w:rPr>
            </w:pPr>
            <w:r>
              <w:rPr>
                <w:rFonts w:hint="eastAsia"/>
                <w:sz w:val="18"/>
                <w:szCs w:val="18"/>
              </w:rPr>
              <w:t>用于成人、儿童及一个月以上婴幼儿癫痫患者部分性发作的加用治疗。</w:t>
            </w:r>
          </w:p>
        </w:tc>
        <w:tc>
          <w:tcPr>
            <w:tcW w:w="7508" w:type="dxa"/>
          </w:tcPr>
          <w:p w:rsidR="00000000" w:rsidRDefault="00CC1CB1">
            <w:pPr>
              <w:rPr>
                <w:i/>
                <w:sz w:val="18"/>
                <w:szCs w:val="18"/>
              </w:rPr>
            </w:pPr>
            <w:r>
              <w:rPr>
                <w:rFonts w:hint="eastAsia"/>
                <w:i/>
                <w:sz w:val="18"/>
                <w:szCs w:val="18"/>
              </w:rPr>
              <w:t>儿童相关适应症描述：</w:t>
            </w:r>
          </w:p>
          <w:p w:rsidR="00000000" w:rsidRDefault="00CC1CB1">
            <w:pPr>
              <w:jc w:val="left"/>
              <w:rPr>
                <w:sz w:val="18"/>
                <w:szCs w:val="18"/>
              </w:rPr>
            </w:pPr>
            <w:r>
              <w:rPr>
                <w:sz w:val="18"/>
                <w:szCs w:val="18"/>
              </w:rPr>
              <w:t>1</w:t>
            </w:r>
            <w:r>
              <w:rPr>
                <w:rFonts w:hint="eastAsia"/>
                <w:sz w:val="18"/>
                <w:szCs w:val="18"/>
              </w:rPr>
              <w:t>、用于</w:t>
            </w:r>
            <w:r>
              <w:rPr>
                <w:sz w:val="18"/>
                <w:szCs w:val="18"/>
              </w:rPr>
              <w:t>1</w:t>
            </w:r>
            <w:r>
              <w:rPr>
                <w:rFonts w:hint="eastAsia"/>
                <w:sz w:val="18"/>
                <w:szCs w:val="18"/>
              </w:rPr>
              <w:t>个月及以上患者的部分发作性癫痫的治疗。</w:t>
            </w:r>
          </w:p>
          <w:p w:rsidR="00000000" w:rsidRDefault="00CC1CB1">
            <w:pPr>
              <w:jc w:val="left"/>
              <w:rPr>
                <w:sz w:val="18"/>
                <w:szCs w:val="18"/>
              </w:rPr>
            </w:pPr>
            <w:r>
              <w:rPr>
                <w:sz w:val="18"/>
                <w:szCs w:val="18"/>
              </w:rPr>
              <w:t>2</w:t>
            </w:r>
            <w:r>
              <w:rPr>
                <w:rFonts w:hint="eastAsia"/>
                <w:sz w:val="18"/>
                <w:szCs w:val="18"/>
              </w:rPr>
              <w:t>、用于</w:t>
            </w:r>
            <w:r>
              <w:rPr>
                <w:sz w:val="18"/>
                <w:szCs w:val="18"/>
              </w:rPr>
              <w:t>12</w:t>
            </w:r>
            <w:r>
              <w:rPr>
                <w:rFonts w:hint="eastAsia"/>
                <w:sz w:val="18"/>
                <w:szCs w:val="18"/>
              </w:rPr>
              <w:t>岁及以上青少年肌阵挛发作癫痫患者的加用治疗。</w:t>
            </w:r>
          </w:p>
          <w:p w:rsidR="00000000" w:rsidRDefault="00CC1CB1">
            <w:pPr>
              <w:jc w:val="left"/>
              <w:rPr>
                <w:sz w:val="18"/>
                <w:szCs w:val="18"/>
              </w:rPr>
            </w:pPr>
            <w:r>
              <w:rPr>
                <w:sz w:val="18"/>
                <w:szCs w:val="18"/>
              </w:rPr>
              <w:t>3</w:t>
            </w:r>
            <w:r>
              <w:rPr>
                <w:rFonts w:hint="eastAsia"/>
                <w:sz w:val="18"/>
                <w:szCs w:val="18"/>
              </w:rPr>
              <w:t>、用于</w:t>
            </w:r>
            <w:r>
              <w:rPr>
                <w:sz w:val="18"/>
                <w:szCs w:val="18"/>
              </w:rPr>
              <w:t>6</w:t>
            </w:r>
            <w:r>
              <w:rPr>
                <w:rFonts w:hint="eastAsia"/>
                <w:sz w:val="18"/>
                <w:szCs w:val="18"/>
              </w:rPr>
              <w:t>岁及以上儿童特发性全面性发作癫痫患者的原发性全面性强直</w:t>
            </w:r>
            <w:r>
              <w:rPr>
                <w:sz w:val="18"/>
                <w:szCs w:val="18"/>
              </w:rPr>
              <w:t>-</w:t>
            </w:r>
            <w:r>
              <w:rPr>
                <w:rFonts w:hint="eastAsia"/>
                <w:sz w:val="18"/>
                <w:szCs w:val="18"/>
              </w:rPr>
              <w:t>阵挛发作的加用治疗。</w:t>
            </w:r>
          </w:p>
        </w:tc>
      </w:tr>
      <w:tr w:rsidR="00000000">
        <w:trPr>
          <w:trHeight w:val="416"/>
          <w:jc w:val="center"/>
        </w:trPr>
        <w:tc>
          <w:tcPr>
            <w:tcW w:w="714" w:type="dxa"/>
            <w:gridSpan w:val="2"/>
            <w:vMerge/>
            <w:vAlign w:val="center"/>
          </w:tcPr>
          <w:p w:rsidR="00000000" w:rsidRDefault="00CC1CB1">
            <w:pPr>
              <w:widowControl/>
              <w:jc w:val="left"/>
              <w:rPr>
                <w:sz w:val="18"/>
                <w:szCs w:val="18"/>
              </w:rPr>
            </w:pPr>
          </w:p>
        </w:tc>
        <w:tc>
          <w:tcPr>
            <w:tcW w:w="1263" w:type="dxa"/>
            <w:vMerge/>
            <w:vAlign w:val="center"/>
          </w:tcPr>
          <w:p w:rsidR="00000000" w:rsidRDefault="00CC1CB1">
            <w:pPr>
              <w:widowControl/>
              <w:jc w:val="left"/>
              <w:rPr>
                <w:sz w:val="18"/>
                <w:szCs w:val="18"/>
              </w:rPr>
            </w:pPr>
          </w:p>
        </w:tc>
        <w:tc>
          <w:tcPr>
            <w:tcW w:w="1705" w:type="dxa"/>
          </w:tcPr>
          <w:p w:rsidR="00000000" w:rsidRDefault="00CC1CB1">
            <w:pPr>
              <w:jc w:val="center"/>
              <w:rPr>
                <w:sz w:val="18"/>
                <w:szCs w:val="18"/>
              </w:rPr>
            </w:pPr>
            <w:r>
              <w:rPr>
                <w:rFonts w:hint="eastAsia"/>
                <w:sz w:val="18"/>
                <w:szCs w:val="18"/>
              </w:rPr>
              <w:t>【用法用量】</w:t>
            </w:r>
          </w:p>
        </w:tc>
        <w:tc>
          <w:tcPr>
            <w:tcW w:w="3540" w:type="dxa"/>
          </w:tcPr>
          <w:p w:rsidR="00000000" w:rsidRDefault="00CC1CB1">
            <w:pPr>
              <w:rPr>
                <w:i/>
                <w:sz w:val="18"/>
                <w:szCs w:val="18"/>
              </w:rPr>
            </w:pPr>
            <w:r>
              <w:rPr>
                <w:rFonts w:hint="eastAsia"/>
                <w:i/>
                <w:sz w:val="18"/>
                <w:szCs w:val="18"/>
              </w:rPr>
              <w:t>儿童相关用法用量描述：</w:t>
            </w:r>
          </w:p>
          <w:p w:rsidR="00000000" w:rsidRDefault="00CC1CB1">
            <w:pPr>
              <w:rPr>
                <w:sz w:val="18"/>
                <w:szCs w:val="18"/>
              </w:rPr>
            </w:pPr>
            <w:r>
              <w:rPr>
                <w:rFonts w:hint="eastAsia"/>
                <w:sz w:val="18"/>
                <w:szCs w:val="18"/>
              </w:rPr>
              <w:t>医生应根据患者的年龄、体重和给药剂量选择合适的药物制剂和剂量。</w:t>
            </w:r>
          </w:p>
          <w:p w:rsidR="00000000" w:rsidRDefault="00CC1CB1">
            <w:pPr>
              <w:rPr>
                <w:sz w:val="18"/>
                <w:szCs w:val="18"/>
              </w:rPr>
            </w:pPr>
            <w:r>
              <w:rPr>
                <w:bCs/>
                <w:sz w:val="18"/>
                <w:szCs w:val="18"/>
              </w:rPr>
              <w:t>6-23</w:t>
            </w:r>
            <w:r>
              <w:rPr>
                <w:rFonts w:hint="eastAsia"/>
                <w:bCs/>
                <w:sz w:val="18"/>
                <w:szCs w:val="18"/>
              </w:rPr>
              <w:t>个月的婴幼儿、</w:t>
            </w:r>
            <w:r>
              <w:rPr>
                <w:bCs/>
                <w:sz w:val="18"/>
                <w:szCs w:val="18"/>
              </w:rPr>
              <w:t>2~11</w:t>
            </w:r>
            <w:r>
              <w:rPr>
                <w:rFonts w:hint="eastAsia"/>
                <w:bCs/>
                <w:sz w:val="18"/>
                <w:szCs w:val="18"/>
              </w:rPr>
              <w:t>岁的儿童和青少</w:t>
            </w:r>
            <w:r>
              <w:rPr>
                <w:rFonts w:hint="eastAsia"/>
                <w:bCs/>
                <w:sz w:val="18"/>
                <w:szCs w:val="18"/>
              </w:rPr>
              <w:lastRenderedPageBreak/>
              <w:t>年（</w:t>
            </w:r>
            <w:r>
              <w:rPr>
                <w:bCs/>
                <w:sz w:val="18"/>
                <w:szCs w:val="18"/>
              </w:rPr>
              <w:t>12-17</w:t>
            </w:r>
            <w:r>
              <w:rPr>
                <w:rFonts w:hint="eastAsia"/>
                <w:bCs/>
                <w:sz w:val="18"/>
                <w:szCs w:val="18"/>
              </w:rPr>
              <w:t>岁）体重≤</w:t>
            </w:r>
            <w:r>
              <w:rPr>
                <w:bCs/>
                <w:sz w:val="18"/>
                <w:szCs w:val="18"/>
              </w:rPr>
              <w:t>50kg</w:t>
            </w:r>
            <w:r>
              <w:rPr>
                <w:rFonts w:hint="eastAsia"/>
                <w:bCs/>
                <w:sz w:val="18"/>
                <w:szCs w:val="18"/>
              </w:rPr>
              <w:t>：</w:t>
            </w:r>
            <w:r>
              <w:rPr>
                <w:rFonts w:hint="eastAsia"/>
                <w:sz w:val="18"/>
                <w:szCs w:val="18"/>
              </w:rPr>
              <w:t>起始治疗剂量是</w:t>
            </w:r>
            <w:r>
              <w:rPr>
                <w:sz w:val="18"/>
                <w:szCs w:val="18"/>
              </w:rPr>
              <w:t>10mg/kg</w:t>
            </w:r>
            <w:r>
              <w:rPr>
                <w:rFonts w:hint="eastAsia"/>
                <w:sz w:val="18"/>
                <w:szCs w:val="18"/>
              </w:rPr>
              <w:t>，每日</w:t>
            </w:r>
            <w:r>
              <w:rPr>
                <w:sz w:val="18"/>
                <w:szCs w:val="18"/>
              </w:rPr>
              <w:t>2</w:t>
            </w:r>
            <w:r>
              <w:rPr>
                <w:rFonts w:hint="eastAsia"/>
                <w:sz w:val="18"/>
                <w:szCs w:val="18"/>
              </w:rPr>
              <w:t>次。根据临床效果及耐受性，剂量可以增加至</w:t>
            </w:r>
            <w:r>
              <w:rPr>
                <w:sz w:val="18"/>
                <w:szCs w:val="18"/>
              </w:rPr>
              <w:t>30mg/kg</w:t>
            </w:r>
            <w:r>
              <w:rPr>
                <w:rFonts w:hint="eastAsia"/>
                <w:sz w:val="18"/>
                <w:szCs w:val="18"/>
              </w:rPr>
              <w:t>，</w:t>
            </w:r>
            <w:r>
              <w:rPr>
                <w:sz w:val="18"/>
                <w:szCs w:val="18"/>
              </w:rPr>
              <w:t xml:space="preserve"> </w:t>
            </w:r>
            <w:r>
              <w:rPr>
                <w:rFonts w:hint="eastAsia"/>
                <w:sz w:val="18"/>
                <w:szCs w:val="18"/>
              </w:rPr>
              <w:t>每日</w:t>
            </w:r>
            <w:r>
              <w:rPr>
                <w:sz w:val="18"/>
                <w:szCs w:val="18"/>
              </w:rPr>
              <w:t>2</w:t>
            </w:r>
            <w:r>
              <w:rPr>
                <w:rFonts w:hint="eastAsia"/>
                <w:sz w:val="18"/>
                <w:szCs w:val="18"/>
              </w:rPr>
              <w:t>次。剂量变化应以每两周增加或减少</w:t>
            </w:r>
            <w:r>
              <w:rPr>
                <w:sz w:val="18"/>
                <w:szCs w:val="18"/>
              </w:rPr>
              <w:t>10mg/kg</w:t>
            </w:r>
            <w:r>
              <w:rPr>
                <w:rFonts w:hint="eastAsia"/>
                <w:sz w:val="18"/>
                <w:szCs w:val="18"/>
              </w:rPr>
              <w:t>，每日</w:t>
            </w:r>
            <w:r>
              <w:rPr>
                <w:sz w:val="18"/>
                <w:szCs w:val="18"/>
              </w:rPr>
              <w:t>2</w:t>
            </w:r>
            <w:r>
              <w:rPr>
                <w:rFonts w:hint="eastAsia"/>
                <w:sz w:val="18"/>
                <w:szCs w:val="18"/>
              </w:rPr>
              <w:t>次。应尽量使用最低有效剂量。儿童体重≥</w:t>
            </w:r>
            <w:r>
              <w:rPr>
                <w:sz w:val="18"/>
                <w:szCs w:val="18"/>
              </w:rPr>
              <w:t>50kg</w:t>
            </w:r>
            <w:r>
              <w:rPr>
                <w:rFonts w:hint="eastAsia"/>
                <w:sz w:val="18"/>
                <w:szCs w:val="18"/>
              </w:rPr>
              <w:t>，剂量和成人一致。</w:t>
            </w:r>
          </w:p>
          <w:p w:rsidR="00000000" w:rsidRDefault="00CC1CB1">
            <w:pPr>
              <w:rPr>
                <w:sz w:val="18"/>
                <w:szCs w:val="18"/>
              </w:rPr>
            </w:pPr>
            <w:r>
              <w:rPr>
                <w:bCs/>
                <w:sz w:val="18"/>
                <w:szCs w:val="18"/>
              </w:rPr>
              <w:t>1-6</w:t>
            </w:r>
            <w:r>
              <w:rPr>
                <w:rFonts w:hint="eastAsia"/>
                <w:bCs/>
                <w:sz w:val="18"/>
                <w:szCs w:val="18"/>
              </w:rPr>
              <w:t>个月的婴幼儿</w:t>
            </w:r>
            <w:r>
              <w:rPr>
                <w:rFonts w:hint="eastAsia"/>
                <w:bCs/>
                <w:sz w:val="18"/>
                <w:szCs w:val="18"/>
              </w:rPr>
              <w:t>：</w:t>
            </w:r>
            <w:r>
              <w:rPr>
                <w:rFonts w:hint="eastAsia"/>
                <w:sz w:val="18"/>
                <w:szCs w:val="18"/>
              </w:rPr>
              <w:t>初始治疗剂量是</w:t>
            </w:r>
            <w:r>
              <w:rPr>
                <w:sz w:val="18"/>
                <w:szCs w:val="18"/>
              </w:rPr>
              <w:t>7mg/kg</w:t>
            </w:r>
            <w:r>
              <w:rPr>
                <w:rFonts w:hint="eastAsia"/>
                <w:sz w:val="18"/>
                <w:szCs w:val="18"/>
              </w:rPr>
              <w:t>，每日</w:t>
            </w:r>
            <w:r>
              <w:rPr>
                <w:sz w:val="18"/>
                <w:szCs w:val="18"/>
              </w:rPr>
              <w:t>2</w:t>
            </w:r>
            <w:r>
              <w:rPr>
                <w:rFonts w:hint="eastAsia"/>
                <w:sz w:val="18"/>
                <w:szCs w:val="18"/>
              </w:rPr>
              <w:t>次。根据临床效果及耐受性，剂量可以增加至</w:t>
            </w:r>
            <w:r>
              <w:rPr>
                <w:sz w:val="18"/>
                <w:szCs w:val="18"/>
              </w:rPr>
              <w:t>21mg/kg</w:t>
            </w:r>
            <w:r>
              <w:rPr>
                <w:rFonts w:hint="eastAsia"/>
                <w:sz w:val="18"/>
                <w:szCs w:val="18"/>
              </w:rPr>
              <w:t>，每日</w:t>
            </w:r>
            <w:r>
              <w:rPr>
                <w:sz w:val="18"/>
                <w:szCs w:val="18"/>
              </w:rPr>
              <w:t>2</w:t>
            </w:r>
            <w:r>
              <w:rPr>
                <w:rFonts w:hint="eastAsia"/>
                <w:sz w:val="18"/>
                <w:szCs w:val="18"/>
              </w:rPr>
              <w:t>次。剂量变化应以每</w:t>
            </w:r>
            <w:r>
              <w:rPr>
                <w:sz w:val="18"/>
                <w:szCs w:val="18"/>
              </w:rPr>
              <w:t>2</w:t>
            </w:r>
            <w:r>
              <w:rPr>
                <w:rFonts w:hint="eastAsia"/>
                <w:sz w:val="18"/>
                <w:szCs w:val="18"/>
              </w:rPr>
              <w:t>周增加或减少</w:t>
            </w:r>
            <w:r>
              <w:rPr>
                <w:sz w:val="18"/>
                <w:szCs w:val="18"/>
              </w:rPr>
              <w:t>7mg/kg</w:t>
            </w:r>
            <w:r>
              <w:rPr>
                <w:rFonts w:hint="eastAsia"/>
                <w:sz w:val="18"/>
                <w:szCs w:val="18"/>
              </w:rPr>
              <w:t>，每日</w:t>
            </w:r>
            <w:r>
              <w:rPr>
                <w:sz w:val="18"/>
                <w:szCs w:val="18"/>
              </w:rPr>
              <w:t>2</w:t>
            </w:r>
            <w:r>
              <w:rPr>
                <w:rFonts w:hint="eastAsia"/>
                <w:sz w:val="18"/>
                <w:szCs w:val="18"/>
              </w:rPr>
              <w:t>次。应尽量使用最低有效剂量。婴幼儿推荐左乙拉西坦口服溶液（</w:t>
            </w:r>
            <w:r>
              <w:rPr>
                <w:sz w:val="18"/>
                <w:szCs w:val="18"/>
              </w:rPr>
              <w:t>100mg/ml</w:t>
            </w:r>
            <w:r>
              <w:rPr>
                <w:rFonts w:hint="eastAsia"/>
                <w:sz w:val="18"/>
                <w:szCs w:val="18"/>
              </w:rPr>
              <w:t>）作为起始治疗。</w:t>
            </w:r>
          </w:p>
          <w:p w:rsidR="00000000" w:rsidRDefault="00CC1CB1">
            <w:pPr>
              <w:rPr>
                <w:sz w:val="18"/>
                <w:szCs w:val="18"/>
              </w:rPr>
            </w:pPr>
          </w:p>
        </w:tc>
        <w:tc>
          <w:tcPr>
            <w:tcW w:w="7508" w:type="dxa"/>
          </w:tcPr>
          <w:p w:rsidR="00000000" w:rsidRDefault="00CC1CB1">
            <w:pPr>
              <w:rPr>
                <w:i/>
                <w:sz w:val="18"/>
                <w:szCs w:val="18"/>
              </w:rPr>
            </w:pPr>
            <w:r>
              <w:rPr>
                <w:rFonts w:hint="eastAsia"/>
                <w:i/>
                <w:sz w:val="18"/>
                <w:szCs w:val="18"/>
              </w:rPr>
              <w:lastRenderedPageBreak/>
              <w:t>儿童相关用法用量描述：</w:t>
            </w:r>
          </w:p>
          <w:p w:rsidR="00000000" w:rsidRDefault="00CC1CB1">
            <w:pPr>
              <w:jc w:val="left"/>
              <w:rPr>
                <w:sz w:val="18"/>
                <w:szCs w:val="18"/>
              </w:rPr>
            </w:pPr>
            <w:r>
              <w:rPr>
                <w:rFonts w:hint="eastAsia"/>
                <w:sz w:val="18"/>
                <w:szCs w:val="18"/>
              </w:rPr>
              <w:t>医生应根据患者的年龄、体重和给药剂量选择合适的药物制剂和剂量。</w:t>
            </w:r>
          </w:p>
          <w:p w:rsidR="00000000" w:rsidRDefault="00CC1CB1">
            <w:pPr>
              <w:jc w:val="left"/>
              <w:rPr>
                <w:sz w:val="18"/>
                <w:szCs w:val="18"/>
              </w:rPr>
            </w:pPr>
            <w:r>
              <w:rPr>
                <w:sz w:val="18"/>
                <w:szCs w:val="18"/>
              </w:rPr>
              <w:t>1</w:t>
            </w:r>
            <w:r>
              <w:rPr>
                <w:rFonts w:hint="eastAsia"/>
                <w:sz w:val="18"/>
                <w:szCs w:val="18"/>
              </w:rPr>
              <w:t>、用于</w:t>
            </w:r>
            <w:r>
              <w:rPr>
                <w:sz w:val="18"/>
                <w:szCs w:val="18"/>
              </w:rPr>
              <w:t>1</w:t>
            </w:r>
            <w:r>
              <w:rPr>
                <w:rFonts w:hint="eastAsia"/>
                <w:sz w:val="18"/>
                <w:szCs w:val="18"/>
              </w:rPr>
              <w:t>个月及以上患者的部分发作性癫痫的治疗</w:t>
            </w:r>
          </w:p>
          <w:p w:rsidR="00000000" w:rsidRDefault="00CC1CB1">
            <w:pPr>
              <w:jc w:val="left"/>
              <w:rPr>
                <w:sz w:val="18"/>
                <w:szCs w:val="18"/>
              </w:rPr>
            </w:pPr>
            <w:r>
              <w:rPr>
                <w:sz w:val="18"/>
                <w:szCs w:val="18"/>
              </w:rPr>
              <w:t>2</w:t>
            </w:r>
            <w:r>
              <w:rPr>
                <w:rFonts w:hint="eastAsia"/>
                <w:sz w:val="18"/>
                <w:szCs w:val="18"/>
              </w:rPr>
              <w:t>、用于</w:t>
            </w:r>
            <w:r>
              <w:rPr>
                <w:sz w:val="18"/>
                <w:szCs w:val="18"/>
              </w:rPr>
              <w:t>12</w:t>
            </w:r>
            <w:r>
              <w:rPr>
                <w:rFonts w:hint="eastAsia"/>
                <w:sz w:val="18"/>
                <w:szCs w:val="18"/>
              </w:rPr>
              <w:t>岁及以上青少年肌阵挛发作癫痫患者的加用治疗</w:t>
            </w:r>
          </w:p>
          <w:p w:rsidR="00000000" w:rsidRDefault="00CC1CB1">
            <w:pPr>
              <w:jc w:val="left"/>
              <w:rPr>
                <w:sz w:val="18"/>
                <w:szCs w:val="18"/>
              </w:rPr>
            </w:pPr>
            <w:r>
              <w:rPr>
                <w:rFonts w:hint="eastAsia"/>
                <w:sz w:val="18"/>
                <w:szCs w:val="18"/>
              </w:rPr>
              <w:lastRenderedPageBreak/>
              <w:t>治疗起始剂量</w:t>
            </w:r>
            <w:r>
              <w:rPr>
                <w:sz w:val="18"/>
                <w:szCs w:val="18"/>
              </w:rPr>
              <w:t>1000mg/</w:t>
            </w:r>
            <w:r>
              <w:rPr>
                <w:rFonts w:hint="eastAsia"/>
                <w:sz w:val="18"/>
                <w:szCs w:val="18"/>
              </w:rPr>
              <w:t>日，每日两次给药（</w:t>
            </w:r>
            <w:r>
              <w:rPr>
                <w:sz w:val="18"/>
                <w:szCs w:val="18"/>
              </w:rPr>
              <w:t>500mg</w:t>
            </w:r>
            <w:r>
              <w:rPr>
                <w:rFonts w:hint="eastAsia"/>
                <w:sz w:val="18"/>
                <w:szCs w:val="18"/>
              </w:rPr>
              <w:t>，每日两次）。每两周增</w:t>
            </w:r>
            <w:r>
              <w:rPr>
                <w:rFonts w:hint="eastAsia"/>
                <w:sz w:val="18"/>
                <w:szCs w:val="18"/>
              </w:rPr>
              <w:t>加</w:t>
            </w:r>
            <w:r>
              <w:rPr>
                <w:sz w:val="18"/>
                <w:szCs w:val="18"/>
              </w:rPr>
              <w:t>1000mg/</w:t>
            </w:r>
            <w:r>
              <w:rPr>
                <w:rFonts w:hint="eastAsia"/>
                <w:sz w:val="18"/>
                <w:szCs w:val="18"/>
              </w:rPr>
              <w:t>日的剂量至推荐的日剂量</w:t>
            </w:r>
            <w:r>
              <w:rPr>
                <w:sz w:val="18"/>
                <w:szCs w:val="18"/>
              </w:rPr>
              <w:t>3000mg</w:t>
            </w:r>
            <w:r>
              <w:rPr>
                <w:rFonts w:hint="eastAsia"/>
                <w:sz w:val="18"/>
                <w:szCs w:val="18"/>
              </w:rPr>
              <w:t>。剂量低于</w:t>
            </w:r>
            <w:r>
              <w:rPr>
                <w:sz w:val="18"/>
                <w:szCs w:val="18"/>
              </w:rPr>
              <w:t>3000mg/</w:t>
            </w:r>
            <w:r>
              <w:rPr>
                <w:rFonts w:hint="eastAsia"/>
                <w:sz w:val="18"/>
                <w:szCs w:val="18"/>
              </w:rPr>
              <w:t>日的有效性尚未研究。</w:t>
            </w:r>
          </w:p>
          <w:p w:rsidR="00000000" w:rsidRDefault="00CC1CB1">
            <w:pPr>
              <w:jc w:val="left"/>
              <w:rPr>
                <w:sz w:val="18"/>
                <w:szCs w:val="18"/>
              </w:rPr>
            </w:pPr>
            <w:r>
              <w:rPr>
                <w:sz w:val="18"/>
                <w:szCs w:val="18"/>
              </w:rPr>
              <w:t>3</w:t>
            </w:r>
            <w:r>
              <w:rPr>
                <w:rFonts w:hint="eastAsia"/>
                <w:sz w:val="18"/>
                <w:szCs w:val="18"/>
              </w:rPr>
              <w:t>、用于</w:t>
            </w:r>
            <w:r>
              <w:rPr>
                <w:sz w:val="18"/>
                <w:szCs w:val="18"/>
              </w:rPr>
              <w:t>6</w:t>
            </w:r>
            <w:r>
              <w:rPr>
                <w:rFonts w:hint="eastAsia"/>
                <w:sz w:val="18"/>
                <w:szCs w:val="18"/>
              </w:rPr>
              <w:t>岁及以上儿童患者的原发性全面性强直</w:t>
            </w:r>
            <w:r>
              <w:rPr>
                <w:sz w:val="18"/>
                <w:szCs w:val="18"/>
              </w:rPr>
              <w:t>-</w:t>
            </w:r>
            <w:r>
              <w:rPr>
                <w:rFonts w:hint="eastAsia"/>
                <w:sz w:val="18"/>
                <w:szCs w:val="18"/>
              </w:rPr>
              <w:t>阵挛发作的加用治疗</w:t>
            </w:r>
          </w:p>
          <w:p w:rsidR="00000000" w:rsidRDefault="00CC1CB1">
            <w:pPr>
              <w:jc w:val="left"/>
              <w:rPr>
                <w:sz w:val="18"/>
                <w:szCs w:val="18"/>
              </w:rPr>
            </w:pPr>
            <w:r>
              <w:rPr>
                <w:sz w:val="18"/>
                <w:szCs w:val="18"/>
              </w:rPr>
              <w:t>6</w:t>
            </w:r>
            <w:r>
              <w:rPr>
                <w:rFonts w:hint="eastAsia"/>
                <w:sz w:val="18"/>
                <w:szCs w:val="18"/>
              </w:rPr>
              <w:t>至</w:t>
            </w:r>
            <w:r>
              <w:rPr>
                <w:sz w:val="18"/>
                <w:szCs w:val="18"/>
              </w:rPr>
              <w:t>&lt;16</w:t>
            </w:r>
            <w:r>
              <w:rPr>
                <w:rFonts w:hint="eastAsia"/>
                <w:sz w:val="18"/>
                <w:szCs w:val="18"/>
              </w:rPr>
              <w:t>岁的儿科患者的起始治疗为每日</w:t>
            </w:r>
            <w:r>
              <w:rPr>
                <w:sz w:val="18"/>
                <w:szCs w:val="18"/>
              </w:rPr>
              <w:t>20mg/kg</w:t>
            </w:r>
            <w:r>
              <w:rPr>
                <w:rFonts w:hint="eastAsia"/>
                <w:sz w:val="18"/>
                <w:szCs w:val="18"/>
              </w:rPr>
              <w:t>，分为两次给药（</w:t>
            </w:r>
            <w:r>
              <w:rPr>
                <w:sz w:val="18"/>
                <w:szCs w:val="18"/>
              </w:rPr>
              <w:t>10mg/kg</w:t>
            </w:r>
            <w:r>
              <w:rPr>
                <w:rFonts w:hint="eastAsia"/>
                <w:sz w:val="18"/>
                <w:szCs w:val="18"/>
              </w:rPr>
              <w:t>，每日两次）。每两周增加一次每日剂量，每次增量为</w:t>
            </w:r>
            <w:r>
              <w:rPr>
                <w:sz w:val="18"/>
                <w:szCs w:val="18"/>
              </w:rPr>
              <w:t>20mg/kg</w:t>
            </w:r>
            <w:r>
              <w:rPr>
                <w:rFonts w:hint="eastAsia"/>
                <w:sz w:val="18"/>
                <w:szCs w:val="18"/>
              </w:rPr>
              <w:t>，直至推荐日剂量</w:t>
            </w:r>
            <w:r>
              <w:rPr>
                <w:sz w:val="18"/>
                <w:szCs w:val="18"/>
              </w:rPr>
              <w:t>60mg/kg</w:t>
            </w:r>
            <w:r>
              <w:rPr>
                <w:rFonts w:hint="eastAsia"/>
                <w:sz w:val="18"/>
                <w:szCs w:val="18"/>
              </w:rPr>
              <w:t>（</w:t>
            </w:r>
            <w:r>
              <w:rPr>
                <w:sz w:val="18"/>
                <w:szCs w:val="18"/>
              </w:rPr>
              <w:t>30mg/kg</w:t>
            </w:r>
            <w:r>
              <w:rPr>
                <w:rFonts w:hint="eastAsia"/>
                <w:sz w:val="18"/>
                <w:szCs w:val="18"/>
              </w:rPr>
              <w:t>，每日两次）。剂量低于</w:t>
            </w:r>
            <w:r>
              <w:rPr>
                <w:sz w:val="18"/>
                <w:szCs w:val="18"/>
              </w:rPr>
              <w:t>60mg/kg/</w:t>
            </w:r>
            <w:r>
              <w:rPr>
                <w:rFonts w:hint="eastAsia"/>
                <w:sz w:val="18"/>
                <w:szCs w:val="18"/>
              </w:rPr>
              <w:t>天的有效性尚未得到充分研究。体重≤</w:t>
            </w:r>
            <w:r>
              <w:rPr>
                <w:sz w:val="18"/>
                <w:szCs w:val="18"/>
              </w:rPr>
              <w:t>20kg</w:t>
            </w:r>
            <w:r>
              <w:rPr>
                <w:rFonts w:hint="eastAsia"/>
                <w:sz w:val="18"/>
                <w:szCs w:val="18"/>
              </w:rPr>
              <w:t>的患者应服用口服溶液剂。体重超过</w:t>
            </w:r>
            <w:r>
              <w:rPr>
                <w:sz w:val="18"/>
                <w:szCs w:val="18"/>
              </w:rPr>
              <w:t>20kg</w:t>
            </w:r>
            <w:r>
              <w:rPr>
                <w:rFonts w:hint="eastAsia"/>
                <w:sz w:val="18"/>
                <w:szCs w:val="18"/>
              </w:rPr>
              <w:t>的患者可以服用片剂或口服溶液。</w:t>
            </w:r>
          </w:p>
        </w:tc>
      </w:tr>
    </w:tbl>
    <w:p w:rsidR="00000000" w:rsidRDefault="00CC1CB1">
      <w:pPr>
        <w:spacing w:line="600" w:lineRule="exact"/>
        <w:ind w:right="160"/>
        <w:jc w:val="left"/>
        <w:rPr>
          <w:rFonts w:ascii="仿宋_GB2312" w:eastAsia="仿宋_GB2312" w:hAnsi="仿宋" w:hint="eastAsia"/>
          <w:sz w:val="28"/>
          <w:szCs w:val="28"/>
        </w:rPr>
      </w:pPr>
    </w:p>
    <w:p w:rsidR="00CC1CB1" w:rsidRDefault="00CC1CB1" w:rsidP="00A97714">
      <w:pPr>
        <w:spacing w:line="240" w:lineRule="exact"/>
      </w:pPr>
      <w:bookmarkStart w:id="0" w:name="_GoBack"/>
      <w:bookmarkEnd w:id="0"/>
    </w:p>
    <w:sectPr w:rsidR="00CC1CB1" w:rsidSect="00A97714">
      <w:footerReference w:type="even" r:id="rId6"/>
      <w:footerReference w:type="default" r:id="rId7"/>
      <w:pgSz w:w="16838" w:h="11906" w:orient="landscape"/>
      <w:pgMar w:top="1531" w:right="1928" w:bottom="1531" w:left="1814"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CB1" w:rsidRDefault="00CC1CB1">
      <w:r>
        <w:separator/>
      </w:r>
    </w:p>
  </w:endnote>
  <w:endnote w:type="continuationSeparator" w:id="0">
    <w:p w:rsidR="00CC1CB1" w:rsidRDefault="00CC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9771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C1CB1">
                          <w:pPr>
                            <w:pStyle w:val="a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502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HlfnTa/AgAA&#10;tAUAAA4AAAAAAAAAAAAAAAAALgIAAGRycy9lMm9Eb2MueG1sUEsBAi0AFAAGAAgAAAAhAAxK8O7W&#10;AAAABQEAAA8AAAAAAAAAAAAAAAAAGQUAAGRycy9kb3ducmV2LnhtbFBLBQYAAAAABAAEAPMAAAAc&#10;BgAAAAA=&#10;" filled="f" stroked="f">
              <v:textbox style="mso-fit-shape-to-text:t" inset="0,0,0,0">
                <w:txbxContent>
                  <w:p w:rsidR="00000000" w:rsidRDefault="00CC1CB1">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97714">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2540" t="1905"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CC1CB1">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9771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" filled="f" stroked="f">
              <v:textbox style="mso-fit-shape-to-text:t" inset="0,0,0,0">
                <w:txbxContent>
                  <w:p w:rsidR="00000000" w:rsidRDefault="00CC1CB1">
                    <w:pPr>
                      <w:pStyle w:val="a3"/>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97714">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CB1" w:rsidRDefault="00CC1CB1">
      <w:r>
        <w:separator/>
      </w:r>
    </w:p>
  </w:footnote>
  <w:footnote w:type="continuationSeparator" w:id="0">
    <w:p w:rsidR="00CC1CB1" w:rsidRDefault="00CC1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BD0DCC9"/>
    <w:rsid w:val="7AF32D5A"/>
    <w:rsid w:val="FBD0DCC9"/>
    <w:rsid w:val="00A97714"/>
    <w:rsid w:val="00CC1CB1"/>
    <w:rsid w:val="00E40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CD4129-23F0-4939-B0C7-C28D54DB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dc:creator>
  <cp:keywords/>
  <cp:lastModifiedBy>pc</cp:lastModifiedBy>
  <cp:revision>3</cp:revision>
  <dcterms:created xsi:type="dcterms:W3CDTF">2024-05-28T02:03:00Z</dcterms:created>
  <dcterms:modified xsi:type="dcterms:W3CDTF">2024-05-28T02:03:00Z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00AABC4C3489C489E62A5566FB090597</vt:lpwstr>
  </property>
</Properties>
</file>